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CB" w:rsidRPr="00FE0F92" w:rsidRDefault="00FE0F92" w:rsidP="00A627CB">
      <w:pPr>
        <w:jc w:val="center"/>
        <w:rPr>
          <w:b/>
        </w:rPr>
      </w:pPr>
      <w:r w:rsidRPr="00FE0F92">
        <w:rPr>
          <w:b/>
        </w:rPr>
        <w:t xml:space="preserve">Comment </w:t>
      </w:r>
      <w:r w:rsidR="00A627CB">
        <w:rPr>
          <w:b/>
        </w:rPr>
        <w:t xml:space="preserve">from </w:t>
      </w:r>
      <w:r w:rsidR="00A627CB" w:rsidRPr="00FE0F92">
        <w:rPr>
          <w:b/>
        </w:rPr>
        <w:t>Canadian Friends Service Committee</w:t>
      </w:r>
    </w:p>
    <w:p w:rsidR="00FE0F92" w:rsidRPr="00FE0F92" w:rsidRDefault="00FE0F92" w:rsidP="00FE0F92">
      <w:pPr>
        <w:jc w:val="center"/>
        <w:rPr>
          <w:b/>
        </w:rPr>
      </w:pPr>
      <w:proofErr w:type="gramStart"/>
      <w:r w:rsidRPr="00FE0F92">
        <w:rPr>
          <w:b/>
        </w:rPr>
        <w:t>on</w:t>
      </w:r>
      <w:proofErr w:type="gramEnd"/>
      <w:r w:rsidRPr="00FE0F92">
        <w:rPr>
          <w:b/>
        </w:rPr>
        <w:t xml:space="preserve"> the Updated Report and Synthesis of Views of the Ad Hoc Technical Expert Group on Synthetic Biology, Montreal, Canada, 21-25 September, 2015</w:t>
      </w:r>
    </w:p>
    <w:p w:rsidR="00FE0F92" w:rsidRDefault="00FE0F92"/>
    <w:p w:rsidR="00FE0F92" w:rsidRDefault="00FE0F92"/>
    <w:p w:rsidR="00FE0F92" w:rsidRDefault="00FE0F92">
      <w:r>
        <w:t>Canadian Friends Service Committee (CFSC) thanks the Convention on Bio</w:t>
      </w:r>
      <w:r w:rsidR="005052E4">
        <w:t>logical D</w:t>
      </w:r>
      <w:r>
        <w:t>iversity (CBD), the Parties</w:t>
      </w:r>
      <w:r w:rsidR="00776D0A">
        <w:t>,</w:t>
      </w:r>
      <w:r>
        <w:t xml:space="preserve"> and CBD staff for taking on the vitally important subject of synthetic biology. As a civil society participant in the AHTEG process we </w:t>
      </w:r>
      <w:r w:rsidR="00F92373">
        <w:t xml:space="preserve">at CFSC </w:t>
      </w:r>
      <w:r>
        <w:t>e</w:t>
      </w:r>
      <w:r w:rsidR="007801AA">
        <w:t xml:space="preserve">xpress our appreciation for the </w:t>
      </w:r>
      <w:r>
        <w:t xml:space="preserve">opportunity </w:t>
      </w:r>
      <w:r w:rsidR="007801AA">
        <w:t xml:space="preserve">to comment </w:t>
      </w:r>
      <w:r>
        <w:t xml:space="preserve">on the AHTEG report. </w:t>
      </w:r>
    </w:p>
    <w:p w:rsidR="00FE0F92" w:rsidRDefault="00FE0F92"/>
    <w:p w:rsidR="00785A9B" w:rsidRDefault="00FE0F92">
      <w:r>
        <w:t xml:space="preserve">What follows </w:t>
      </w:r>
      <w:r w:rsidR="00785A9B">
        <w:t xml:space="preserve">are:  </w:t>
      </w:r>
    </w:p>
    <w:p w:rsidR="00785A9B" w:rsidRDefault="00785A9B" w:rsidP="00785A9B">
      <w:pPr>
        <w:ind w:firstLine="720"/>
      </w:pPr>
      <w:r>
        <w:t>A brief description of</w:t>
      </w:r>
      <w:r w:rsidR="00FE0F92">
        <w:t xml:space="preserve"> CFSC, </w:t>
      </w:r>
    </w:p>
    <w:p w:rsidR="00785A9B" w:rsidRDefault="00785A9B" w:rsidP="00785A9B">
      <w:pPr>
        <w:ind w:left="720"/>
      </w:pPr>
      <w:r>
        <w:t>How CFSC’s</w:t>
      </w:r>
      <w:r w:rsidR="00FE0F92">
        <w:t xml:space="preserve"> interest in synthetic biology</w:t>
      </w:r>
      <w:r>
        <w:t xml:space="preserve"> developed</w:t>
      </w:r>
      <w:r w:rsidR="00FE0F92">
        <w:t xml:space="preserve">, </w:t>
      </w:r>
    </w:p>
    <w:p w:rsidR="00C5482F" w:rsidRDefault="00785A9B" w:rsidP="00C5482F">
      <w:pPr>
        <w:ind w:left="720"/>
      </w:pPr>
      <w:r>
        <w:t>C</w:t>
      </w:r>
      <w:r w:rsidR="006C606E">
        <w:t>omment on the AHTEG</w:t>
      </w:r>
      <w:r>
        <w:t xml:space="preserve">’s </w:t>
      </w:r>
      <w:r w:rsidR="00593719">
        <w:t xml:space="preserve">process and </w:t>
      </w:r>
      <w:r>
        <w:t>agenda (</w:t>
      </w:r>
      <w:r w:rsidR="005052E4">
        <w:t>o</w:t>
      </w:r>
      <w:r>
        <w:t xml:space="preserve">rganization of </w:t>
      </w:r>
      <w:r w:rsidR="005052E4">
        <w:t>w</w:t>
      </w:r>
      <w:r>
        <w:t>ork)</w:t>
      </w:r>
      <w:r w:rsidR="00C5482F">
        <w:t xml:space="preserve">, </w:t>
      </w:r>
    </w:p>
    <w:p w:rsidR="00785A9B" w:rsidRDefault="00785A9B" w:rsidP="00785A9B">
      <w:pPr>
        <w:ind w:left="720"/>
      </w:pPr>
      <w:r>
        <w:t>C</w:t>
      </w:r>
      <w:r w:rsidR="006C606E">
        <w:t xml:space="preserve">omment on the </w:t>
      </w:r>
      <w:r>
        <w:t xml:space="preserve">AHTEG </w:t>
      </w:r>
      <w:r w:rsidR="005052E4">
        <w:t>r</w:t>
      </w:r>
      <w:r>
        <w:t xml:space="preserve">eport and </w:t>
      </w:r>
      <w:r w:rsidR="005052E4">
        <w:t>s</w:t>
      </w:r>
      <w:r>
        <w:t xml:space="preserve">ynthesis, </w:t>
      </w:r>
    </w:p>
    <w:p w:rsidR="00114A54" w:rsidRDefault="00D72ACC" w:rsidP="00785A9B">
      <w:pPr>
        <w:ind w:left="720"/>
      </w:pPr>
      <w:r>
        <w:t>Further considerations</w:t>
      </w:r>
      <w:r w:rsidR="005052E4">
        <w:t>, and</w:t>
      </w:r>
    </w:p>
    <w:p w:rsidR="00785A9B" w:rsidRDefault="00C5482F" w:rsidP="00785A9B">
      <w:pPr>
        <w:ind w:left="720"/>
      </w:pPr>
      <w:r>
        <w:t>Recommendations</w:t>
      </w:r>
      <w:r w:rsidR="00785A9B">
        <w:t xml:space="preserve"> </w:t>
      </w:r>
    </w:p>
    <w:p w:rsidR="00FE0F92" w:rsidRDefault="00FE0F92"/>
    <w:p w:rsidR="00A110F9" w:rsidRDefault="00A110F9"/>
    <w:p w:rsidR="00FE0F92" w:rsidRDefault="00C5482F">
      <w:pPr>
        <w:rPr>
          <w:rFonts w:eastAsia="Times New Roman"/>
        </w:rPr>
      </w:pPr>
      <w:r>
        <w:rPr>
          <w:rFonts w:eastAsia="Times New Roman"/>
          <w:u w:val="single"/>
        </w:rPr>
        <w:t xml:space="preserve">1. </w:t>
      </w:r>
      <w:r w:rsidR="00292CCF" w:rsidRPr="00292CCF">
        <w:rPr>
          <w:rFonts w:eastAsia="Times New Roman"/>
          <w:u w:val="single"/>
        </w:rPr>
        <w:t>CFSC</w:t>
      </w:r>
      <w:r w:rsidR="00292CCF">
        <w:rPr>
          <w:rFonts w:eastAsia="Times New Roman"/>
        </w:rPr>
        <w:t xml:space="preserve"> — </w:t>
      </w:r>
      <w:r w:rsidR="00FE0F92">
        <w:rPr>
          <w:rFonts w:eastAsia="Times New Roman"/>
        </w:rPr>
        <w:t>CFSC is the peace, social justice and international development arm of Quakers in Canada</w:t>
      </w:r>
      <w:r w:rsidR="006C606E">
        <w:rPr>
          <w:rFonts w:eastAsia="Times New Roman"/>
        </w:rPr>
        <w:t xml:space="preserve">. </w:t>
      </w:r>
      <w:r w:rsidR="00FE0F92">
        <w:rPr>
          <w:rFonts w:eastAsia="Times New Roman"/>
        </w:rPr>
        <w:t>The </w:t>
      </w:r>
      <w:r w:rsidR="00FE0F92" w:rsidRPr="006C606E">
        <w:rPr>
          <w:rFonts w:eastAsia="Times New Roman"/>
        </w:rPr>
        <w:t xml:space="preserve">Religious Society of Friends (Quakers) arose in </w:t>
      </w:r>
      <w:r w:rsidR="006C606E">
        <w:rPr>
          <w:rFonts w:eastAsia="Times New Roman"/>
        </w:rPr>
        <w:t>17</w:t>
      </w:r>
      <w:r w:rsidR="006C606E" w:rsidRPr="006C606E">
        <w:rPr>
          <w:rFonts w:eastAsia="Times New Roman"/>
          <w:vertAlign w:val="superscript"/>
        </w:rPr>
        <w:t>th</w:t>
      </w:r>
      <w:r w:rsidR="006C606E">
        <w:rPr>
          <w:rFonts w:eastAsia="Times New Roman"/>
        </w:rPr>
        <w:t xml:space="preserve"> </w:t>
      </w:r>
      <w:r w:rsidR="005052E4">
        <w:rPr>
          <w:rFonts w:eastAsia="Times New Roman"/>
        </w:rPr>
        <w:t>c</w:t>
      </w:r>
      <w:r w:rsidR="006C606E">
        <w:rPr>
          <w:rFonts w:eastAsia="Times New Roman"/>
        </w:rPr>
        <w:t>entury England</w:t>
      </w:r>
      <w:r w:rsidR="00FE0F92">
        <w:rPr>
          <w:rFonts w:eastAsia="Times New Roman"/>
        </w:rPr>
        <w:t xml:space="preserve">, believing that there is </w:t>
      </w:r>
      <w:r w:rsidR="00785A9B">
        <w:rPr>
          <w:rFonts w:eastAsia="Times New Roman"/>
        </w:rPr>
        <w:t>an Inner Light or “that of God” in every human being</w:t>
      </w:r>
      <w:r w:rsidR="00EC38FF">
        <w:rPr>
          <w:rFonts w:eastAsia="Times New Roman"/>
        </w:rPr>
        <w:t>.</w:t>
      </w:r>
      <w:r w:rsidR="00F92373">
        <w:rPr>
          <w:rFonts w:eastAsia="Times New Roman"/>
        </w:rPr>
        <w:t xml:space="preserve"> Flowing out of this principle</w:t>
      </w:r>
      <w:r w:rsidR="00EC38FF">
        <w:rPr>
          <w:rFonts w:eastAsia="Times New Roman"/>
        </w:rPr>
        <w:t xml:space="preserve"> come</w:t>
      </w:r>
      <w:r w:rsidR="00F92373">
        <w:rPr>
          <w:rFonts w:eastAsia="Times New Roman"/>
        </w:rPr>
        <w:t>s</w:t>
      </w:r>
      <w:r w:rsidR="00EC38FF">
        <w:rPr>
          <w:rFonts w:eastAsia="Times New Roman"/>
        </w:rPr>
        <w:t xml:space="preserve"> </w:t>
      </w:r>
      <w:r w:rsidR="00A627CB">
        <w:rPr>
          <w:rFonts w:eastAsia="Times New Roman"/>
        </w:rPr>
        <w:t>Quakers’</w:t>
      </w:r>
      <w:r w:rsidR="00FE0F92">
        <w:rPr>
          <w:rFonts w:eastAsia="Times New Roman"/>
        </w:rPr>
        <w:t xml:space="preserve"> commitment to equality, </w:t>
      </w:r>
      <w:r w:rsidR="006C606E">
        <w:rPr>
          <w:rFonts w:eastAsia="Times New Roman"/>
        </w:rPr>
        <w:t>peace</w:t>
      </w:r>
      <w:r w:rsidR="00FE0F92">
        <w:rPr>
          <w:rFonts w:eastAsia="Times New Roman"/>
        </w:rPr>
        <w:t>, simplicity, community</w:t>
      </w:r>
      <w:r w:rsidR="000E5AD3">
        <w:rPr>
          <w:rFonts w:eastAsia="Times New Roman"/>
        </w:rPr>
        <w:t>,</w:t>
      </w:r>
      <w:r w:rsidR="00FE0F92">
        <w:rPr>
          <w:rFonts w:eastAsia="Times New Roman"/>
        </w:rPr>
        <w:t xml:space="preserve"> integrity</w:t>
      </w:r>
      <w:r w:rsidR="000E5AD3">
        <w:rPr>
          <w:rFonts w:eastAsia="Times New Roman"/>
        </w:rPr>
        <w:t xml:space="preserve"> and stewardship (of life)</w:t>
      </w:r>
      <w:r w:rsidR="00FE0F92">
        <w:rPr>
          <w:rFonts w:eastAsia="Times New Roman"/>
        </w:rPr>
        <w:t>.</w:t>
      </w:r>
      <w:r w:rsidR="006C606E">
        <w:rPr>
          <w:rFonts w:eastAsia="Times New Roman"/>
        </w:rPr>
        <w:t xml:space="preserve"> Quakers</w:t>
      </w:r>
      <w:r w:rsidR="008D30FF">
        <w:rPr>
          <w:rFonts w:eastAsia="Times New Roman"/>
        </w:rPr>
        <w:t xml:space="preserve"> across the world</w:t>
      </w:r>
      <w:r w:rsidR="006C606E">
        <w:rPr>
          <w:rFonts w:eastAsia="Times New Roman"/>
        </w:rPr>
        <w:t xml:space="preserve"> have </w:t>
      </w:r>
      <w:r w:rsidR="005052E4">
        <w:rPr>
          <w:rFonts w:eastAsia="Times New Roman"/>
        </w:rPr>
        <w:t>been deeply engaged</w:t>
      </w:r>
      <w:r w:rsidR="00500EE0">
        <w:rPr>
          <w:rFonts w:eastAsia="Times New Roman"/>
        </w:rPr>
        <w:t xml:space="preserve"> </w:t>
      </w:r>
      <w:r w:rsidR="006C606E">
        <w:rPr>
          <w:rFonts w:eastAsia="Times New Roman"/>
        </w:rPr>
        <w:t xml:space="preserve">in addressing slavery, women’s rights, prison reform, mental health care, </w:t>
      </w:r>
      <w:r w:rsidR="005052E4">
        <w:rPr>
          <w:rFonts w:eastAsia="Times New Roman"/>
        </w:rPr>
        <w:t xml:space="preserve">the human rights of Indigenous Peoples </w:t>
      </w:r>
      <w:r w:rsidR="006C606E">
        <w:rPr>
          <w:rFonts w:eastAsia="Times New Roman"/>
        </w:rPr>
        <w:t>and other issues of social and ecological justice.</w:t>
      </w:r>
    </w:p>
    <w:p w:rsidR="008D30FF" w:rsidRDefault="008D30FF">
      <w:pPr>
        <w:rPr>
          <w:rFonts w:eastAsia="Times New Roman"/>
        </w:rPr>
      </w:pPr>
    </w:p>
    <w:p w:rsidR="00022983" w:rsidRDefault="00C5482F">
      <w:r>
        <w:rPr>
          <w:u w:val="single"/>
        </w:rPr>
        <w:t xml:space="preserve">2. </w:t>
      </w:r>
      <w:r w:rsidR="00292CCF" w:rsidRPr="00292CCF">
        <w:rPr>
          <w:u w:val="single"/>
        </w:rPr>
        <w:t>CFSC and synthetic biology</w:t>
      </w:r>
      <w:r w:rsidR="00292CCF">
        <w:t xml:space="preserve"> </w:t>
      </w:r>
      <w:r w:rsidR="00292CCF">
        <w:rPr>
          <w:rFonts w:eastAsia="Times New Roman"/>
        </w:rPr>
        <w:t xml:space="preserve">— </w:t>
      </w:r>
      <w:r w:rsidR="008D30FF">
        <w:t>Canadian Quakers have had an active interest in the spiri</w:t>
      </w:r>
      <w:r w:rsidR="00EA4F6E">
        <w:t>tual, ethical, and legal aspe</w:t>
      </w:r>
      <w:r w:rsidR="00F50A49">
        <w:t xml:space="preserve">cts of </w:t>
      </w:r>
      <w:r w:rsidR="008D30FF">
        <w:t xml:space="preserve">biotechnology </w:t>
      </w:r>
      <w:r w:rsidR="00EA4F6E">
        <w:t>since 2000 when we joined the Canadian Council of Churches</w:t>
      </w:r>
      <w:r w:rsidR="00055C51">
        <w:t>’ Biotechnology Reference Group (BRG)</w:t>
      </w:r>
      <w:r w:rsidR="00EA4F6E">
        <w:t xml:space="preserve"> </w:t>
      </w:r>
      <w:r w:rsidR="004634C2">
        <w:t xml:space="preserve">as </w:t>
      </w:r>
      <w:proofErr w:type="spellStart"/>
      <w:r w:rsidR="004634C2">
        <w:t>intervenors</w:t>
      </w:r>
      <w:proofErr w:type="spellEnd"/>
      <w:r w:rsidR="004634C2">
        <w:t xml:space="preserve"> in a case before the Supreme Court of Canada related to</w:t>
      </w:r>
      <w:r w:rsidR="00EA4F6E">
        <w:t xml:space="preserve"> the patenting of Harvard</w:t>
      </w:r>
      <w:r w:rsidR="004634C2">
        <w:t xml:space="preserve"> University</w:t>
      </w:r>
      <w:r w:rsidR="00EA4F6E">
        <w:t xml:space="preserve">’s </w:t>
      </w:r>
      <w:proofErr w:type="spellStart"/>
      <w:r w:rsidR="00EA4F6E" w:rsidRPr="00F50A49">
        <w:rPr>
          <w:i/>
        </w:rPr>
        <w:t>oncomouse</w:t>
      </w:r>
      <w:proofErr w:type="spellEnd"/>
      <w:r w:rsidR="00EA4F6E">
        <w:t xml:space="preserve"> </w:t>
      </w:r>
      <w:r w:rsidR="00593719">
        <w:t xml:space="preserve">(which </w:t>
      </w:r>
      <w:r w:rsidR="004634C2">
        <w:t>was not granted a</w:t>
      </w:r>
      <w:r w:rsidR="00EA4F6E">
        <w:t xml:space="preserve"> patent). In 2012</w:t>
      </w:r>
      <w:r w:rsidR="00593719">
        <w:t xml:space="preserve">, the BRG </w:t>
      </w:r>
      <w:r w:rsidR="00500EE0">
        <w:t xml:space="preserve">was one of the hundred non-governmental organizations </w:t>
      </w:r>
      <w:r w:rsidR="00EF62F8">
        <w:t>that</w:t>
      </w:r>
      <w:r w:rsidR="004634C2">
        <w:t xml:space="preserve"> </w:t>
      </w:r>
      <w:r w:rsidR="00500EE0">
        <w:t>endors</w:t>
      </w:r>
      <w:r w:rsidR="004634C2">
        <w:t>ed</w:t>
      </w:r>
      <w:r w:rsidR="00500EE0">
        <w:t xml:space="preserve"> the </w:t>
      </w:r>
      <w:r w:rsidR="00055C51" w:rsidRPr="00500EE0">
        <w:rPr>
          <w:i/>
        </w:rPr>
        <w:t>Principles for the Oversight of Synthetic Biology</w:t>
      </w:r>
      <w:r w:rsidR="00500EE0">
        <w:rPr>
          <w:i/>
        </w:rPr>
        <w:t xml:space="preserve">. </w:t>
      </w:r>
      <w:r w:rsidR="00500EE0">
        <w:t xml:space="preserve"> </w:t>
      </w:r>
    </w:p>
    <w:p w:rsidR="00022983" w:rsidRDefault="00022983"/>
    <w:p w:rsidR="008D30FF" w:rsidRDefault="00022983">
      <w:r>
        <w:t>In early 2012</w:t>
      </w:r>
      <w:r w:rsidR="00776D0A">
        <w:t>,</w:t>
      </w:r>
      <w:r>
        <w:t xml:space="preserve"> the World Conference of Friends</w:t>
      </w:r>
      <w:r w:rsidR="00785A9B">
        <w:t xml:space="preserve"> (Quakers)</w:t>
      </w:r>
      <w:r>
        <w:t xml:space="preserve"> issued a statement </w:t>
      </w:r>
      <w:r w:rsidR="000E5AD3">
        <w:t>with strong ecological</w:t>
      </w:r>
      <w:r w:rsidR="00785A9B">
        <w:t xml:space="preserve"> and social</w:t>
      </w:r>
      <w:r w:rsidR="000E5AD3">
        <w:t xml:space="preserve"> </w:t>
      </w:r>
      <w:r w:rsidR="00593719">
        <w:t>imperatives</w:t>
      </w:r>
      <w:r w:rsidR="000E5AD3">
        <w:t xml:space="preserve">, </w:t>
      </w:r>
      <w:r w:rsidRPr="00022983">
        <w:rPr>
          <w:i/>
        </w:rPr>
        <w:t xml:space="preserve">The </w:t>
      </w:r>
      <w:proofErr w:type="spellStart"/>
      <w:r w:rsidRPr="00022983">
        <w:rPr>
          <w:i/>
        </w:rPr>
        <w:t>Kabarak</w:t>
      </w:r>
      <w:proofErr w:type="spellEnd"/>
      <w:r w:rsidRPr="00022983">
        <w:rPr>
          <w:i/>
        </w:rPr>
        <w:t xml:space="preserve"> Call for Peace and </w:t>
      </w:r>
      <w:proofErr w:type="spellStart"/>
      <w:r w:rsidRPr="00022983">
        <w:rPr>
          <w:i/>
        </w:rPr>
        <w:t>Ecojustice</w:t>
      </w:r>
      <w:proofErr w:type="spellEnd"/>
      <w:r w:rsidR="000E5AD3">
        <w:t>. It presaged</w:t>
      </w:r>
      <w:r>
        <w:t xml:space="preserve"> </w:t>
      </w:r>
      <w:r w:rsidR="000E5AD3">
        <w:t xml:space="preserve">the 2015 encyclical of Pope Francis, </w:t>
      </w:r>
      <w:r w:rsidRPr="00022983">
        <w:rPr>
          <w:i/>
        </w:rPr>
        <w:t>On Care for Our Common Home</w:t>
      </w:r>
      <w:r w:rsidR="00785A9B">
        <w:t>. This</w:t>
      </w:r>
      <w:r>
        <w:t xml:space="preserve"> Quaker statement included, “…we must become careful stewards of all life</w:t>
      </w:r>
      <w:r w:rsidR="00776D0A">
        <w:t>,</w:t>
      </w:r>
      <w:r w:rsidR="00593719">
        <w:t>”</w:t>
      </w:r>
      <w:r w:rsidR="00776D0A">
        <w:t xml:space="preserve"> </w:t>
      </w:r>
      <w:r>
        <w:t>and</w:t>
      </w:r>
      <w:r w:rsidR="00292CCF">
        <w:t>, “We are called to teach our children right relationship, to live in harmony with each other and all living beings in the earth, waters and sky…</w:t>
      </w:r>
      <w:proofErr w:type="gramStart"/>
      <w:r w:rsidR="00292CCF">
        <w:t>”</w:t>
      </w:r>
      <w:r w:rsidR="00593719">
        <w:t xml:space="preserve">  </w:t>
      </w:r>
      <w:proofErr w:type="gramEnd"/>
      <w:r w:rsidR="00500EE0">
        <w:t xml:space="preserve">The 2012 Yearly </w:t>
      </w:r>
      <w:r w:rsidR="000E5AD3">
        <w:t xml:space="preserve">(national) Meeting of Canadian </w:t>
      </w:r>
      <w:r w:rsidR="00500EE0">
        <w:t xml:space="preserve">Quakers decided to engage Quaker meetings across </w:t>
      </w:r>
      <w:r w:rsidR="000E5AD3">
        <w:t>the country</w:t>
      </w:r>
      <w:r w:rsidR="00500EE0">
        <w:t xml:space="preserve"> to form</w:t>
      </w:r>
      <w:r w:rsidR="00055C51">
        <w:t xml:space="preserve"> </w:t>
      </w:r>
      <w:r w:rsidR="00EC38FF">
        <w:t xml:space="preserve">a </w:t>
      </w:r>
      <w:r w:rsidR="00593719">
        <w:t xml:space="preserve">Quaker </w:t>
      </w:r>
      <w:r w:rsidR="00500EE0">
        <w:t xml:space="preserve">perspective on synthetic biology. </w:t>
      </w:r>
    </w:p>
    <w:p w:rsidR="00F50A49" w:rsidRDefault="00F50A49"/>
    <w:p w:rsidR="00F50A49" w:rsidRDefault="00F50A49">
      <w:r>
        <w:t xml:space="preserve">What are the implications of </w:t>
      </w:r>
      <w:r w:rsidR="00593719">
        <w:t xml:space="preserve">key </w:t>
      </w:r>
      <w:r>
        <w:t xml:space="preserve">Quaker </w:t>
      </w:r>
      <w:r w:rsidR="00593719">
        <w:t>values</w:t>
      </w:r>
      <w:r>
        <w:t xml:space="preserve"> for </w:t>
      </w:r>
      <w:r w:rsidR="00593719">
        <w:t>our</w:t>
      </w:r>
      <w:r>
        <w:t xml:space="preserve"> approach </w:t>
      </w:r>
      <w:r w:rsidR="00593719">
        <w:t xml:space="preserve">to </w:t>
      </w:r>
      <w:r>
        <w:t xml:space="preserve">synthetic biology?  </w:t>
      </w:r>
    </w:p>
    <w:p w:rsidR="00190447" w:rsidRDefault="00190447"/>
    <w:p w:rsidR="00F50A49" w:rsidRDefault="00F50A49" w:rsidP="00F50A49">
      <w:pPr>
        <w:ind w:left="720"/>
      </w:pPr>
      <w:r w:rsidRPr="00190447">
        <w:rPr>
          <w:i/>
        </w:rPr>
        <w:lastRenderedPageBreak/>
        <w:t>Equality</w:t>
      </w:r>
      <w:r w:rsidR="00AF666A">
        <w:t xml:space="preserve"> leads</w:t>
      </w:r>
      <w:r w:rsidR="007E7669">
        <w:t xml:space="preserve"> to fair s</w:t>
      </w:r>
      <w:r w:rsidR="00AF666A">
        <w:t>haring of opportunity</w:t>
      </w:r>
      <w:r w:rsidR="004D1785">
        <w:t>,</w:t>
      </w:r>
      <w:r w:rsidR="00AF666A">
        <w:t xml:space="preserve"> and so to </w:t>
      </w:r>
      <w:r w:rsidR="00593719">
        <w:t xml:space="preserve">fair </w:t>
      </w:r>
      <w:r w:rsidR="007E7669">
        <w:t xml:space="preserve">sharing </w:t>
      </w:r>
      <w:r>
        <w:t>of synthetic biology’s benefits and costs</w:t>
      </w:r>
      <w:r w:rsidR="00190447">
        <w:t>, direct and indirect,</w:t>
      </w:r>
      <w:r w:rsidR="007E7669">
        <w:t xml:space="preserve"> across </w:t>
      </w:r>
      <w:r>
        <w:t>people</w:t>
      </w:r>
      <w:r w:rsidR="00190447">
        <w:t>s</w:t>
      </w:r>
      <w:r>
        <w:t xml:space="preserve"> and nations.</w:t>
      </w:r>
    </w:p>
    <w:p w:rsidR="00190447" w:rsidRDefault="00190447" w:rsidP="00F50A49">
      <w:pPr>
        <w:ind w:left="720"/>
      </w:pPr>
      <w:r>
        <w:tab/>
      </w:r>
    </w:p>
    <w:p w:rsidR="00F50A49" w:rsidRDefault="00F50A49" w:rsidP="00190447">
      <w:pPr>
        <w:ind w:left="720"/>
      </w:pPr>
      <w:r w:rsidRPr="00190447">
        <w:rPr>
          <w:i/>
        </w:rPr>
        <w:t>Peac</w:t>
      </w:r>
      <w:r w:rsidR="00190447" w:rsidRPr="00190447">
        <w:rPr>
          <w:i/>
        </w:rPr>
        <w:t>e</w:t>
      </w:r>
      <w:r w:rsidR="007E7669">
        <w:t xml:space="preserve"> implies avoid</w:t>
      </w:r>
      <w:r w:rsidR="007C6137">
        <w:t xml:space="preserve">ing </w:t>
      </w:r>
      <w:r w:rsidR="006B0A25">
        <w:t>military and</w:t>
      </w:r>
      <w:r w:rsidR="00190447">
        <w:t xml:space="preserve"> violent uses of synthetic biology whether by nations, groups</w:t>
      </w:r>
      <w:r w:rsidR="004D1785">
        <w:t>,</w:t>
      </w:r>
      <w:r w:rsidR="00190447">
        <w:t xml:space="preserve"> or individuals.</w:t>
      </w:r>
    </w:p>
    <w:p w:rsidR="00190447" w:rsidRDefault="00190447" w:rsidP="00190447">
      <w:pPr>
        <w:ind w:left="720"/>
      </w:pPr>
    </w:p>
    <w:p w:rsidR="00E261CF" w:rsidRPr="00E261CF" w:rsidRDefault="00190447" w:rsidP="002071ED">
      <w:pPr>
        <w:ind w:left="720"/>
      </w:pPr>
      <w:r w:rsidRPr="00190447">
        <w:rPr>
          <w:i/>
        </w:rPr>
        <w:t>Simplicity</w:t>
      </w:r>
      <w:r>
        <w:t xml:space="preserve"> </w:t>
      </w:r>
      <w:r w:rsidR="007E7669">
        <w:t>m</w:t>
      </w:r>
      <w:r w:rsidR="00AF666A">
        <w:t>eans keeping to basics, not</w:t>
      </w:r>
      <w:r w:rsidR="007E7669">
        <w:t xml:space="preserve"> </w:t>
      </w:r>
      <w:r>
        <w:t>draw</w:t>
      </w:r>
      <w:r w:rsidR="007E7669">
        <w:t>ing</w:t>
      </w:r>
      <w:r>
        <w:t xml:space="preserve"> </w:t>
      </w:r>
      <w:r w:rsidR="002071ED">
        <w:t>dow</w:t>
      </w:r>
      <w:r w:rsidR="00593719">
        <w:t xml:space="preserve">n resources – </w:t>
      </w:r>
      <w:r w:rsidR="007C6137">
        <w:t>ecological</w:t>
      </w:r>
      <w:r w:rsidR="00593719">
        <w:t>, human</w:t>
      </w:r>
      <w:r w:rsidR="004D1785">
        <w:t>,</w:t>
      </w:r>
      <w:r w:rsidR="00593719">
        <w:t xml:space="preserve"> or financial – </w:t>
      </w:r>
      <w:r>
        <w:t xml:space="preserve">when simpler </w:t>
      </w:r>
      <w:r w:rsidR="007E7669">
        <w:t>ways</w:t>
      </w:r>
      <w:r>
        <w:t xml:space="preserve"> are available.</w:t>
      </w:r>
      <w:r w:rsidR="002071ED">
        <w:t xml:space="preserve"> </w:t>
      </w:r>
    </w:p>
    <w:p w:rsidR="00190447" w:rsidRDefault="00190447" w:rsidP="00190447">
      <w:pPr>
        <w:ind w:left="720"/>
      </w:pPr>
    </w:p>
    <w:p w:rsidR="00190447" w:rsidRDefault="00CF3B4D" w:rsidP="00190447">
      <w:pPr>
        <w:ind w:left="720"/>
      </w:pPr>
      <w:r w:rsidRPr="00CF3B4D">
        <w:rPr>
          <w:i/>
        </w:rPr>
        <w:t>Community</w:t>
      </w:r>
      <w:r w:rsidR="00C5482F">
        <w:t xml:space="preserve"> implies that people</w:t>
      </w:r>
      <w:r w:rsidR="004D1785">
        <w:t>s</w:t>
      </w:r>
      <w:r w:rsidR="006B0A25">
        <w:t xml:space="preserve"> of all kinds</w:t>
      </w:r>
      <w:r>
        <w:t xml:space="preserve">, </w:t>
      </w:r>
      <w:r w:rsidR="004D1785">
        <w:t>I</w:t>
      </w:r>
      <w:r>
        <w:t>ndigenous and non-</w:t>
      </w:r>
      <w:r w:rsidR="004D1785">
        <w:t>I</w:t>
      </w:r>
      <w:r>
        <w:t xml:space="preserve">ndigenous, </w:t>
      </w:r>
      <w:r w:rsidR="00AF666A">
        <w:t>collaborate</w:t>
      </w:r>
      <w:r>
        <w:t xml:space="preserve"> in planning, managing and benefitting from synthetic biology.</w:t>
      </w:r>
    </w:p>
    <w:p w:rsidR="00CF3B4D" w:rsidRDefault="00CF3B4D" w:rsidP="00190447">
      <w:pPr>
        <w:ind w:left="720"/>
      </w:pPr>
    </w:p>
    <w:p w:rsidR="00CF3B4D" w:rsidRDefault="00CF3B4D" w:rsidP="00190447">
      <w:pPr>
        <w:ind w:left="720"/>
      </w:pPr>
      <w:r w:rsidRPr="00CF3B4D">
        <w:rPr>
          <w:i/>
        </w:rPr>
        <w:t>Integrity</w:t>
      </w:r>
      <w:r w:rsidR="005E7088">
        <w:t xml:space="preserve"> implies full and informative</w:t>
      </w:r>
      <w:r>
        <w:t xml:space="preserve"> communication</w:t>
      </w:r>
      <w:r w:rsidR="009C1213">
        <w:t xml:space="preserve"> and </w:t>
      </w:r>
      <w:r>
        <w:t>consistency between words and action</w:t>
      </w:r>
      <w:r w:rsidR="00E544A6">
        <w:t>. Integrity also calls on synthetic biology to re</w:t>
      </w:r>
      <w:r w:rsidR="00C5482F">
        <w:t xml:space="preserve">spect the complexity of life, </w:t>
      </w:r>
      <w:r w:rsidR="00E544A6">
        <w:t>to consider all levels</w:t>
      </w:r>
      <w:r w:rsidR="00C5482F">
        <w:t>,</w:t>
      </w:r>
      <w:r w:rsidR="00E544A6">
        <w:t xml:space="preserve"> from the molecular to the ecosystem</w:t>
      </w:r>
      <w:r w:rsidR="00593719">
        <w:t xml:space="preserve">, to </w:t>
      </w:r>
      <w:r w:rsidR="00AF666A">
        <w:t>the societal</w:t>
      </w:r>
      <w:r w:rsidR="00E544A6">
        <w:t>.</w:t>
      </w:r>
    </w:p>
    <w:p w:rsidR="00CF3B4D" w:rsidRDefault="00CF3B4D" w:rsidP="00190447">
      <w:pPr>
        <w:ind w:left="720"/>
      </w:pPr>
    </w:p>
    <w:p w:rsidR="00CF3B4D" w:rsidRDefault="00CF3B4D" w:rsidP="00190447">
      <w:pPr>
        <w:ind w:left="720"/>
      </w:pPr>
      <w:r w:rsidRPr="007C6137">
        <w:rPr>
          <w:i/>
        </w:rPr>
        <w:t>Stewardship</w:t>
      </w:r>
      <w:r w:rsidR="007C6137">
        <w:t xml:space="preserve"> means prudent care</w:t>
      </w:r>
      <w:r>
        <w:t xml:space="preserve">: </w:t>
      </w:r>
      <w:r w:rsidR="007C6137">
        <w:t xml:space="preserve">of </w:t>
      </w:r>
      <w:r>
        <w:t xml:space="preserve">ecosystems, </w:t>
      </w:r>
      <w:r w:rsidR="005E7088">
        <w:t>of</w:t>
      </w:r>
      <w:r w:rsidR="00E544A6">
        <w:t xml:space="preserve"> people, of their</w:t>
      </w:r>
      <w:r>
        <w:t xml:space="preserve"> </w:t>
      </w:r>
      <w:r w:rsidR="007C6137">
        <w:t xml:space="preserve">valued </w:t>
      </w:r>
      <w:r>
        <w:t>o</w:t>
      </w:r>
      <w:r w:rsidR="00E544A6">
        <w:t xml:space="preserve">bjects and </w:t>
      </w:r>
      <w:r w:rsidR="007C6137">
        <w:t xml:space="preserve">of </w:t>
      </w:r>
      <w:proofErr w:type="gramStart"/>
      <w:r w:rsidR="007C6137">
        <w:t>culturally-valued</w:t>
      </w:r>
      <w:proofErr w:type="gramEnd"/>
      <w:r w:rsidR="007C6137">
        <w:t xml:space="preserve"> </w:t>
      </w:r>
      <w:r w:rsidR="005E7088">
        <w:t>traditions</w:t>
      </w:r>
      <w:r w:rsidR="007C6137">
        <w:t xml:space="preserve">. </w:t>
      </w:r>
      <w:r>
        <w:t xml:space="preserve"> </w:t>
      </w:r>
    </w:p>
    <w:p w:rsidR="002071ED" w:rsidRDefault="002071ED"/>
    <w:p w:rsidR="002639A1" w:rsidRDefault="00C5482F">
      <w:pPr>
        <w:rPr>
          <w:rFonts w:eastAsia="Times New Roman"/>
        </w:rPr>
      </w:pPr>
      <w:r>
        <w:rPr>
          <w:u w:val="single"/>
        </w:rPr>
        <w:t xml:space="preserve">3. </w:t>
      </w:r>
      <w:r w:rsidR="00292CCF" w:rsidRPr="00292CCF">
        <w:rPr>
          <w:u w:val="single"/>
        </w:rPr>
        <w:t xml:space="preserve">Comment on the AHTEG </w:t>
      </w:r>
      <w:r w:rsidR="00593719">
        <w:rPr>
          <w:u w:val="single"/>
        </w:rPr>
        <w:t xml:space="preserve">process and </w:t>
      </w:r>
      <w:r>
        <w:rPr>
          <w:u w:val="single"/>
        </w:rPr>
        <w:t>agenda</w:t>
      </w:r>
      <w:r w:rsidR="00292CCF">
        <w:t xml:space="preserve"> </w:t>
      </w:r>
      <w:r w:rsidR="00292CCF">
        <w:rPr>
          <w:rFonts w:eastAsia="Times New Roman"/>
        </w:rPr>
        <w:t xml:space="preserve">— </w:t>
      </w:r>
      <w:r w:rsidR="00E731EE">
        <w:rPr>
          <w:rFonts w:eastAsia="Times New Roman"/>
        </w:rPr>
        <w:t>The specif</w:t>
      </w:r>
      <w:r w:rsidR="002E17A7">
        <w:rPr>
          <w:rFonts w:eastAsia="Times New Roman"/>
        </w:rPr>
        <w:t>ics for the AHTEG agenda derive</w:t>
      </w:r>
      <w:r w:rsidR="00E731EE">
        <w:rPr>
          <w:rFonts w:eastAsia="Times New Roman"/>
        </w:rPr>
        <w:t xml:space="preserve"> from </w:t>
      </w:r>
      <w:r w:rsidR="00FF6CCA">
        <w:rPr>
          <w:rFonts w:eastAsia="Times New Roman"/>
        </w:rPr>
        <w:t>Convention on Biological Diversity Conference of the Parties (</w:t>
      </w:r>
      <w:r w:rsidR="00E731EE">
        <w:rPr>
          <w:rFonts w:eastAsia="Times New Roman"/>
        </w:rPr>
        <w:t>CBD COP</w:t>
      </w:r>
      <w:r w:rsidR="00FF6CCA">
        <w:rPr>
          <w:rFonts w:eastAsia="Times New Roman"/>
        </w:rPr>
        <w:t>)</w:t>
      </w:r>
      <w:r w:rsidR="00E731EE">
        <w:rPr>
          <w:rFonts w:eastAsia="Times New Roman"/>
        </w:rPr>
        <w:t xml:space="preserve"> XII/24 in 2014, which recognize</w:t>
      </w:r>
      <w:r w:rsidR="002E17A7">
        <w:rPr>
          <w:rFonts w:eastAsia="Times New Roman"/>
        </w:rPr>
        <w:t>d</w:t>
      </w:r>
      <w:r w:rsidR="00E731EE">
        <w:rPr>
          <w:rFonts w:eastAsia="Times New Roman"/>
        </w:rPr>
        <w:t xml:space="preserve"> synthetic biology </w:t>
      </w:r>
      <w:r w:rsidR="00310CB4">
        <w:rPr>
          <w:rFonts w:eastAsia="Times New Roman"/>
        </w:rPr>
        <w:t xml:space="preserve">(SB) </w:t>
      </w:r>
      <w:r w:rsidR="00E731EE">
        <w:rPr>
          <w:rFonts w:eastAsia="Times New Roman"/>
        </w:rPr>
        <w:t xml:space="preserve">to be a new and emerging issue. </w:t>
      </w:r>
    </w:p>
    <w:p w:rsidR="002639A1" w:rsidRDefault="002639A1">
      <w:pPr>
        <w:rPr>
          <w:rFonts w:eastAsia="Times New Roman"/>
        </w:rPr>
      </w:pPr>
    </w:p>
    <w:p w:rsidR="00FF6CCA" w:rsidRDefault="002639A1">
      <w:pPr>
        <w:rPr>
          <w:rFonts w:eastAsia="Times New Roman"/>
        </w:rPr>
      </w:pPr>
      <w:r>
        <w:rPr>
          <w:rFonts w:eastAsia="Times New Roman"/>
        </w:rPr>
        <w:t>We at CFSC</w:t>
      </w:r>
      <w:r w:rsidR="000C67EE">
        <w:rPr>
          <w:rFonts w:eastAsia="Times New Roman"/>
        </w:rPr>
        <w:t xml:space="preserve"> value the diversity of the AHTEG: governmental representatives from all regions of the world, </w:t>
      </w:r>
      <w:r w:rsidR="00265206">
        <w:rPr>
          <w:rFonts w:eastAsia="Times New Roman"/>
        </w:rPr>
        <w:t xml:space="preserve">SB </w:t>
      </w:r>
      <w:r w:rsidR="00A627CB">
        <w:rPr>
          <w:rFonts w:eastAsia="Times New Roman"/>
        </w:rPr>
        <w:t xml:space="preserve">researchers, </w:t>
      </w:r>
      <w:r w:rsidR="009C1213">
        <w:rPr>
          <w:rFonts w:eastAsia="Times New Roman"/>
        </w:rPr>
        <w:t xml:space="preserve">civil society organizations </w:t>
      </w:r>
      <w:r w:rsidR="00A627CB">
        <w:rPr>
          <w:rFonts w:eastAsia="Times New Roman"/>
        </w:rPr>
        <w:t xml:space="preserve">with </w:t>
      </w:r>
      <w:r w:rsidR="0082033F">
        <w:rPr>
          <w:rFonts w:eastAsia="Times New Roman"/>
        </w:rPr>
        <w:t>varied</w:t>
      </w:r>
      <w:r w:rsidR="000C67EE">
        <w:rPr>
          <w:rFonts w:eastAsia="Times New Roman"/>
        </w:rPr>
        <w:t xml:space="preserve"> interests</w:t>
      </w:r>
      <w:r w:rsidR="00265206">
        <w:rPr>
          <w:rFonts w:eastAsia="Times New Roman"/>
        </w:rPr>
        <w:t xml:space="preserve"> in SB</w:t>
      </w:r>
      <w:r w:rsidR="000C67EE">
        <w:rPr>
          <w:rFonts w:eastAsia="Times New Roman"/>
        </w:rPr>
        <w:t>, and SB industry representatives. CBD COP XII/24</w:t>
      </w:r>
      <w:r w:rsidR="00E731EE">
        <w:rPr>
          <w:rFonts w:eastAsia="Times New Roman"/>
        </w:rPr>
        <w:t xml:space="preserve"> asked for </w:t>
      </w:r>
      <w:r w:rsidR="00310CB4">
        <w:rPr>
          <w:rFonts w:eastAsia="Times New Roman"/>
        </w:rPr>
        <w:t>“</w:t>
      </w:r>
      <w:r w:rsidR="00E731EE">
        <w:rPr>
          <w:rFonts w:eastAsia="Times New Roman"/>
        </w:rPr>
        <w:t xml:space="preserve">representation </w:t>
      </w:r>
      <w:r w:rsidR="00310CB4">
        <w:rPr>
          <w:rFonts w:eastAsia="Times New Roman"/>
        </w:rPr>
        <w:t>of</w:t>
      </w:r>
      <w:r w:rsidR="00E731EE">
        <w:rPr>
          <w:rFonts w:eastAsia="Times New Roman"/>
        </w:rPr>
        <w:t xml:space="preserve"> indigenous and local communities and all relevant stakeholders.</w:t>
      </w:r>
      <w:r w:rsidR="00310CB4">
        <w:rPr>
          <w:rFonts w:eastAsia="Times New Roman"/>
        </w:rPr>
        <w:t>”</w:t>
      </w:r>
      <w:r w:rsidR="00E731EE">
        <w:rPr>
          <w:rFonts w:eastAsia="Times New Roman"/>
        </w:rPr>
        <w:t xml:space="preserve">  </w:t>
      </w:r>
      <w:r w:rsidR="00E731EE" w:rsidRPr="00F1658F">
        <w:rPr>
          <w:rFonts w:eastAsia="Times New Roman"/>
        </w:rPr>
        <w:t>Unfortunately</w:t>
      </w:r>
      <w:r w:rsidR="000C67EE" w:rsidRPr="00F1658F">
        <w:rPr>
          <w:rFonts w:eastAsia="Times New Roman"/>
        </w:rPr>
        <w:t>, neither</w:t>
      </w:r>
      <w:r w:rsidR="00E731EE" w:rsidRPr="00F1658F">
        <w:rPr>
          <w:rFonts w:eastAsia="Times New Roman"/>
        </w:rPr>
        <w:t xml:space="preserve"> </w:t>
      </w:r>
      <w:r w:rsidR="00A91B22">
        <w:rPr>
          <w:rFonts w:eastAsia="Times New Roman"/>
        </w:rPr>
        <w:t>I</w:t>
      </w:r>
      <w:r w:rsidR="00E731EE" w:rsidRPr="00F1658F">
        <w:rPr>
          <w:rFonts w:eastAsia="Times New Roman"/>
        </w:rPr>
        <w:t xml:space="preserve">ndigenous representatives </w:t>
      </w:r>
      <w:r w:rsidR="000C67EE" w:rsidRPr="00F1658F">
        <w:rPr>
          <w:rFonts w:eastAsia="Times New Roman"/>
        </w:rPr>
        <w:t xml:space="preserve">nor stakeholders from </w:t>
      </w:r>
      <w:r w:rsidR="00E731EE" w:rsidRPr="00F1658F">
        <w:rPr>
          <w:rFonts w:eastAsia="Times New Roman"/>
        </w:rPr>
        <w:t xml:space="preserve">communities </w:t>
      </w:r>
      <w:r w:rsidR="000C67EE" w:rsidRPr="00F1658F">
        <w:rPr>
          <w:rFonts w:eastAsia="Times New Roman"/>
        </w:rPr>
        <w:t xml:space="preserve">potentially affected by SB </w:t>
      </w:r>
      <w:r w:rsidR="006B0A25" w:rsidRPr="00F1658F">
        <w:rPr>
          <w:rFonts w:eastAsia="Times New Roman"/>
        </w:rPr>
        <w:t>participate</w:t>
      </w:r>
      <w:r w:rsidR="0082033F" w:rsidRPr="00F1658F">
        <w:rPr>
          <w:rFonts w:eastAsia="Times New Roman"/>
        </w:rPr>
        <w:t>d</w:t>
      </w:r>
      <w:r w:rsidR="006B0A25" w:rsidRPr="00F1658F">
        <w:rPr>
          <w:rFonts w:eastAsia="Times New Roman"/>
        </w:rPr>
        <w:t xml:space="preserve"> in the AHTEG</w:t>
      </w:r>
      <w:r w:rsidR="00157E67" w:rsidRPr="00F1658F">
        <w:rPr>
          <w:rFonts w:eastAsia="Times New Roman"/>
        </w:rPr>
        <w:t>.</w:t>
      </w:r>
      <w:r w:rsidR="00157E67">
        <w:rPr>
          <w:rFonts w:eastAsia="Times New Roman"/>
        </w:rPr>
        <w:t xml:space="preserve"> </w:t>
      </w:r>
    </w:p>
    <w:p w:rsidR="000C67EE" w:rsidRDefault="000C67EE">
      <w:pPr>
        <w:rPr>
          <w:rFonts w:eastAsia="Times New Roman"/>
        </w:rPr>
      </w:pPr>
    </w:p>
    <w:p w:rsidR="00FF6CCA" w:rsidRDefault="00310CB4">
      <w:pPr>
        <w:rPr>
          <w:rFonts w:eastAsia="Times New Roman"/>
        </w:rPr>
      </w:pPr>
      <w:r>
        <w:rPr>
          <w:rFonts w:eastAsia="Times New Roman"/>
        </w:rPr>
        <w:t xml:space="preserve">The </w:t>
      </w:r>
      <w:r w:rsidR="00265206">
        <w:rPr>
          <w:rFonts w:eastAsia="Times New Roman"/>
        </w:rPr>
        <w:t>agenda</w:t>
      </w:r>
      <w:r>
        <w:rPr>
          <w:rFonts w:eastAsia="Times New Roman"/>
        </w:rPr>
        <w:t xml:space="preserve"> included broad </w:t>
      </w:r>
      <w:r w:rsidR="000C67EE">
        <w:rPr>
          <w:rFonts w:eastAsia="Times New Roman"/>
        </w:rPr>
        <w:t>topics</w:t>
      </w:r>
      <w:r w:rsidR="0082033F">
        <w:rPr>
          <w:rFonts w:eastAsia="Times New Roman"/>
        </w:rPr>
        <w:t>—</w:t>
      </w:r>
      <w:r>
        <w:rPr>
          <w:rFonts w:eastAsia="Times New Roman"/>
        </w:rPr>
        <w:t>the relationship of SB and b</w:t>
      </w:r>
      <w:r w:rsidR="007B67FE">
        <w:rPr>
          <w:rFonts w:eastAsia="Times New Roman"/>
        </w:rPr>
        <w:t>iological diversity;</w:t>
      </w:r>
      <w:r>
        <w:rPr>
          <w:rFonts w:eastAsia="Times New Roman"/>
        </w:rPr>
        <w:t xml:space="preserve"> </w:t>
      </w:r>
      <w:r w:rsidR="007B67FE">
        <w:rPr>
          <w:rFonts w:eastAsia="Times New Roman"/>
        </w:rPr>
        <w:t xml:space="preserve">potential risks </w:t>
      </w:r>
      <w:r w:rsidR="00776D0A">
        <w:rPr>
          <w:rFonts w:eastAsia="Times New Roman"/>
        </w:rPr>
        <w:t>and</w:t>
      </w:r>
      <w:r w:rsidR="007B67FE">
        <w:rPr>
          <w:rFonts w:eastAsia="Times New Roman"/>
        </w:rPr>
        <w:t xml:space="preserve"> benefits of SB to biodiversity, human health</w:t>
      </w:r>
      <w:r w:rsidR="00A91B22">
        <w:rPr>
          <w:rFonts w:eastAsia="Times New Roman"/>
        </w:rPr>
        <w:t>,</w:t>
      </w:r>
      <w:r w:rsidR="007B67FE">
        <w:rPr>
          <w:rFonts w:eastAsia="Times New Roman"/>
        </w:rPr>
        <w:t xml:space="preserve"> and socioeconomic </w:t>
      </w:r>
      <w:r w:rsidR="0082033F">
        <w:rPr>
          <w:rFonts w:eastAsia="Times New Roman"/>
        </w:rPr>
        <w:t>conditions</w:t>
      </w:r>
      <w:r w:rsidR="00FF6CCA">
        <w:rPr>
          <w:rFonts w:eastAsia="Times New Roman"/>
        </w:rPr>
        <w:t>;</w:t>
      </w:r>
      <w:r w:rsidR="007B67FE">
        <w:rPr>
          <w:rFonts w:eastAsia="Times New Roman"/>
        </w:rPr>
        <w:t xml:space="preserve"> </w:t>
      </w:r>
      <w:r>
        <w:rPr>
          <w:rFonts w:eastAsia="Times New Roman"/>
        </w:rPr>
        <w:t>adequacy of national, regional</w:t>
      </w:r>
      <w:r w:rsidR="00A91B22">
        <w:rPr>
          <w:rFonts w:eastAsia="Times New Roman"/>
        </w:rPr>
        <w:t>,</w:t>
      </w:r>
      <w:r>
        <w:rPr>
          <w:rFonts w:eastAsia="Times New Roman"/>
        </w:rPr>
        <w:t xml:space="preserve"> and internati</w:t>
      </w:r>
      <w:r w:rsidR="00FF6CCA">
        <w:rPr>
          <w:rFonts w:eastAsia="Times New Roman"/>
        </w:rPr>
        <w:t>onal</w:t>
      </w:r>
      <w:r w:rsidR="0082033F">
        <w:rPr>
          <w:rFonts w:eastAsia="Times New Roman"/>
        </w:rPr>
        <w:t xml:space="preserve"> instruments to regulate SB; </w:t>
      </w:r>
      <w:r w:rsidR="007B67FE">
        <w:rPr>
          <w:rFonts w:eastAsia="Times New Roman"/>
        </w:rPr>
        <w:t xml:space="preserve">whether “existing arrangements” </w:t>
      </w:r>
      <w:r w:rsidR="0082033F">
        <w:rPr>
          <w:rFonts w:eastAsia="Times New Roman"/>
        </w:rPr>
        <w:t>are</w:t>
      </w:r>
      <w:r w:rsidR="007B67FE">
        <w:rPr>
          <w:rFonts w:eastAsia="Times New Roman"/>
        </w:rPr>
        <w:t xml:space="preserve"> a comprehensive framework to address the impacts of SB relevant to the </w:t>
      </w:r>
      <w:r w:rsidR="0082033F">
        <w:rPr>
          <w:rFonts w:eastAsia="Times New Roman"/>
        </w:rPr>
        <w:t>CBD</w:t>
      </w:r>
      <w:r w:rsidR="007B67FE">
        <w:rPr>
          <w:rFonts w:eastAsia="Times New Roman"/>
        </w:rPr>
        <w:t xml:space="preserve">, </w:t>
      </w:r>
      <w:r w:rsidR="0082033F">
        <w:rPr>
          <w:rFonts w:eastAsia="Times New Roman"/>
        </w:rPr>
        <w:t>especially</w:t>
      </w:r>
      <w:r w:rsidR="007B67FE">
        <w:rPr>
          <w:rFonts w:eastAsia="Times New Roman"/>
        </w:rPr>
        <w:t xml:space="preserve"> loss of biological diversity. This gave </w:t>
      </w:r>
      <w:r w:rsidR="00776D0A">
        <w:rPr>
          <w:rFonts w:eastAsia="Times New Roman"/>
        </w:rPr>
        <w:t xml:space="preserve">the AHTEG </w:t>
      </w:r>
      <w:r w:rsidR="007B67FE">
        <w:rPr>
          <w:rFonts w:eastAsia="Times New Roman"/>
        </w:rPr>
        <w:t>much scope to address SB</w:t>
      </w:r>
      <w:r w:rsidR="00FF6CCA">
        <w:rPr>
          <w:rFonts w:eastAsia="Times New Roman"/>
        </w:rPr>
        <w:t xml:space="preserve">, but </w:t>
      </w:r>
      <w:r w:rsidR="0082033F">
        <w:rPr>
          <w:rFonts w:eastAsia="Times New Roman"/>
        </w:rPr>
        <w:t>was an immense</w:t>
      </w:r>
      <w:r w:rsidR="00FF6CCA">
        <w:rPr>
          <w:rFonts w:eastAsia="Times New Roman"/>
        </w:rPr>
        <w:t xml:space="preserve"> amount </w:t>
      </w:r>
      <w:r w:rsidR="0082033F">
        <w:rPr>
          <w:rFonts w:eastAsia="Times New Roman"/>
        </w:rPr>
        <w:t>to cover</w:t>
      </w:r>
      <w:r w:rsidR="007B67FE">
        <w:rPr>
          <w:rFonts w:eastAsia="Times New Roman"/>
        </w:rPr>
        <w:t xml:space="preserve">.  </w:t>
      </w:r>
    </w:p>
    <w:p w:rsidR="00FF6CCA" w:rsidRDefault="00FF6CCA">
      <w:pPr>
        <w:rPr>
          <w:rFonts w:eastAsia="Times New Roman"/>
        </w:rPr>
      </w:pPr>
    </w:p>
    <w:p w:rsidR="00FE0F92" w:rsidRDefault="007B67FE">
      <w:pPr>
        <w:rPr>
          <w:rFonts w:eastAsia="Times New Roman"/>
        </w:rPr>
      </w:pPr>
      <w:r>
        <w:rPr>
          <w:rFonts w:eastAsia="Times New Roman"/>
        </w:rPr>
        <w:t xml:space="preserve">The agenda also included </w:t>
      </w:r>
      <w:r w:rsidR="00F1658F">
        <w:rPr>
          <w:rFonts w:eastAsia="Times New Roman"/>
        </w:rPr>
        <w:t>challenging</w:t>
      </w:r>
      <w:r w:rsidR="000C67EE">
        <w:rPr>
          <w:rFonts w:eastAsia="Times New Roman"/>
        </w:rPr>
        <w:t xml:space="preserve"> </w:t>
      </w:r>
      <w:r>
        <w:rPr>
          <w:rFonts w:eastAsia="Times New Roman"/>
        </w:rPr>
        <w:t xml:space="preserve">narrower </w:t>
      </w:r>
      <w:r w:rsidR="000C67EE">
        <w:rPr>
          <w:rFonts w:eastAsia="Times New Roman"/>
        </w:rPr>
        <w:t>topics</w:t>
      </w:r>
      <w:r>
        <w:rPr>
          <w:rFonts w:eastAsia="Times New Roman"/>
        </w:rPr>
        <w:t>: potential conflicts with the Cartagena Protocol; operational definition of SB</w:t>
      </w:r>
      <w:proofErr w:type="gramStart"/>
      <w:r>
        <w:rPr>
          <w:rFonts w:eastAsia="Times New Roman"/>
        </w:rPr>
        <w:t>;</w:t>
      </w:r>
      <w:proofErr w:type="gramEnd"/>
      <w:r>
        <w:rPr>
          <w:rFonts w:eastAsia="Times New Roman"/>
        </w:rPr>
        <w:t xml:space="preserve"> </w:t>
      </w:r>
      <w:r w:rsidR="00FF6CCA">
        <w:rPr>
          <w:rFonts w:eastAsia="Times New Roman"/>
        </w:rPr>
        <w:t>best practices of risk assessment and monitoring regimes.</w:t>
      </w:r>
      <w:r w:rsidR="00265206">
        <w:rPr>
          <w:rFonts w:eastAsia="Times New Roman"/>
        </w:rPr>
        <w:t xml:space="preserve"> Any one of these subjects could have been a </w:t>
      </w:r>
      <w:r w:rsidR="0082033F">
        <w:rPr>
          <w:rFonts w:eastAsia="Times New Roman"/>
        </w:rPr>
        <w:t>one</w:t>
      </w:r>
      <w:r w:rsidR="00265206">
        <w:rPr>
          <w:rFonts w:eastAsia="Times New Roman"/>
        </w:rPr>
        <w:t>-week conference.</w:t>
      </w:r>
    </w:p>
    <w:p w:rsidR="00FF6CCA" w:rsidRDefault="00FF6CCA">
      <w:pPr>
        <w:rPr>
          <w:rFonts w:eastAsia="Times New Roman"/>
        </w:rPr>
      </w:pPr>
    </w:p>
    <w:p w:rsidR="0053068E" w:rsidRDefault="00FF6CCA">
      <w:pPr>
        <w:rPr>
          <w:rFonts w:eastAsia="Times New Roman"/>
        </w:rPr>
      </w:pPr>
      <w:r>
        <w:rPr>
          <w:rFonts w:eastAsia="Times New Roman"/>
        </w:rPr>
        <w:t xml:space="preserve">Given the </w:t>
      </w:r>
      <w:r w:rsidR="003B7E57">
        <w:rPr>
          <w:rFonts w:eastAsia="Times New Roman"/>
        </w:rPr>
        <w:t xml:space="preserve">early stage of development of SB, its rapid development, its scientific </w:t>
      </w:r>
      <w:r>
        <w:rPr>
          <w:rFonts w:eastAsia="Times New Roman"/>
        </w:rPr>
        <w:t>uncertainties</w:t>
      </w:r>
      <w:r w:rsidR="003B7E57">
        <w:rPr>
          <w:rFonts w:eastAsia="Times New Roman"/>
        </w:rPr>
        <w:t>, its uncertain</w:t>
      </w:r>
      <w:r w:rsidR="00265206">
        <w:rPr>
          <w:rFonts w:eastAsia="Times New Roman"/>
        </w:rPr>
        <w:t xml:space="preserve"> and potentially severe</w:t>
      </w:r>
      <w:r w:rsidR="003B7E57">
        <w:rPr>
          <w:rFonts w:eastAsia="Times New Roman"/>
        </w:rPr>
        <w:t xml:space="preserve"> risks, the huge range of applications and therefore of interested parties, and many other factors</w:t>
      </w:r>
      <w:r w:rsidR="00A91B22">
        <w:rPr>
          <w:rFonts w:eastAsia="Times New Roman"/>
        </w:rPr>
        <w:t>,</w:t>
      </w:r>
      <w:r w:rsidR="003B7E57">
        <w:rPr>
          <w:rFonts w:eastAsia="Times New Roman"/>
        </w:rPr>
        <w:t xml:space="preserve"> </w:t>
      </w:r>
      <w:r w:rsidR="00F1658F">
        <w:rPr>
          <w:rFonts w:eastAsia="Times New Roman"/>
        </w:rPr>
        <w:t>f</w:t>
      </w:r>
      <w:r w:rsidR="00265206">
        <w:rPr>
          <w:rFonts w:eastAsia="Times New Roman"/>
        </w:rPr>
        <w:t>in</w:t>
      </w:r>
      <w:r w:rsidR="0082033F">
        <w:rPr>
          <w:rFonts w:eastAsia="Times New Roman"/>
        </w:rPr>
        <w:t xml:space="preserve">ding </w:t>
      </w:r>
      <w:r w:rsidR="00265206">
        <w:rPr>
          <w:rFonts w:eastAsia="Times New Roman"/>
        </w:rPr>
        <w:t xml:space="preserve">consensus on issues </w:t>
      </w:r>
      <w:r w:rsidR="0082033F">
        <w:rPr>
          <w:rFonts w:eastAsia="Times New Roman"/>
        </w:rPr>
        <w:t>would be</w:t>
      </w:r>
      <w:r w:rsidR="00265206">
        <w:rPr>
          <w:rFonts w:eastAsia="Times New Roman"/>
        </w:rPr>
        <w:t xml:space="preserve"> difficult</w:t>
      </w:r>
      <w:r w:rsidR="006B0A25">
        <w:rPr>
          <w:rFonts w:eastAsia="Times New Roman"/>
        </w:rPr>
        <w:t xml:space="preserve"> for any group of this size</w:t>
      </w:r>
      <w:r w:rsidR="00265206">
        <w:rPr>
          <w:rFonts w:eastAsia="Times New Roman"/>
        </w:rPr>
        <w:t>.</w:t>
      </w:r>
    </w:p>
    <w:p w:rsidR="0082033F" w:rsidRDefault="0082033F">
      <w:pPr>
        <w:rPr>
          <w:rFonts w:eastAsia="Times New Roman"/>
        </w:rPr>
      </w:pPr>
    </w:p>
    <w:p w:rsidR="00A9425F" w:rsidRDefault="00157E67">
      <w:r w:rsidRPr="00157E67">
        <w:rPr>
          <w:rFonts w:eastAsia="Times New Roman"/>
          <w:u w:val="single"/>
        </w:rPr>
        <w:t xml:space="preserve">4. </w:t>
      </w:r>
      <w:r w:rsidRPr="00157E67">
        <w:rPr>
          <w:u w:val="single"/>
        </w:rPr>
        <w:t>Comment on the AHTEG Report and Synthesis</w:t>
      </w:r>
      <w:r>
        <w:t xml:space="preserve"> </w:t>
      </w:r>
      <w:r>
        <w:rPr>
          <w:rFonts w:eastAsia="Times New Roman"/>
        </w:rPr>
        <w:t xml:space="preserve">— </w:t>
      </w:r>
      <w:r w:rsidR="00071A43">
        <w:t>Re</w:t>
      </w:r>
      <w:r w:rsidR="0025798A">
        <w:t xml:space="preserve"> </w:t>
      </w:r>
      <w:r w:rsidR="00EC240A">
        <w:t>¶s 11, 12, 14</w:t>
      </w:r>
      <w:r w:rsidR="00071A43">
        <w:t>, 17:</w:t>
      </w:r>
      <w:r w:rsidR="00DF7C97">
        <w:t xml:space="preserve"> </w:t>
      </w:r>
      <w:r w:rsidR="00F2020D">
        <w:t>The report makes clear the divergent views with respect to risks and risk assessment needs and gaps. We reaffirm that s</w:t>
      </w:r>
      <w:r w:rsidR="006B0A25">
        <w:t>ynthetic biology (SB) includes such powerful techniques</w:t>
      </w:r>
      <w:r w:rsidR="006128B1">
        <w:t>,</w:t>
      </w:r>
      <w:r w:rsidR="006B0A25">
        <w:t xml:space="preserve"> and is e</w:t>
      </w:r>
      <w:r w:rsidR="00D414C9">
        <w:t xml:space="preserve">volving so </w:t>
      </w:r>
      <w:r w:rsidR="006B0A25">
        <w:t>rapidly</w:t>
      </w:r>
      <w:r w:rsidR="006128B1">
        <w:t>,</w:t>
      </w:r>
      <w:r w:rsidR="00D414C9">
        <w:t xml:space="preserve"> that assessment based on past experience would not seem to </w:t>
      </w:r>
      <w:r w:rsidR="00A9425F">
        <w:t>capture key issues</w:t>
      </w:r>
      <w:r w:rsidR="00D414C9">
        <w:t>.</w:t>
      </w:r>
      <w:r w:rsidR="00F2020D">
        <w:t xml:space="preserve"> </w:t>
      </w:r>
      <w:r w:rsidR="00C929B7">
        <w:t>Among many others</w:t>
      </w:r>
      <w:r w:rsidR="00B35C70">
        <w:t>,</w:t>
      </w:r>
      <w:r w:rsidR="00C929B7">
        <w:t xml:space="preserve"> </w:t>
      </w:r>
      <w:r w:rsidR="00B7160A" w:rsidRPr="00B7160A">
        <w:t>Craig Holdrege</w:t>
      </w:r>
      <w:r w:rsidR="00F2020D">
        <w:rPr>
          <w:rStyle w:val="FootnoteReference"/>
        </w:rPr>
        <w:footnoteReference w:id="1"/>
      </w:r>
      <w:r w:rsidR="00B7160A" w:rsidRPr="00B7160A">
        <w:t xml:space="preserve"> has provided compelling evidence </w:t>
      </w:r>
      <w:r w:rsidR="00C929B7">
        <w:t>about the profound uncertainty and lack of predictability of SB.</w:t>
      </w:r>
      <w:r w:rsidR="00D414C9">
        <w:t xml:space="preserve">  </w:t>
      </w:r>
    </w:p>
    <w:p w:rsidR="00A9425F" w:rsidRDefault="00A9425F"/>
    <w:p w:rsidR="00071A43" w:rsidRDefault="00F2020D">
      <w:r>
        <w:t xml:space="preserve">We are pleased with the note at </w:t>
      </w:r>
      <w:r w:rsidR="00302C42">
        <w:t>¶</w:t>
      </w:r>
      <w:r w:rsidR="004675AA">
        <w:t xml:space="preserve"> </w:t>
      </w:r>
      <w:r>
        <w:t xml:space="preserve">55 of the AHTEG's recommendation to collect best practices related to risk assessment. CFSC's values of </w:t>
      </w:r>
      <w:r w:rsidR="00A9425F" w:rsidRPr="00A9425F">
        <w:rPr>
          <w:i/>
        </w:rPr>
        <w:t>stewardship</w:t>
      </w:r>
      <w:r w:rsidR="00A9425F">
        <w:t xml:space="preserve">, </w:t>
      </w:r>
      <w:r w:rsidR="00A9425F" w:rsidRPr="00A9425F">
        <w:rPr>
          <w:i/>
        </w:rPr>
        <w:t>community</w:t>
      </w:r>
      <w:r w:rsidR="006128B1" w:rsidRPr="006128B1">
        <w:t>,</w:t>
      </w:r>
      <w:r w:rsidR="00A9425F" w:rsidRPr="006128B1">
        <w:t xml:space="preserve"> </w:t>
      </w:r>
      <w:r w:rsidR="00A9425F">
        <w:t xml:space="preserve">and </w:t>
      </w:r>
      <w:r w:rsidR="00A9425F" w:rsidRPr="00A9425F">
        <w:rPr>
          <w:i/>
        </w:rPr>
        <w:t>integrity</w:t>
      </w:r>
      <w:r w:rsidR="00A9425F">
        <w:t xml:space="preserve"> lead us to </w:t>
      </w:r>
      <w:r w:rsidR="00A9425F" w:rsidRPr="00F1658F">
        <w:t xml:space="preserve">recommend a proactive form of assessment of SB: </w:t>
      </w:r>
      <w:r w:rsidR="00D414C9" w:rsidRPr="00F1658F">
        <w:t xml:space="preserve">what social scientists </w:t>
      </w:r>
      <w:r w:rsidR="00A9425F" w:rsidRPr="00F1658F">
        <w:t>with</w:t>
      </w:r>
      <w:r w:rsidR="00D414C9" w:rsidRPr="00F1658F">
        <w:t xml:space="preserve"> extensive work in technology assessment call “anticipatory governance”,</w:t>
      </w:r>
      <w:r w:rsidR="00D414C9" w:rsidRPr="00F1658F">
        <w:rPr>
          <w:rStyle w:val="FootnoteReference"/>
        </w:rPr>
        <w:footnoteReference w:id="2"/>
      </w:r>
      <w:r w:rsidR="00D414C9">
        <w:t xml:space="preserve"> </w:t>
      </w:r>
      <w:r w:rsidR="00887C49">
        <w:t>“real-time technology assessment”,</w:t>
      </w:r>
      <w:r w:rsidR="00887C49">
        <w:rPr>
          <w:rStyle w:val="FootnoteReference"/>
        </w:rPr>
        <w:footnoteReference w:id="3"/>
      </w:r>
      <w:r w:rsidR="00887C49">
        <w:t xml:space="preserve"> “the art of governance”,</w:t>
      </w:r>
      <w:r w:rsidR="00887C49">
        <w:rPr>
          <w:rStyle w:val="FootnoteReference"/>
        </w:rPr>
        <w:footnoteReference w:id="4"/>
      </w:r>
      <w:r w:rsidR="00887C49">
        <w:t xml:space="preserve"> and “keeping it complex”.</w:t>
      </w:r>
      <w:r w:rsidR="00887C49">
        <w:rPr>
          <w:rStyle w:val="FootnoteReference"/>
        </w:rPr>
        <w:footnoteReference w:id="5"/>
      </w:r>
      <w:r w:rsidR="00887C49">
        <w:t xml:space="preserve"> These </w:t>
      </w:r>
      <w:r w:rsidR="00A9425F">
        <w:t>anticipatory</w:t>
      </w:r>
      <w:r w:rsidR="00887C49">
        <w:t xml:space="preserve"> approaches </w:t>
      </w:r>
      <w:r w:rsidR="006E3F8F">
        <w:t>appear to fit well with the unknowns, uncertainties, and biological, social, ecological, economic</w:t>
      </w:r>
      <w:r w:rsidR="006128B1">
        <w:t>,</w:t>
      </w:r>
      <w:r w:rsidR="006E3F8F">
        <w:t xml:space="preserve"> and </w:t>
      </w:r>
      <w:r w:rsidR="006E3F8F" w:rsidRPr="00F1658F">
        <w:t>political complexities of SB. The</w:t>
      </w:r>
      <w:r w:rsidR="00071A43" w:rsidRPr="00F1658F">
        <w:t>y</w:t>
      </w:r>
      <w:r w:rsidR="006E3F8F" w:rsidRPr="00F1658F">
        <w:t xml:space="preserve"> offer methods to track, forecast and mana</w:t>
      </w:r>
      <w:r w:rsidR="00071A43" w:rsidRPr="00F1658F">
        <w:t>ge this</w:t>
      </w:r>
      <w:r w:rsidR="00071A43">
        <w:t xml:space="preserve"> </w:t>
      </w:r>
      <w:r w:rsidR="00C74F1D">
        <w:t>unpredictable</w:t>
      </w:r>
      <w:r w:rsidR="00071A43">
        <w:t xml:space="preserve"> and </w:t>
      </w:r>
      <w:r w:rsidR="006128B1">
        <w:t xml:space="preserve">powerful </w:t>
      </w:r>
      <w:r w:rsidR="006E3F8F">
        <w:t xml:space="preserve">field. </w:t>
      </w:r>
      <w:r w:rsidR="00071A43">
        <w:t xml:space="preserve">Much of </w:t>
      </w:r>
      <w:r w:rsidR="00A9425F">
        <w:t>the research</w:t>
      </w:r>
      <w:r w:rsidR="00071A43">
        <w:t xml:space="preserve"> is evidence-based, having </w:t>
      </w:r>
      <w:r w:rsidR="002E17A7">
        <w:t xml:space="preserve">dealt with </w:t>
      </w:r>
      <w:r w:rsidR="00071A43">
        <w:t xml:space="preserve">technological </w:t>
      </w:r>
      <w:r w:rsidR="00A9425F">
        <w:t>assessment</w:t>
      </w:r>
      <w:r w:rsidR="00071A43">
        <w:t xml:space="preserve"> in multiple fields.  </w:t>
      </w:r>
    </w:p>
    <w:p w:rsidR="00071A43" w:rsidRDefault="00071A43"/>
    <w:p w:rsidR="00071A43" w:rsidRDefault="006E3F8F">
      <w:r>
        <w:t>Moreover</w:t>
      </w:r>
      <w:r w:rsidRPr="00F1658F">
        <w:t xml:space="preserve">, </w:t>
      </w:r>
      <w:r w:rsidR="00071A43" w:rsidRPr="00F1658F">
        <w:t xml:space="preserve">the </w:t>
      </w:r>
      <w:r w:rsidR="00A9425F" w:rsidRPr="00F1658F">
        <w:t>proactive approach</w:t>
      </w:r>
      <w:r w:rsidR="00071A43" w:rsidRPr="00F1658F">
        <w:t xml:space="preserve"> cited above</w:t>
      </w:r>
      <w:r w:rsidRPr="00F1658F">
        <w:t xml:space="preserve"> can focus on sustainability,</w:t>
      </w:r>
      <w:r>
        <w:t xml:space="preserve"> </w:t>
      </w:r>
      <w:r w:rsidR="00EC240A">
        <w:t>a subject</w:t>
      </w:r>
      <w:r w:rsidR="001E6BED">
        <w:t xml:space="preserve"> </w:t>
      </w:r>
      <w:proofErr w:type="gramStart"/>
      <w:r w:rsidR="00A9425F">
        <w:t xml:space="preserve">very </w:t>
      </w:r>
      <w:r w:rsidR="001E6BED">
        <w:t xml:space="preserve"> pertinent</w:t>
      </w:r>
      <w:proofErr w:type="gramEnd"/>
      <w:r w:rsidR="001E6BED">
        <w:t xml:space="preserve"> to the CBD</w:t>
      </w:r>
      <w:r w:rsidR="00EC240A">
        <w:t xml:space="preserve"> but one which has received </w:t>
      </w:r>
      <w:r w:rsidR="00071A43">
        <w:t>little</w:t>
      </w:r>
      <w:r w:rsidR="00EC240A">
        <w:t xml:space="preserve"> attention in published reviews of SB</w:t>
      </w:r>
      <w:r w:rsidR="001E6BED">
        <w:t>.</w:t>
      </w:r>
      <w:r w:rsidR="00EC240A">
        <w:rPr>
          <w:rStyle w:val="FootnoteReference"/>
        </w:rPr>
        <w:footnoteReference w:id="6"/>
      </w:r>
      <w:r w:rsidR="00EC240A">
        <w:t xml:space="preserve"> </w:t>
      </w:r>
      <w:r w:rsidR="00071A43">
        <w:t xml:space="preserve">It also appears to us that this </w:t>
      </w:r>
      <w:r w:rsidR="00C74F1D">
        <w:t>anticipatory approach, done systematically</w:t>
      </w:r>
      <w:r w:rsidR="0089358A">
        <w:t>,</w:t>
      </w:r>
      <w:r w:rsidR="00C74F1D">
        <w:t xml:space="preserve"> </w:t>
      </w:r>
      <w:r w:rsidR="00071A43">
        <w:t xml:space="preserve">offers a </w:t>
      </w:r>
      <w:r w:rsidR="0089358A">
        <w:t>tangible</w:t>
      </w:r>
      <w:r w:rsidR="00071A43">
        <w:t xml:space="preserve"> </w:t>
      </w:r>
      <w:r w:rsidR="00C74F1D" w:rsidRPr="00F1658F">
        <w:t xml:space="preserve">means of </w:t>
      </w:r>
      <w:r w:rsidR="00071A43" w:rsidRPr="00F1658F">
        <w:t xml:space="preserve">operationalizing the </w:t>
      </w:r>
      <w:r w:rsidR="000315F6">
        <w:t>p</w:t>
      </w:r>
      <w:r w:rsidR="00071A43" w:rsidRPr="00F1658F">
        <w:t xml:space="preserve">recautionary </w:t>
      </w:r>
      <w:r w:rsidR="000315F6">
        <w:t>p</w:t>
      </w:r>
      <w:r w:rsidR="00071A43" w:rsidRPr="00F1658F">
        <w:t>rinciple</w:t>
      </w:r>
      <w:r w:rsidR="00C74F1D">
        <w:t>,</w:t>
      </w:r>
      <w:r w:rsidR="00071A43">
        <w:t xml:space="preserve"> </w:t>
      </w:r>
      <w:r w:rsidR="0089358A">
        <w:t xml:space="preserve"> </w:t>
      </w:r>
      <w:r w:rsidR="00071A43">
        <w:t>a</w:t>
      </w:r>
      <w:r w:rsidR="0089358A">
        <w:t>n ongoing</w:t>
      </w:r>
      <w:r w:rsidR="00071A43">
        <w:t xml:space="preserve"> CBD mandate.</w:t>
      </w:r>
    </w:p>
    <w:p w:rsidR="00071A43" w:rsidRDefault="00071A43"/>
    <w:p w:rsidR="00D81B63" w:rsidRDefault="00071A43">
      <w:r>
        <w:t xml:space="preserve">Re </w:t>
      </w:r>
      <w:r w:rsidR="00DF7C97">
        <w:t>¶ 15: Fair and equitable sharing of benefits</w:t>
      </w:r>
      <w:r w:rsidR="00D33316">
        <w:t xml:space="preserve"> – </w:t>
      </w:r>
      <w:r w:rsidR="00D33316" w:rsidRPr="00D33316">
        <w:rPr>
          <w:i/>
        </w:rPr>
        <w:t>equality</w:t>
      </w:r>
      <w:r w:rsidR="00D33316">
        <w:t xml:space="preserve"> – </w:t>
      </w:r>
      <w:r w:rsidR="00DF7C97">
        <w:t xml:space="preserve">is of major importance to us. </w:t>
      </w:r>
      <w:r w:rsidR="00D81B63">
        <w:t xml:space="preserve">For decades </w:t>
      </w:r>
      <w:r w:rsidR="00DF7C97">
        <w:t xml:space="preserve">CFSC </w:t>
      </w:r>
      <w:r w:rsidR="00D81B63">
        <w:t xml:space="preserve">has </w:t>
      </w:r>
      <w:r w:rsidR="00B116B3">
        <w:t>worked toward</w:t>
      </w:r>
      <w:r w:rsidR="00D81B63">
        <w:t xml:space="preserve"> the</w:t>
      </w:r>
      <w:r w:rsidR="00B116B3">
        <w:t xml:space="preserve"> full</w:t>
      </w:r>
      <w:r w:rsidR="00D81B63">
        <w:t xml:space="preserve"> implementation of the </w:t>
      </w:r>
      <w:r w:rsidR="00EF2997" w:rsidRPr="00EF2997">
        <w:rPr>
          <w:i/>
        </w:rPr>
        <w:t>UN Declaration on the Rights of Indigenous Peoples</w:t>
      </w:r>
      <w:r w:rsidR="00B116B3">
        <w:rPr>
          <w:i/>
        </w:rPr>
        <w:t xml:space="preserve"> </w:t>
      </w:r>
      <w:r w:rsidR="00B116B3">
        <w:t>in Canada and internationally</w:t>
      </w:r>
      <w:r w:rsidR="00EF2997">
        <w:t xml:space="preserve">. </w:t>
      </w:r>
      <w:r w:rsidR="00D81B63">
        <w:t xml:space="preserve">The </w:t>
      </w:r>
      <w:r w:rsidR="00B7160A" w:rsidRPr="00B7160A">
        <w:rPr>
          <w:i/>
        </w:rPr>
        <w:t>UN Declaration</w:t>
      </w:r>
      <w:r w:rsidR="00D81B63">
        <w:t xml:space="preserve"> provides in Article 11:</w:t>
      </w:r>
    </w:p>
    <w:p w:rsidR="00D81B63" w:rsidRDefault="00D81B63"/>
    <w:p w:rsidR="00B7160A" w:rsidRDefault="00D81B63" w:rsidP="00B7160A">
      <w:pPr>
        <w:ind w:left="720"/>
      </w:pPr>
      <w:r>
        <w:t xml:space="preserve">1. Indigenous peoples have the right to </w:t>
      </w:r>
      <w:proofErr w:type="spellStart"/>
      <w:r>
        <w:t>pra</w:t>
      </w:r>
      <w:bookmarkStart w:id="0" w:name="_GoBack"/>
      <w:bookmarkEnd w:id="0"/>
      <w:r>
        <w:t>ctise</w:t>
      </w:r>
      <w:proofErr w:type="spellEnd"/>
      <w:r>
        <w:t xml:space="preserve"> and revitalize their cultural traditions and customs. This includes the right to maintain, protect and develop the past, present and future manifestations of their cultures, such as archaeological </w:t>
      </w:r>
      <w:r>
        <w:lastRenderedPageBreak/>
        <w:t xml:space="preserve">and historical sites, </w:t>
      </w:r>
      <w:proofErr w:type="spellStart"/>
      <w:r>
        <w:t>artefacts</w:t>
      </w:r>
      <w:proofErr w:type="spellEnd"/>
      <w:r>
        <w:t xml:space="preserve">, designs, ceremonies, technologies and visual and performing arts and literature. </w:t>
      </w:r>
    </w:p>
    <w:p w:rsidR="00B7160A" w:rsidRDefault="00B7160A" w:rsidP="00B7160A">
      <w:pPr>
        <w:ind w:left="720"/>
      </w:pPr>
    </w:p>
    <w:p w:rsidR="00B7160A" w:rsidRDefault="00D81B63" w:rsidP="00B7160A">
      <w:pPr>
        <w:ind w:left="720"/>
      </w:pPr>
      <w:r>
        <w:t>2. States shall provide redress through effective mechanisms, which may include restitution, developed in conjunction with indigenous peoples, with respect to their cultural, intellectual, religious and spiritual property taken without their free, prior and informed consent or in violation of their laws, traditions and customs.</w:t>
      </w:r>
      <w:r>
        <w:rPr>
          <w:rStyle w:val="FootnoteReference"/>
        </w:rPr>
        <w:footnoteReference w:id="7"/>
      </w:r>
    </w:p>
    <w:p w:rsidR="00D81B63" w:rsidRDefault="00D81B63"/>
    <w:p w:rsidR="003C19D1" w:rsidRDefault="00D81B63">
      <w:r>
        <w:t>Applications of SB are clearly already powerful enough to by-pass the free, prior</w:t>
      </w:r>
      <w:r w:rsidR="00767276">
        <w:t>,</w:t>
      </w:r>
      <w:r>
        <w:t xml:space="preserve"> and informed consent of Indigenous Peoples and to undermine </w:t>
      </w:r>
      <w:r w:rsidR="003C19D1">
        <w:t>Indigenous Peoples'</w:t>
      </w:r>
      <w:r>
        <w:t xml:space="preserve"> intellectual </w:t>
      </w:r>
      <w:r w:rsidR="003C19D1">
        <w:t>property</w:t>
      </w:r>
      <w:r>
        <w:t xml:space="preserve"> and other </w:t>
      </w:r>
      <w:r w:rsidR="003C19D1">
        <w:t xml:space="preserve">inherent </w:t>
      </w:r>
      <w:r>
        <w:t xml:space="preserve">rights under international law. </w:t>
      </w:r>
      <w:r w:rsidR="00924ED3">
        <w:t>¶</w:t>
      </w:r>
      <w:r w:rsidR="004675AA">
        <w:t xml:space="preserve"> </w:t>
      </w:r>
      <w:r w:rsidR="00924ED3">
        <w:t xml:space="preserve">66 </w:t>
      </w:r>
      <w:r w:rsidR="001D5FE1">
        <w:t>(</w:t>
      </w:r>
      <w:proofErr w:type="spellStart"/>
      <w:r w:rsidR="001D5FE1">
        <w:t>i</w:t>
      </w:r>
      <w:proofErr w:type="spellEnd"/>
      <w:r w:rsidR="001D5FE1">
        <w:t>)</w:t>
      </w:r>
      <w:r w:rsidR="003541A7">
        <w:t xml:space="preserve"> and (k) indicate</w:t>
      </w:r>
      <w:r w:rsidR="001D5FE1">
        <w:t xml:space="preserve"> interest in working to rectifying this existing gap. </w:t>
      </w:r>
      <w:r w:rsidR="003C19D1">
        <w:t>We strongly urge the CBD to take th</w:t>
      </w:r>
      <w:r w:rsidR="001D5FE1">
        <w:t>is</w:t>
      </w:r>
      <w:r w:rsidR="003C19D1">
        <w:t xml:space="preserve"> issue of biopiracy </w:t>
      </w:r>
      <w:r w:rsidR="001D5FE1">
        <w:t>and cost and benefit sharing forward</w:t>
      </w:r>
      <w:r w:rsidR="003C19D1">
        <w:t xml:space="preserve"> </w:t>
      </w:r>
      <w:r w:rsidR="001D5FE1">
        <w:t>by</w:t>
      </w:r>
      <w:r w:rsidR="003C19D1">
        <w:t xml:space="preserve"> seek</w:t>
      </w:r>
      <w:r w:rsidR="001D5FE1">
        <w:t>ing</w:t>
      </w:r>
      <w:r w:rsidR="003C19D1">
        <w:t xml:space="preserve"> input from Indigenous Peoples.</w:t>
      </w:r>
    </w:p>
    <w:p w:rsidR="003C19D1" w:rsidRDefault="003C19D1"/>
    <w:p w:rsidR="00071A43" w:rsidRDefault="00EF2997">
      <w:r w:rsidRPr="00F1658F">
        <w:t xml:space="preserve">As was noted in the online discussion, CFSC is concerned that a profit-driven approach to SB may facilitate </w:t>
      </w:r>
      <w:r w:rsidR="001B4C8F" w:rsidRPr="00F1658F">
        <w:t>inequitable exploitation of land now used by the poorest</w:t>
      </w:r>
      <w:r w:rsidR="00302C42">
        <w:t>,</w:t>
      </w:r>
      <w:r w:rsidR="001B4C8F" w:rsidRPr="00F1658F">
        <w:t xml:space="preserve"> </w:t>
      </w:r>
      <w:r w:rsidR="003C19D1">
        <w:t xml:space="preserve">including </w:t>
      </w:r>
      <w:r w:rsidR="001B4C8F" w:rsidRPr="00F1658F">
        <w:t xml:space="preserve">farmers. The profit-motive </w:t>
      </w:r>
      <w:r w:rsidR="0089358A" w:rsidRPr="00F1658F">
        <w:t>would tend</w:t>
      </w:r>
      <w:r w:rsidR="001B4C8F" w:rsidRPr="00F1658F">
        <w:t xml:space="preserve"> to</w:t>
      </w:r>
      <w:r w:rsidR="001B4C8F">
        <w:t xml:space="preserve"> put valuable assets </w:t>
      </w:r>
      <w:r w:rsidR="0089358A">
        <w:t xml:space="preserve">related to </w:t>
      </w:r>
      <w:r w:rsidR="0089358A" w:rsidRPr="00F1658F">
        <w:t xml:space="preserve">SB </w:t>
      </w:r>
      <w:r w:rsidR="001B4C8F" w:rsidRPr="00F1658F">
        <w:t>under the control</w:t>
      </w:r>
      <w:r w:rsidR="0089358A" w:rsidRPr="00F1658F">
        <w:t xml:space="preserve"> of </w:t>
      </w:r>
      <w:r w:rsidR="00D33316" w:rsidRPr="00F1658F">
        <w:t xml:space="preserve">a few </w:t>
      </w:r>
      <w:r w:rsidR="0089358A" w:rsidRPr="00F1658F">
        <w:t>wealthy stakeholders; this</w:t>
      </w:r>
      <w:r w:rsidR="001B4C8F">
        <w:t xml:space="preserve"> would undermine fair and equitable sharing.</w:t>
      </w:r>
    </w:p>
    <w:p w:rsidR="00157E67" w:rsidRDefault="00157E67"/>
    <w:p w:rsidR="00157E67" w:rsidRDefault="0025798A">
      <w:r>
        <w:t xml:space="preserve">Re </w:t>
      </w:r>
      <w:r w:rsidR="001B4C8F">
        <w:t>¶s 35-38</w:t>
      </w:r>
      <w:r w:rsidR="001B4C8F" w:rsidRPr="00DD6C95">
        <w:t xml:space="preserve">: </w:t>
      </w:r>
      <w:r w:rsidR="00C74F1D" w:rsidRPr="00DD6C95">
        <w:t xml:space="preserve">The work cited </w:t>
      </w:r>
      <w:r w:rsidR="0089358A" w:rsidRPr="00DD6C95">
        <w:t xml:space="preserve">above </w:t>
      </w:r>
      <w:r w:rsidR="00C74F1D" w:rsidRPr="00DD6C95">
        <w:t>in the 2</w:t>
      </w:r>
      <w:r w:rsidR="00C74F1D" w:rsidRPr="00DD6C95">
        <w:rPr>
          <w:vertAlign w:val="superscript"/>
        </w:rPr>
        <w:t>nd</w:t>
      </w:r>
      <w:r w:rsidR="00C74F1D" w:rsidRPr="00DD6C95">
        <w:t xml:space="preserve"> and 3</w:t>
      </w:r>
      <w:r w:rsidR="00C74F1D" w:rsidRPr="00DD6C95">
        <w:rPr>
          <w:vertAlign w:val="superscript"/>
        </w:rPr>
        <w:t>rd</w:t>
      </w:r>
      <w:r w:rsidR="00C74F1D" w:rsidRPr="00DD6C95">
        <w:t xml:space="preserve"> paragraphs of this section, if applied with some rigor, might well enhance </w:t>
      </w:r>
      <w:r w:rsidR="0089358A" w:rsidRPr="00DD6C95">
        <w:t>the</w:t>
      </w:r>
      <w:r w:rsidR="00C74F1D" w:rsidRPr="00DD6C95">
        <w:t xml:space="preserve"> assessment of benefits and risks,</w:t>
      </w:r>
      <w:r w:rsidR="00C74F1D">
        <w:t xml:space="preserve"> which </w:t>
      </w:r>
      <w:r w:rsidR="0089358A">
        <w:t>in the AHTEG report</w:t>
      </w:r>
      <w:r w:rsidR="00C74F1D">
        <w:t xml:space="preserve"> are </w:t>
      </w:r>
      <w:r w:rsidR="0089358A">
        <w:t xml:space="preserve">simply </w:t>
      </w:r>
      <w:r w:rsidR="00C74F1D">
        <w:t xml:space="preserve">dealt with by listing them.  </w:t>
      </w:r>
    </w:p>
    <w:p w:rsidR="0025798A" w:rsidRDefault="0025798A"/>
    <w:p w:rsidR="0025798A" w:rsidRDefault="00782D50">
      <w:r>
        <w:t>Re</w:t>
      </w:r>
      <w:r w:rsidR="0025798A">
        <w:t xml:space="preserve"> ¶ 52</w:t>
      </w:r>
      <w:r w:rsidR="003C19D1">
        <w:t>:</w:t>
      </w:r>
      <w:r w:rsidR="0025798A">
        <w:t xml:space="preserve"> We </w:t>
      </w:r>
      <w:r w:rsidR="0089358A">
        <w:t xml:space="preserve">question whether </w:t>
      </w:r>
      <w:r w:rsidR="0025798A">
        <w:t xml:space="preserve">“the principles and methodologies of risk assessment, as well as risk management measures, established for LMOs can serve as a basis for addressing potential adverse effects associated with organisms developed through synthetic biology.” </w:t>
      </w:r>
      <w:r w:rsidR="00D33316">
        <w:t>We do not believe this</w:t>
      </w:r>
      <w:r w:rsidR="0089358A">
        <w:t xml:space="preserve"> </w:t>
      </w:r>
      <w:r w:rsidR="00A41FFA">
        <w:t xml:space="preserve">is an accurate reflection of the level of risk many members of the AHTEG noted </w:t>
      </w:r>
      <w:r w:rsidR="00C929B7">
        <w:t xml:space="preserve">that </w:t>
      </w:r>
      <w:r w:rsidR="00A41FFA">
        <w:t>applications of SB, such as gene drives, already represent</w:t>
      </w:r>
      <w:r w:rsidR="00D33316">
        <w:t xml:space="preserve">. </w:t>
      </w:r>
      <w:r w:rsidR="008B1BEC">
        <w:t xml:space="preserve">The December 2015, International Summit on Human Gene-Editing has </w:t>
      </w:r>
      <w:r w:rsidR="00B4394A">
        <w:t xml:space="preserve">further </w:t>
      </w:r>
      <w:r w:rsidR="008B1BEC">
        <w:t xml:space="preserve">demonstrated that synthetic biology is a powerful and </w:t>
      </w:r>
      <w:r w:rsidR="008B1BEC" w:rsidRPr="00DD6C95">
        <w:t xml:space="preserve">unprecedented technology </w:t>
      </w:r>
      <w:r w:rsidR="00B4394A">
        <w:t>creating novel</w:t>
      </w:r>
      <w:r w:rsidR="00B4394A" w:rsidRPr="00DD6C95">
        <w:t xml:space="preserve"> </w:t>
      </w:r>
      <w:r w:rsidR="008B1BEC" w:rsidRPr="00DD6C95">
        <w:t>ethical challenges</w:t>
      </w:r>
      <w:r w:rsidR="0089358A" w:rsidRPr="00DD6C95">
        <w:t xml:space="preserve"> which require anticipatory and on-going governance</w:t>
      </w:r>
      <w:r w:rsidR="008B1BEC">
        <w:t>.</w:t>
      </w:r>
    </w:p>
    <w:p w:rsidR="00782D50" w:rsidRDefault="00782D50"/>
    <w:p w:rsidR="00782D50" w:rsidRDefault="00782D50">
      <w:r>
        <w:t xml:space="preserve">Re ¶ 55 (a) </w:t>
      </w:r>
      <w:proofErr w:type="gramStart"/>
      <w:r>
        <w:t>We</w:t>
      </w:r>
      <w:proofErr w:type="gramEnd"/>
      <w:r>
        <w:t xml:space="preserve"> agree that “..</w:t>
      </w:r>
      <w:r w:rsidR="00930976">
        <w:t>.</w:t>
      </w:r>
      <w:r>
        <w:t>the impacts of SB would benefit from a focus on the potential impact of organisms that are being developed for intentional introduction into the environment and which are capable o</w:t>
      </w:r>
      <w:r w:rsidR="00727A48">
        <w:t xml:space="preserve">f replicating or reproducing.” </w:t>
      </w:r>
      <w:r w:rsidRPr="00DD6C95">
        <w:t xml:space="preserve">However, we would think it prudent to also consider those planned for release that are deemed not capable </w:t>
      </w:r>
      <w:r w:rsidR="000603C9" w:rsidRPr="00DD6C95">
        <w:t>o</w:t>
      </w:r>
      <w:r w:rsidR="000603C9">
        <w:t>f</w:t>
      </w:r>
      <w:r w:rsidR="000603C9" w:rsidRPr="00DD6C95">
        <w:t xml:space="preserve"> </w:t>
      </w:r>
      <w:r w:rsidRPr="00DD6C95">
        <w:t xml:space="preserve">replicating or reproducing </w:t>
      </w:r>
      <w:r w:rsidR="00930976">
        <w:t>as t</w:t>
      </w:r>
      <w:r w:rsidRPr="00DD6C95">
        <w:t>hey may still have ecosystem impacts</w:t>
      </w:r>
      <w:r w:rsidR="00930976">
        <w:t xml:space="preserve"> </w:t>
      </w:r>
      <w:r w:rsidRPr="00DD6C95">
        <w:t>and to consider the less</w:t>
      </w:r>
      <w:r w:rsidR="000603C9">
        <w:t xml:space="preserve"> </w:t>
      </w:r>
      <w:r w:rsidRPr="00DD6C95">
        <w:t>likely (but perhaps more</w:t>
      </w:r>
      <w:r w:rsidR="000603C9">
        <w:t xml:space="preserve"> </w:t>
      </w:r>
      <w:r w:rsidRPr="00DD6C95">
        <w:t>devastating) unintended release of those SB organisms planned for contained use.</w:t>
      </w:r>
    </w:p>
    <w:p w:rsidR="00352F36" w:rsidRDefault="00352F36"/>
    <w:p w:rsidR="00352F36" w:rsidRDefault="00352F36">
      <w:r>
        <w:t xml:space="preserve">Re IX </w:t>
      </w:r>
      <w:r w:rsidR="0089358A">
        <w:t>(</w:t>
      </w:r>
      <w:r>
        <w:t>Outlook And Possible Elements Of A Way Forward</w:t>
      </w:r>
      <w:r w:rsidR="0089358A">
        <w:t>)</w:t>
      </w:r>
      <w:r>
        <w:t>:</w:t>
      </w:r>
    </w:p>
    <w:p w:rsidR="00EF6273" w:rsidRDefault="00EF6273"/>
    <w:p w:rsidR="00352F36" w:rsidRDefault="00352F36" w:rsidP="00352F36">
      <w:pPr>
        <w:pStyle w:val="ListParagraph"/>
        <w:numPr>
          <w:ilvl w:val="0"/>
          <w:numId w:val="1"/>
        </w:numPr>
      </w:pPr>
      <w:r>
        <w:lastRenderedPageBreak/>
        <w:t>The anticipatory approaches cited above would lend strong support to (a) as stated.</w:t>
      </w:r>
      <w:r w:rsidR="000948AD">
        <w:t xml:space="preserve">  </w:t>
      </w:r>
    </w:p>
    <w:p w:rsidR="000948AD" w:rsidRDefault="000948AD" w:rsidP="000948AD">
      <w:pPr>
        <w:pStyle w:val="ListParagraph"/>
        <w:ind w:left="740"/>
      </w:pPr>
    </w:p>
    <w:p w:rsidR="0089358A" w:rsidRDefault="0089358A" w:rsidP="0089358A">
      <w:pPr>
        <w:ind w:left="360"/>
      </w:pPr>
      <w:r>
        <w:t>(b</w:t>
      </w:r>
      <w:proofErr w:type="gramStart"/>
      <w:r>
        <w:t xml:space="preserve">)  </w:t>
      </w:r>
      <w:r w:rsidR="00352F36">
        <w:t>A</w:t>
      </w:r>
      <w:proofErr w:type="gramEnd"/>
      <w:r w:rsidR="00352F36">
        <w:t xml:space="preserve"> </w:t>
      </w:r>
      <w:r w:rsidR="00A9425F">
        <w:t>proactive</w:t>
      </w:r>
      <w:r w:rsidR="00352F36">
        <w:t>, anticipatory approach as not</w:t>
      </w:r>
      <w:r w:rsidR="0063378E">
        <w:t xml:space="preserve">ed above would </w:t>
      </w:r>
      <w:r w:rsidR="00352F36">
        <w:t>regular</w:t>
      </w:r>
      <w:r w:rsidR="0063378E">
        <w:t>ly</w:t>
      </w:r>
      <w:r w:rsidR="00352F36">
        <w:t xml:space="preserve"> review </w:t>
      </w:r>
      <w:r w:rsidR="0063378E">
        <w:t>SB</w:t>
      </w:r>
      <w:r w:rsidR="00352F36">
        <w:tab/>
      </w:r>
      <w:r w:rsidR="00352F36">
        <w:tab/>
        <w:t>developments and would lead to action</w:t>
      </w:r>
      <w:r>
        <w:t xml:space="preserve"> earlier than the proposed </w:t>
      </w:r>
      <w:r w:rsidR="00352F36">
        <w:t xml:space="preserve">criterion </w:t>
      </w:r>
      <w:r w:rsidR="0063378E">
        <w:t>of</w:t>
      </w:r>
      <w:r>
        <w:t xml:space="preserve">  </w:t>
      </w:r>
    </w:p>
    <w:p w:rsidR="00352F36" w:rsidRDefault="0063378E" w:rsidP="0089358A">
      <w:pPr>
        <w:ind w:left="360"/>
      </w:pPr>
      <w:r>
        <w:t xml:space="preserve">      </w:t>
      </w:r>
      <w:r w:rsidR="00352F36">
        <w:t>“</w:t>
      </w:r>
      <w:proofErr w:type="gramStart"/>
      <w:r w:rsidR="00352F36">
        <w:t>if</w:t>
      </w:r>
      <w:proofErr w:type="gramEnd"/>
      <w:r w:rsidR="00352F36">
        <w:t xml:space="preserve"> voluntary codes or current regulatory procedures appear insufficient.”</w:t>
      </w:r>
    </w:p>
    <w:p w:rsidR="000948AD" w:rsidRDefault="000948AD" w:rsidP="00352F36">
      <w:pPr>
        <w:ind w:left="360"/>
      </w:pPr>
    </w:p>
    <w:p w:rsidR="0063378E" w:rsidRDefault="0063378E" w:rsidP="0063378E">
      <w:pPr>
        <w:ind w:left="360"/>
      </w:pPr>
      <w:r>
        <w:t>(c</w:t>
      </w:r>
      <w:proofErr w:type="gramStart"/>
      <w:r>
        <w:t xml:space="preserve">)  </w:t>
      </w:r>
      <w:r w:rsidR="00EF6273">
        <w:t>We</w:t>
      </w:r>
      <w:proofErr w:type="gramEnd"/>
      <w:r w:rsidR="00EF6273">
        <w:t xml:space="preserve"> agree and endorse the following statement (with the addition of</w:t>
      </w:r>
      <w:r w:rsidR="000948AD">
        <w:t xml:space="preserve"> </w:t>
      </w:r>
      <w:r w:rsidR="00B030A2">
        <w:t>“</w:t>
      </w:r>
      <w:r w:rsidR="000948AD">
        <w:t xml:space="preserve">and all </w:t>
      </w:r>
    </w:p>
    <w:p w:rsidR="00EF6273" w:rsidRDefault="0063378E" w:rsidP="0063378E">
      <w:pPr>
        <w:ind w:left="360"/>
      </w:pPr>
      <w:r>
        <w:t xml:space="preserve">      </w:t>
      </w:r>
      <w:proofErr w:type="gramStart"/>
      <w:r w:rsidR="000948AD">
        <w:t>persons</w:t>
      </w:r>
      <w:proofErr w:type="gramEnd"/>
      <w:r w:rsidR="000948AD">
        <w:t xml:space="preserve"> in the region</w:t>
      </w:r>
      <w:r w:rsidR="00B030A2">
        <w:t>”</w:t>
      </w:r>
      <w:r w:rsidR="00EF6273">
        <w:t xml:space="preserve"> after “ecological systems”): </w:t>
      </w:r>
    </w:p>
    <w:p w:rsidR="00EF6273" w:rsidRDefault="00EF6273" w:rsidP="000948AD">
      <w:pPr>
        <w:ind w:left="720"/>
      </w:pPr>
      <w:r w:rsidRPr="00DD6C95">
        <w:t>“Therefore, the use of synthetic biology must be based on a precautionary approach…Furthermore, an environmental and commercial release of organisms resulting from synthetic biology must not be performed until procedures and regulatory processes or international regulatory frameworks are in place to ensure the protection of ecological systems”</w:t>
      </w:r>
      <w:r>
        <w:t xml:space="preserve"> </w:t>
      </w:r>
    </w:p>
    <w:p w:rsidR="000948AD" w:rsidRDefault="000948AD" w:rsidP="0063378E"/>
    <w:p w:rsidR="0063378E" w:rsidRDefault="000948AD" w:rsidP="0063378E">
      <w:pPr>
        <w:ind w:left="426"/>
      </w:pPr>
      <w:r>
        <w:t xml:space="preserve">(f) An online platform may be a good way to distribute information </w:t>
      </w:r>
      <w:r w:rsidR="0063378E">
        <w:t xml:space="preserve">to those with  </w:t>
      </w:r>
    </w:p>
    <w:p w:rsidR="0063378E" w:rsidRDefault="0063378E" w:rsidP="0063378E">
      <w:pPr>
        <w:ind w:left="426"/>
      </w:pPr>
      <w:r>
        <w:t xml:space="preserve">     </w:t>
      </w:r>
      <w:proofErr w:type="gramStart"/>
      <w:r>
        <w:t>sufficient</w:t>
      </w:r>
      <w:proofErr w:type="gramEnd"/>
      <w:r>
        <w:t xml:space="preserve"> SB experience. However, we believe such a platform </w:t>
      </w:r>
      <w:r w:rsidR="000948AD">
        <w:t xml:space="preserve">would </w:t>
      </w:r>
      <w:r>
        <w:t xml:space="preserve">not </w:t>
      </w:r>
      <w:r w:rsidR="000948AD">
        <w:t xml:space="preserve">be the </w:t>
      </w:r>
      <w:r>
        <w:t xml:space="preserve"> </w:t>
      </w:r>
    </w:p>
    <w:p w:rsidR="000948AD" w:rsidRDefault="000948AD" w:rsidP="00AD5583">
      <w:pPr>
        <w:ind w:left="709"/>
      </w:pPr>
      <w:proofErr w:type="gramStart"/>
      <w:r>
        <w:t>optimal</w:t>
      </w:r>
      <w:proofErr w:type="gramEnd"/>
      <w:r>
        <w:t xml:space="preserve"> way</w:t>
      </w:r>
      <w:r w:rsidR="0063378E">
        <w:t xml:space="preserve"> to build capacity and trust. </w:t>
      </w:r>
    </w:p>
    <w:p w:rsidR="00A055A8" w:rsidRDefault="00A055A8" w:rsidP="000948AD">
      <w:pPr>
        <w:ind w:left="426"/>
      </w:pPr>
    </w:p>
    <w:p w:rsidR="00E958CE" w:rsidRPr="00E958CE" w:rsidRDefault="00A055A8" w:rsidP="00A627CB">
      <w:pPr>
        <w:ind w:left="426"/>
      </w:pPr>
      <w:r>
        <w:t xml:space="preserve">(g) We recommend developing </w:t>
      </w:r>
      <w:r w:rsidRPr="00E958CE">
        <w:t xml:space="preserve">a </w:t>
      </w:r>
      <w:r w:rsidR="00E958CE" w:rsidRPr="00E958CE">
        <w:t>supplemental</w:t>
      </w:r>
      <w:r w:rsidRPr="00E958CE">
        <w:t xml:space="preserve"> framework for guiding the safe and </w:t>
      </w:r>
    </w:p>
    <w:p w:rsidR="00A627CB" w:rsidRPr="00E958CE" w:rsidRDefault="00E958CE" w:rsidP="00E958CE">
      <w:pPr>
        <w:ind w:left="426"/>
        <w:rPr>
          <w:highlight w:val="yellow"/>
        </w:rPr>
      </w:pPr>
      <w:r w:rsidRPr="00E958CE">
        <w:tab/>
      </w:r>
      <w:proofErr w:type="gramStart"/>
      <w:r w:rsidR="00A055A8" w:rsidRPr="00E958CE">
        <w:t>robust</w:t>
      </w:r>
      <w:proofErr w:type="gramEnd"/>
      <w:r w:rsidR="00A055A8" w:rsidRPr="00E958CE">
        <w:t xml:space="preserve"> development of synthetic biology,</w:t>
      </w:r>
      <w:r w:rsidR="00A055A8">
        <w:t xml:space="preserve"> a framework that would incorporate </w:t>
      </w:r>
    </w:p>
    <w:p w:rsidR="00517B0A" w:rsidRDefault="00A627CB">
      <w:pPr>
        <w:ind w:left="426"/>
      </w:pPr>
      <w:r>
        <w:t xml:space="preserve">     </w:t>
      </w:r>
      <w:proofErr w:type="gramStart"/>
      <w:r w:rsidR="000D5FA1">
        <w:t>antici</w:t>
      </w:r>
      <w:r w:rsidR="00A055A8">
        <w:t>patory</w:t>
      </w:r>
      <w:proofErr w:type="gramEnd"/>
      <w:r w:rsidR="00A055A8">
        <w:t xml:space="preserve"> governance and a focus on sustainability principles and methods.</w:t>
      </w:r>
      <w:r w:rsidR="00A055A8">
        <w:rPr>
          <w:rStyle w:val="FootnoteReference"/>
        </w:rPr>
        <w:footnoteReference w:id="8"/>
      </w:r>
    </w:p>
    <w:p w:rsidR="00157E67" w:rsidRDefault="00157E67"/>
    <w:p w:rsidR="00D72ACC" w:rsidRDefault="00157E67">
      <w:pPr>
        <w:rPr>
          <w:rFonts w:eastAsia="Times New Roman"/>
        </w:rPr>
      </w:pPr>
      <w:r w:rsidRPr="00157E67">
        <w:rPr>
          <w:u w:val="single"/>
        </w:rPr>
        <w:t xml:space="preserve">5. </w:t>
      </w:r>
      <w:r w:rsidR="00D72ACC">
        <w:rPr>
          <w:u w:val="single"/>
        </w:rPr>
        <w:t>Further considerations</w:t>
      </w:r>
      <w:r>
        <w:t xml:space="preserve"> </w:t>
      </w:r>
      <w:r>
        <w:rPr>
          <w:rFonts w:eastAsia="Times New Roman"/>
        </w:rPr>
        <w:t>—</w:t>
      </w:r>
      <w:r w:rsidR="00114A54">
        <w:rPr>
          <w:rFonts w:eastAsia="Times New Roman"/>
        </w:rPr>
        <w:t xml:space="preserve"> Several issues not </w:t>
      </w:r>
      <w:r w:rsidR="00D72ACC">
        <w:rPr>
          <w:rFonts w:eastAsia="Times New Roman"/>
        </w:rPr>
        <w:t>specifically</w:t>
      </w:r>
      <w:r w:rsidR="00114A54">
        <w:rPr>
          <w:rFonts w:eastAsia="Times New Roman"/>
        </w:rPr>
        <w:t xml:space="preserve"> </w:t>
      </w:r>
      <w:r w:rsidR="00D72ACC">
        <w:rPr>
          <w:rFonts w:eastAsia="Times New Roman"/>
        </w:rPr>
        <w:t xml:space="preserve">addressed in the report </w:t>
      </w:r>
      <w:r w:rsidR="00114A54">
        <w:rPr>
          <w:rFonts w:eastAsia="Times New Roman"/>
        </w:rPr>
        <w:t xml:space="preserve">are </w:t>
      </w:r>
    </w:p>
    <w:p w:rsidR="00157E67" w:rsidRDefault="00D72ACC">
      <w:pPr>
        <w:rPr>
          <w:rFonts w:eastAsia="Times New Roman"/>
        </w:rPr>
      </w:pPr>
      <w:r>
        <w:rPr>
          <w:rFonts w:eastAsia="Times New Roman"/>
        </w:rPr>
        <w:tab/>
      </w:r>
      <w:proofErr w:type="gramStart"/>
      <w:r w:rsidR="00114A54">
        <w:rPr>
          <w:rFonts w:eastAsia="Times New Roman"/>
        </w:rPr>
        <w:t>worthy</w:t>
      </w:r>
      <w:proofErr w:type="gramEnd"/>
      <w:r w:rsidR="00114A54">
        <w:rPr>
          <w:rFonts w:eastAsia="Times New Roman"/>
        </w:rPr>
        <w:t xml:space="preserve"> of further consideration:</w:t>
      </w:r>
    </w:p>
    <w:p w:rsidR="00114A54" w:rsidRDefault="00114A54">
      <w:pPr>
        <w:rPr>
          <w:rFonts w:eastAsia="Times New Roman"/>
        </w:rPr>
      </w:pPr>
    </w:p>
    <w:p w:rsidR="00114A54" w:rsidRPr="00BF09DD" w:rsidRDefault="00BF09DD" w:rsidP="00BF09DD">
      <w:pPr>
        <w:pStyle w:val="ListParagraph"/>
        <w:numPr>
          <w:ilvl w:val="0"/>
          <w:numId w:val="4"/>
        </w:numPr>
        <w:tabs>
          <w:tab w:val="left" w:pos="426"/>
        </w:tabs>
        <w:rPr>
          <w:rFonts w:eastAsia="Times New Roman"/>
        </w:rPr>
      </w:pPr>
      <w:r w:rsidRPr="00BF09DD">
        <w:rPr>
          <w:rFonts w:eastAsia="Times New Roman"/>
          <w:i/>
        </w:rPr>
        <w:t>Assessing SB and loss of biodiversity</w:t>
      </w:r>
      <w:r w:rsidR="005B0444">
        <w:rPr>
          <w:rFonts w:eastAsia="Times New Roman"/>
          <w:i/>
        </w:rPr>
        <w:t xml:space="preserve"> </w:t>
      </w:r>
      <w:r>
        <w:rPr>
          <w:rFonts w:eastAsia="Times New Roman"/>
        </w:rPr>
        <w:t>—</w:t>
      </w:r>
      <w:r w:rsidR="005B0444">
        <w:rPr>
          <w:rFonts w:eastAsia="Times New Roman"/>
        </w:rPr>
        <w:t xml:space="preserve"> </w:t>
      </w:r>
      <w:r w:rsidRPr="00BF09DD">
        <w:rPr>
          <w:rFonts w:eastAsia="Times New Roman"/>
        </w:rPr>
        <w:t>Since SB may make a positive or a negative contribution, directly or indirectly, to the radical loss of biodiversity the earth is now experiencing, it would be wise for the CBD to keep under active</w:t>
      </w:r>
      <w:r>
        <w:rPr>
          <w:rFonts w:eastAsia="Times New Roman"/>
        </w:rPr>
        <w:t xml:space="preserve"> and ong</w:t>
      </w:r>
      <w:r w:rsidR="000D5FA1">
        <w:rPr>
          <w:rFonts w:eastAsia="Times New Roman"/>
        </w:rPr>
        <w:t>o</w:t>
      </w:r>
      <w:r>
        <w:rPr>
          <w:rFonts w:eastAsia="Times New Roman"/>
        </w:rPr>
        <w:t>ing</w:t>
      </w:r>
      <w:r w:rsidRPr="00BF09DD">
        <w:rPr>
          <w:rFonts w:eastAsia="Times New Roman"/>
        </w:rPr>
        <w:t xml:space="preserve"> consideration the relationships between the development of SB and measures of biodiversity (genes, species, ec</w:t>
      </w:r>
      <w:r>
        <w:rPr>
          <w:rFonts w:eastAsia="Times New Roman"/>
        </w:rPr>
        <w:t>osystems) and its loss. This w</w:t>
      </w:r>
      <w:r w:rsidRPr="00BF09DD">
        <w:rPr>
          <w:rFonts w:eastAsia="Times New Roman"/>
        </w:rPr>
        <w:t>ould be an essential element in a proactive approach to the assessment of SB.</w:t>
      </w:r>
    </w:p>
    <w:p w:rsidR="00BF09DD" w:rsidRDefault="00BF09DD" w:rsidP="00BF09DD">
      <w:pPr>
        <w:tabs>
          <w:tab w:val="left" w:pos="426"/>
        </w:tabs>
        <w:rPr>
          <w:rFonts w:eastAsia="Times New Roman"/>
        </w:rPr>
      </w:pPr>
      <w:r>
        <w:rPr>
          <w:rFonts w:eastAsia="Times New Roman"/>
        </w:rPr>
        <w:tab/>
      </w:r>
    </w:p>
    <w:p w:rsidR="00156784" w:rsidRPr="00156784" w:rsidRDefault="00156784" w:rsidP="00156784">
      <w:pPr>
        <w:tabs>
          <w:tab w:val="left" w:pos="426"/>
        </w:tabs>
        <w:rPr>
          <w:rFonts w:eastAsia="Times New Roman"/>
        </w:rPr>
      </w:pPr>
      <w:r w:rsidRPr="00156784">
        <w:rPr>
          <w:rFonts w:eastAsia="Times New Roman"/>
        </w:rPr>
        <w:tab/>
        <w:t>(</w:t>
      </w:r>
      <w:r>
        <w:rPr>
          <w:rFonts w:eastAsia="Times New Roman"/>
        </w:rPr>
        <w:t>b</w:t>
      </w:r>
      <w:proofErr w:type="gramStart"/>
      <w:r>
        <w:rPr>
          <w:rFonts w:eastAsia="Times New Roman"/>
        </w:rPr>
        <w:t xml:space="preserve">)  </w:t>
      </w:r>
      <w:r w:rsidR="00BF09DD" w:rsidRPr="00156784">
        <w:rPr>
          <w:rFonts w:eastAsia="Times New Roman"/>
          <w:i/>
        </w:rPr>
        <w:t>Risks</w:t>
      </w:r>
      <w:proofErr w:type="gramEnd"/>
      <w:r w:rsidR="00BF09DD" w:rsidRPr="00156784">
        <w:rPr>
          <w:rFonts w:eastAsia="Times New Roman"/>
          <w:i/>
        </w:rPr>
        <w:t xml:space="preserve"> of SB yet unidentified</w:t>
      </w:r>
      <w:r w:rsidR="005B0444">
        <w:rPr>
          <w:rFonts w:eastAsia="Times New Roman"/>
          <w:i/>
        </w:rPr>
        <w:t xml:space="preserve"> </w:t>
      </w:r>
      <w:r w:rsidR="00BF09DD" w:rsidRPr="00156784">
        <w:rPr>
          <w:rFonts w:eastAsia="Times New Roman"/>
        </w:rPr>
        <w:t>—</w:t>
      </w:r>
      <w:r w:rsidR="005B0444">
        <w:rPr>
          <w:rFonts w:eastAsia="Times New Roman"/>
        </w:rPr>
        <w:t xml:space="preserve"> </w:t>
      </w:r>
      <w:r w:rsidRPr="00156784">
        <w:rPr>
          <w:rFonts w:eastAsia="Times New Roman"/>
        </w:rPr>
        <w:t xml:space="preserve">The powerful technology of SB will present  </w:t>
      </w:r>
    </w:p>
    <w:p w:rsidR="00156784" w:rsidRDefault="00156784" w:rsidP="00156784">
      <w:r>
        <w:tab/>
        <w:t xml:space="preserve">  </w:t>
      </w:r>
      <w:proofErr w:type="gramStart"/>
      <w:r>
        <w:t>unrecognized</w:t>
      </w:r>
      <w:proofErr w:type="gramEnd"/>
      <w:r>
        <w:t xml:space="preserve"> issues and threats. Some of these will be direct effects and others </w:t>
      </w:r>
    </w:p>
    <w:p w:rsidR="00156784" w:rsidRDefault="00156784" w:rsidP="0074314C">
      <w:pPr>
        <w:ind w:left="851"/>
      </w:pPr>
      <w:proofErr w:type="gramStart"/>
      <w:r>
        <w:t>indirect</w:t>
      </w:r>
      <w:proofErr w:type="gramEnd"/>
      <w:r>
        <w:t xml:space="preserve">. Some means of </w:t>
      </w:r>
      <w:r w:rsidR="00C929B7">
        <w:t>systematic scanning for unrecognized issues and the</w:t>
      </w:r>
      <w:r w:rsidR="0074314C">
        <w:t xml:space="preserve"> </w:t>
      </w:r>
      <w:r w:rsidR="00C929B7">
        <w:t>arts</w:t>
      </w:r>
      <w:r>
        <w:t xml:space="preserve"> would seem appropriate, as suggested in the approach “real-time technology assessment.”</w:t>
      </w:r>
      <w:r>
        <w:rPr>
          <w:rStyle w:val="FootnoteReference"/>
        </w:rPr>
        <w:footnoteReference w:id="9"/>
      </w:r>
      <w:r>
        <w:t xml:space="preserve"> </w:t>
      </w:r>
    </w:p>
    <w:p w:rsidR="00E210DA" w:rsidRDefault="00E210DA" w:rsidP="00156784"/>
    <w:p w:rsidR="00E210DA" w:rsidRDefault="00E210DA" w:rsidP="0074314C">
      <w:pPr>
        <w:ind w:left="851" w:hanging="851"/>
      </w:pPr>
      <w:r>
        <w:t xml:space="preserve">       (c</w:t>
      </w:r>
      <w:proofErr w:type="gramStart"/>
      <w:r>
        <w:t xml:space="preserve">)  </w:t>
      </w:r>
      <w:r w:rsidR="0074314C">
        <w:t xml:space="preserve"> </w:t>
      </w:r>
      <w:r w:rsidRPr="001B33FF">
        <w:rPr>
          <w:i/>
        </w:rPr>
        <w:t>Denigrating</w:t>
      </w:r>
      <w:proofErr w:type="gramEnd"/>
      <w:r w:rsidRPr="001B33FF">
        <w:rPr>
          <w:i/>
        </w:rPr>
        <w:t xml:space="preserve"> attitudes toward life</w:t>
      </w:r>
      <w:r w:rsidR="005B184A">
        <w:rPr>
          <w:i/>
        </w:rPr>
        <w:t xml:space="preserve"> </w:t>
      </w:r>
      <w:r>
        <w:t>—</w:t>
      </w:r>
      <w:r w:rsidR="005B184A">
        <w:t xml:space="preserve"> </w:t>
      </w:r>
      <w:r>
        <w:t>Some have recognize</w:t>
      </w:r>
      <w:r w:rsidR="005B184A">
        <w:t>d</w:t>
      </w:r>
      <w:r>
        <w:t xml:space="preserve"> that synthetic biology</w:t>
      </w:r>
      <w:r w:rsidR="005B184A">
        <w:t xml:space="preserve"> </w:t>
      </w:r>
      <w:r>
        <w:t xml:space="preserve">could demean our valuing of life, with dreadful consequences. </w:t>
      </w:r>
      <w:proofErr w:type="spellStart"/>
      <w:r>
        <w:t>Schwagerl</w:t>
      </w:r>
      <w:proofErr w:type="spellEnd"/>
      <w:r w:rsidR="001B33FF">
        <w:rPr>
          <w:rStyle w:val="FootnoteReference"/>
        </w:rPr>
        <w:footnoteReference w:id="10"/>
      </w:r>
      <w:r>
        <w:t xml:space="preserve"> wrote</w:t>
      </w:r>
    </w:p>
    <w:p w:rsidR="00E210DA" w:rsidRDefault="00E210DA" w:rsidP="0074314C">
      <w:pPr>
        <w:ind w:left="1418" w:hanging="567"/>
      </w:pPr>
      <w:r>
        <w:lastRenderedPageBreak/>
        <w:tab/>
      </w:r>
      <w:r>
        <w:tab/>
        <w:t xml:space="preserve">The greater danger [than escape of SB organisms from laboratory </w:t>
      </w:r>
      <w:r w:rsidR="0074314C">
        <w:tab/>
      </w:r>
      <w:r w:rsidR="0074314C">
        <w:tab/>
      </w:r>
      <w:r w:rsidR="0074314C">
        <w:tab/>
      </w:r>
      <w:r>
        <w:t xml:space="preserve">containment] is that scientists change fundamental attitudes to life for the worse: an industrial biology that…treats living creatures as mere </w:t>
      </w:r>
      <w:r w:rsidR="00C71740">
        <w:rPr>
          <w:rFonts w:eastAsia="Times New Roman"/>
        </w:rPr>
        <w:t>“</w:t>
      </w:r>
      <w:r>
        <w:t xml:space="preserve">technology </w:t>
      </w:r>
      <w:r w:rsidR="001B33FF">
        <w:t>platforms</w:t>
      </w:r>
      <w:r w:rsidR="00C71740">
        <w:rPr>
          <w:rFonts w:eastAsia="Times New Roman"/>
        </w:rPr>
        <w:t>”</w:t>
      </w:r>
      <w:r w:rsidR="001B33FF">
        <w:t>…The eugenic crimes of the twentieth century are a strong warning of just how wrong developments can go.</w:t>
      </w:r>
    </w:p>
    <w:p w:rsidR="00342A58" w:rsidRDefault="00342A58" w:rsidP="00342A58">
      <w:pPr>
        <w:ind w:left="851"/>
      </w:pPr>
    </w:p>
    <w:p w:rsidR="001B33FF" w:rsidRDefault="001B33FF" w:rsidP="00342A58">
      <w:pPr>
        <w:ind w:left="851"/>
      </w:pPr>
      <w:r>
        <w:t xml:space="preserve">In Pope Francis’s 2015 </w:t>
      </w:r>
      <w:r w:rsidR="00B7160A" w:rsidRPr="00B7160A">
        <w:rPr>
          <w:i/>
        </w:rPr>
        <w:t>Encyclical</w:t>
      </w:r>
      <w:r>
        <w:rPr>
          <w:rStyle w:val="FootnoteReference"/>
        </w:rPr>
        <w:footnoteReference w:id="11"/>
      </w:r>
      <w:r>
        <w:t xml:space="preserve"> he says:</w:t>
      </w:r>
    </w:p>
    <w:p w:rsidR="001B33FF" w:rsidRDefault="001B33FF" w:rsidP="00342A58">
      <w:pPr>
        <w:ind w:left="851"/>
      </w:pPr>
      <w:r>
        <w:tab/>
      </w:r>
    </w:p>
    <w:p w:rsidR="001B33FF" w:rsidRDefault="001B33FF" w:rsidP="001B33FF">
      <w:pPr>
        <w:ind w:left="1440"/>
      </w:pPr>
      <w:r>
        <w:t>This sister (Mother Earth) now cries out to us because of the harm</w:t>
      </w:r>
      <w:r w:rsidR="009D5973">
        <w:t xml:space="preserve"> we have inflicted on her by ou</w:t>
      </w:r>
      <w:r>
        <w:t xml:space="preserve">r irresponsible use and abuse of the goods with which God </w:t>
      </w:r>
      <w:proofErr w:type="gramStart"/>
      <w:r>
        <w:t>has</w:t>
      </w:r>
      <w:proofErr w:type="gramEnd"/>
      <w:r>
        <w:t xml:space="preserve"> endowed her. We have come to see ourselves as her lords</w:t>
      </w:r>
    </w:p>
    <w:p w:rsidR="001B33FF" w:rsidRPr="00156784" w:rsidRDefault="001B33FF" w:rsidP="001B33FF">
      <w:pPr>
        <w:ind w:left="1440"/>
      </w:pPr>
      <w:proofErr w:type="gramStart"/>
      <w:r>
        <w:t>and</w:t>
      </w:r>
      <w:proofErr w:type="gramEnd"/>
      <w:r>
        <w:t xml:space="preserve"> masters, entitled to plunder her at will.</w:t>
      </w:r>
    </w:p>
    <w:p w:rsidR="00157E67" w:rsidRDefault="00157E67">
      <w:pPr>
        <w:rPr>
          <w:rFonts w:eastAsia="Times New Roman"/>
        </w:rPr>
      </w:pPr>
    </w:p>
    <w:p w:rsidR="00156784" w:rsidRDefault="00957E6B" w:rsidP="00342A58">
      <w:pPr>
        <w:ind w:left="851"/>
        <w:rPr>
          <w:rFonts w:eastAsia="Times New Roman"/>
        </w:rPr>
      </w:pPr>
      <w:r>
        <w:t xml:space="preserve">This is not someone else’s problem. </w:t>
      </w:r>
      <w:r w:rsidR="009D5973">
        <w:rPr>
          <w:rFonts w:eastAsia="Times New Roman"/>
        </w:rPr>
        <w:t>If SB is to fulfill its positive potential, those who</w:t>
      </w:r>
      <w:r>
        <w:rPr>
          <w:rFonts w:eastAsia="Times New Roman"/>
        </w:rPr>
        <w:t xml:space="preserve"> influence its course should be </w:t>
      </w:r>
      <w:r w:rsidR="009D5973">
        <w:rPr>
          <w:rFonts w:eastAsia="Times New Roman"/>
        </w:rPr>
        <w:t>attentive to the potential for</w:t>
      </w:r>
      <w:r w:rsidR="00342A58">
        <w:rPr>
          <w:rFonts w:eastAsia="Times New Roman"/>
        </w:rPr>
        <w:t xml:space="preserve"> </w:t>
      </w:r>
      <w:r w:rsidR="009D5973">
        <w:rPr>
          <w:rFonts w:eastAsia="Times New Roman"/>
        </w:rPr>
        <w:t>unintended demeaning of life.</w:t>
      </w:r>
      <w:r w:rsidR="00342A58">
        <w:rPr>
          <w:rFonts w:eastAsia="Times New Roman"/>
        </w:rPr>
        <w:t xml:space="preserve"> </w:t>
      </w:r>
      <w:r w:rsidR="00B030A2">
        <w:rPr>
          <w:rFonts w:eastAsia="Times New Roman"/>
        </w:rPr>
        <w:t>We would request inclusion of this point in the listed risks.</w:t>
      </w:r>
    </w:p>
    <w:p w:rsidR="009D5973" w:rsidRDefault="009D5973">
      <w:pPr>
        <w:rPr>
          <w:rFonts w:eastAsia="Times New Roman"/>
        </w:rPr>
      </w:pPr>
      <w:r>
        <w:rPr>
          <w:rFonts w:eastAsia="Times New Roman"/>
        </w:rPr>
        <w:tab/>
      </w:r>
    </w:p>
    <w:p w:rsidR="009D5973" w:rsidRDefault="007613B6" w:rsidP="007613B6">
      <w:pPr>
        <w:rPr>
          <w:rFonts w:eastAsia="Times New Roman"/>
        </w:rPr>
      </w:pPr>
      <w:r>
        <w:rPr>
          <w:rFonts w:eastAsia="Times New Roman"/>
        </w:rPr>
        <w:t xml:space="preserve">         </w:t>
      </w:r>
      <w:r w:rsidR="009D5973">
        <w:rPr>
          <w:rFonts w:eastAsia="Times New Roman"/>
        </w:rPr>
        <w:t xml:space="preserve">(d) </w:t>
      </w:r>
      <w:r w:rsidR="009D5973" w:rsidRPr="00D72ACC">
        <w:rPr>
          <w:rFonts w:eastAsia="Times New Roman"/>
          <w:i/>
        </w:rPr>
        <w:t>Engagement of the public</w:t>
      </w:r>
      <w:r w:rsidR="005B184A">
        <w:rPr>
          <w:rFonts w:eastAsia="Times New Roman"/>
          <w:i/>
        </w:rPr>
        <w:t xml:space="preserve"> </w:t>
      </w:r>
      <w:r w:rsidR="009D5973">
        <w:rPr>
          <w:rFonts w:eastAsia="Times New Roman"/>
        </w:rPr>
        <w:t>—</w:t>
      </w:r>
      <w:r w:rsidR="005B184A">
        <w:rPr>
          <w:rFonts w:eastAsia="Times New Roman"/>
        </w:rPr>
        <w:t xml:space="preserve"> </w:t>
      </w:r>
      <w:r>
        <w:rPr>
          <w:rFonts w:eastAsia="Times New Roman"/>
        </w:rPr>
        <w:t xml:space="preserve">In the long run, the benefits and risks of synthetic </w:t>
      </w:r>
      <w:r>
        <w:rPr>
          <w:rFonts w:eastAsia="Times New Roman"/>
        </w:rPr>
        <w:tab/>
        <w:t xml:space="preserve">  </w:t>
      </w:r>
      <w:r>
        <w:rPr>
          <w:rFonts w:eastAsia="Times New Roman"/>
        </w:rPr>
        <w:tab/>
        <w:t xml:space="preserve">   biology will be best weighed by the public and </w:t>
      </w:r>
      <w:proofErr w:type="gramStart"/>
      <w:r>
        <w:rPr>
          <w:rFonts w:eastAsia="Times New Roman"/>
        </w:rPr>
        <w:t>its</w:t>
      </w:r>
      <w:proofErr w:type="gramEnd"/>
      <w:r>
        <w:rPr>
          <w:rFonts w:eastAsia="Times New Roman"/>
        </w:rPr>
        <w:t xml:space="preserve"> democratically-elected </w:t>
      </w:r>
    </w:p>
    <w:p w:rsidR="007613B6" w:rsidRDefault="007613B6" w:rsidP="007613B6">
      <w:pPr>
        <w:rPr>
          <w:rFonts w:eastAsia="Times New Roman"/>
        </w:rPr>
      </w:pPr>
      <w:r>
        <w:rPr>
          <w:rFonts w:eastAsia="Times New Roman"/>
        </w:rPr>
        <w:tab/>
        <w:t xml:space="preserve">   </w:t>
      </w:r>
      <w:proofErr w:type="gramStart"/>
      <w:r>
        <w:rPr>
          <w:rFonts w:eastAsia="Times New Roman"/>
        </w:rPr>
        <w:t>representatives</w:t>
      </w:r>
      <w:proofErr w:type="gramEnd"/>
      <w:r>
        <w:rPr>
          <w:rFonts w:eastAsia="Times New Roman"/>
        </w:rPr>
        <w:t xml:space="preserve">. </w:t>
      </w:r>
      <w:proofErr w:type="spellStart"/>
      <w:r>
        <w:rPr>
          <w:rFonts w:eastAsia="Times New Roman"/>
        </w:rPr>
        <w:t>Sarewitz</w:t>
      </w:r>
      <w:proofErr w:type="spellEnd"/>
      <w:r>
        <w:rPr>
          <w:rStyle w:val="FootnoteReference"/>
          <w:rFonts w:eastAsia="Times New Roman"/>
        </w:rPr>
        <w:footnoteReference w:id="12"/>
      </w:r>
      <w:r>
        <w:rPr>
          <w:rFonts w:eastAsia="Times New Roman"/>
        </w:rPr>
        <w:t xml:space="preserve"> notes, “Risk is more a political and cultural </w:t>
      </w:r>
      <w:r>
        <w:rPr>
          <w:rFonts w:eastAsia="Times New Roman"/>
        </w:rPr>
        <w:tab/>
        <w:t xml:space="preserve">  </w:t>
      </w:r>
    </w:p>
    <w:p w:rsidR="007613B6" w:rsidRDefault="007613B6" w:rsidP="007613B6">
      <w:pPr>
        <w:rPr>
          <w:rFonts w:eastAsia="Times New Roman"/>
        </w:rPr>
      </w:pPr>
      <w:r>
        <w:rPr>
          <w:rFonts w:eastAsia="Times New Roman"/>
        </w:rPr>
        <w:tab/>
        <w:t xml:space="preserve">   </w:t>
      </w:r>
      <w:proofErr w:type="gramStart"/>
      <w:r>
        <w:rPr>
          <w:rFonts w:eastAsia="Times New Roman"/>
        </w:rPr>
        <w:t>phenomenon</w:t>
      </w:r>
      <w:proofErr w:type="gramEnd"/>
      <w:r>
        <w:rPr>
          <w:rFonts w:eastAsia="Times New Roman"/>
        </w:rPr>
        <w:t xml:space="preserve"> than it is a technical one…Values, governance regimes and </w:t>
      </w:r>
    </w:p>
    <w:p w:rsidR="007613B6" w:rsidRDefault="007613B6" w:rsidP="007613B6">
      <w:pPr>
        <w:rPr>
          <w:rFonts w:eastAsia="Times New Roman"/>
        </w:rPr>
      </w:pPr>
      <w:r>
        <w:rPr>
          <w:rFonts w:eastAsia="Times New Roman"/>
        </w:rPr>
        <w:tab/>
        <w:t xml:space="preserve">   </w:t>
      </w:r>
      <w:proofErr w:type="gramStart"/>
      <w:r>
        <w:rPr>
          <w:rFonts w:eastAsia="Times New Roman"/>
        </w:rPr>
        <w:t>research</w:t>
      </w:r>
      <w:proofErr w:type="gramEnd"/>
      <w:r>
        <w:rPr>
          <w:rFonts w:eastAsia="Times New Roman"/>
        </w:rPr>
        <w:t xml:space="preserve"> agendas can co-evolve in response to such knowledge [a well-</w:t>
      </w:r>
    </w:p>
    <w:p w:rsidR="00D72ACC" w:rsidRDefault="007613B6" w:rsidP="007613B6">
      <w:pPr>
        <w:rPr>
          <w:rFonts w:eastAsia="Times New Roman"/>
        </w:rPr>
      </w:pPr>
      <w:r>
        <w:rPr>
          <w:rFonts w:eastAsia="Times New Roman"/>
        </w:rPr>
        <w:tab/>
        <w:t xml:space="preserve">   </w:t>
      </w:r>
      <w:proofErr w:type="gramStart"/>
      <w:r>
        <w:rPr>
          <w:rFonts w:eastAsia="Times New Roman"/>
        </w:rPr>
        <w:t>informed</w:t>
      </w:r>
      <w:proofErr w:type="gramEnd"/>
      <w:r>
        <w:rPr>
          <w:rFonts w:eastAsia="Times New Roman"/>
        </w:rPr>
        <w:t xml:space="preserve"> public].” </w:t>
      </w:r>
      <w:r w:rsidR="00D72ACC">
        <w:rPr>
          <w:rFonts w:eastAsia="Times New Roman"/>
        </w:rPr>
        <w:t xml:space="preserve">Just as the CBD has recognized the importance of giving </w:t>
      </w:r>
    </w:p>
    <w:p w:rsidR="007613B6" w:rsidRDefault="00D72ACC" w:rsidP="007613B6">
      <w:pPr>
        <w:rPr>
          <w:rFonts w:eastAsia="Times New Roman"/>
        </w:rPr>
      </w:pPr>
      <w:r>
        <w:rPr>
          <w:rFonts w:eastAsia="Times New Roman"/>
        </w:rPr>
        <w:tab/>
        <w:t xml:space="preserve">   </w:t>
      </w:r>
      <w:proofErr w:type="gramStart"/>
      <w:r>
        <w:rPr>
          <w:rFonts w:eastAsia="Times New Roman"/>
        </w:rPr>
        <w:t>voice</w:t>
      </w:r>
      <w:proofErr w:type="gramEnd"/>
      <w:r>
        <w:rPr>
          <w:rFonts w:eastAsia="Times New Roman"/>
        </w:rPr>
        <w:t xml:space="preserve"> to </w:t>
      </w:r>
      <w:r w:rsidR="000315F6">
        <w:rPr>
          <w:rFonts w:eastAsia="Times New Roman"/>
        </w:rPr>
        <w:t>I</w:t>
      </w:r>
      <w:r>
        <w:rPr>
          <w:rFonts w:eastAsia="Times New Roman"/>
        </w:rPr>
        <w:t xml:space="preserve">ndigenous </w:t>
      </w:r>
      <w:r w:rsidR="000315F6">
        <w:rPr>
          <w:rFonts w:eastAsia="Times New Roman"/>
        </w:rPr>
        <w:t>Peoples</w:t>
      </w:r>
      <w:r>
        <w:rPr>
          <w:rFonts w:eastAsia="Times New Roman"/>
        </w:rPr>
        <w:t xml:space="preserve"> and those affected by SB, so we might </w:t>
      </w:r>
    </w:p>
    <w:p w:rsidR="00D72ACC" w:rsidRDefault="00D72ACC" w:rsidP="007613B6">
      <w:pPr>
        <w:rPr>
          <w:rFonts w:eastAsia="Times New Roman"/>
        </w:rPr>
      </w:pPr>
      <w:r>
        <w:rPr>
          <w:rFonts w:eastAsia="Times New Roman"/>
        </w:rPr>
        <w:tab/>
        <w:t xml:space="preserve">   </w:t>
      </w:r>
      <w:proofErr w:type="gramStart"/>
      <w:r>
        <w:rPr>
          <w:rFonts w:eastAsia="Times New Roman"/>
        </w:rPr>
        <w:t>consider</w:t>
      </w:r>
      <w:proofErr w:type="gramEnd"/>
      <w:r>
        <w:rPr>
          <w:rFonts w:eastAsia="Times New Roman"/>
        </w:rPr>
        <w:t xml:space="preserve"> how to reach out to the general public about SB on an ongoing </w:t>
      </w:r>
    </w:p>
    <w:p w:rsidR="00D72ACC" w:rsidRDefault="00D72ACC" w:rsidP="007613B6">
      <w:pPr>
        <w:rPr>
          <w:rFonts w:eastAsia="Times New Roman"/>
        </w:rPr>
      </w:pPr>
      <w:r>
        <w:rPr>
          <w:rFonts w:eastAsia="Times New Roman"/>
        </w:rPr>
        <w:tab/>
        <w:t xml:space="preserve">   </w:t>
      </w:r>
      <w:proofErr w:type="gramStart"/>
      <w:r>
        <w:rPr>
          <w:rFonts w:eastAsia="Times New Roman"/>
        </w:rPr>
        <w:t>basis</w:t>
      </w:r>
      <w:proofErr w:type="gramEnd"/>
      <w:r>
        <w:rPr>
          <w:rFonts w:eastAsia="Times New Roman"/>
        </w:rPr>
        <w:t>.</w:t>
      </w:r>
    </w:p>
    <w:p w:rsidR="00157E67" w:rsidRDefault="00157E67">
      <w:pPr>
        <w:rPr>
          <w:rFonts w:eastAsia="Times New Roman"/>
        </w:rPr>
      </w:pPr>
    </w:p>
    <w:p w:rsidR="00114A54" w:rsidRDefault="00114A54" w:rsidP="00114A54">
      <w:pPr>
        <w:rPr>
          <w:rFonts w:eastAsia="Times New Roman"/>
        </w:rPr>
      </w:pPr>
      <w:r>
        <w:rPr>
          <w:u w:val="single"/>
        </w:rPr>
        <w:t>6</w:t>
      </w:r>
      <w:r w:rsidRPr="00157E67">
        <w:rPr>
          <w:u w:val="single"/>
        </w:rPr>
        <w:t>. Recommendations</w:t>
      </w:r>
      <w:r>
        <w:t xml:space="preserve"> </w:t>
      </w:r>
      <w:r>
        <w:rPr>
          <w:rFonts w:eastAsia="Times New Roman"/>
        </w:rPr>
        <w:t>—</w:t>
      </w:r>
    </w:p>
    <w:p w:rsidR="00D72ACC" w:rsidRDefault="00D72ACC" w:rsidP="00114A54">
      <w:pPr>
        <w:rPr>
          <w:rFonts w:eastAsia="Times New Roman"/>
        </w:rPr>
      </w:pPr>
    </w:p>
    <w:p w:rsidR="00A627CB" w:rsidRPr="00D72ACC" w:rsidRDefault="00D72ACC" w:rsidP="00D72ACC">
      <w:pPr>
        <w:pStyle w:val="ListParagraph"/>
        <w:numPr>
          <w:ilvl w:val="0"/>
          <w:numId w:val="5"/>
        </w:numPr>
        <w:rPr>
          <w:rFonts w:eastAsia="Times New Roman"/>
        </w:rPr>
      </w:pPr>
      <w:r w:rsidRPr="00D72ACC">
        <w:rPr>
          <w:rFonts w:eastAsia="Times New Roman"/>
        </w:rPr>
        <w:t xml:space="preserve">Some means be found to engage </w:t>
      </w:r>
      <w:r w:rsidR="000315F6">
        <w:rPr>
          <w:rFonts w:eastAsia="Times New Roman"/>
        </w:rPr>
        <w:t>I</w:t>
      </w:r>
      <w:r w:rsidRPr="00D72ACC">
        <w:rPr>
          <w:rFonts w:eastAsia="Times New Roman"/>
        </w:rPr>
        <w:t xml:space="preserve">ndigenous </w:t>
      </w:r>
      <w:r w:rsidR="000315F6">
        <w:rPr>
          <w:rFonts w:eastAsia="Times New Roman"/>
        </w:rPr>
        <w:t>Peoples</w:t>
      </w:r>
      <w:r w:rsidRPr="00D72ACC">
        <w:rPr>
          <w:rFonts w:eastAsia="Times New Roman"/>
        </w:rPr>
        <w:t xml:space="preserve"> on SB</w:t>
      </w:r>
      <w:r w:rsidR="000315F6">
        <w:rPr>
          <w:rFonts w:eastAsia="Times New Roman"/>
        </w:rPr>
        <w:t>,</w:t>
      </w:r>
    </w:p>
    <w:p w:rsidR="00F1658F" w:rsidRPr="00DD6C95" w:rsidRDefault="00F1658F" w:rsidP="00943E44">
      <w:pPr>
        <w:pStyle w:val="ListParagraph"/>
        <w:numPr>
          <w:ilvl w:val="0"/>
          <w:numId w:val="5"/>
        </w:numPr>
        <w:ind w:left="1134" w:hanging="414"/>
        <w:rPr>
          <w:rFonts w:eastAsia="Times New Roman"/>
        </w:rPr>
      </w:pPr>
      <w:r>
        <w:rPr>
          <w:rFonts w:eastAsia="Times New Roman"/>
        </w:rPr>
        <w:t xml:space="preserve">CBD explore proactive approaches to governance of SB as described in 4. </w:t>
      </w:r>
      <w:r w:rsidR="00DD6C95">
        <w:rPr>
          <w:rFonts w:eastAsia="Times New Roman"/>
        </w:rPr>
        <w:t xml:space="preserve">     </w:t>
      </w:r>
      <w:proofErr w:type="gramStart"/>
      <w:r>
        <w:rPr>
          <w:rFonts w:eastAsia="Times New Roman"/>
        </w:rPr>
        <w:t>above</w:t>
      </w:r>
      <w:proofErr w:type="gramEnd"/>
      <w:r>
        <w:rPr>
          <w:rFonts w:eastAsia="Times New Roman"/>
        </w:rPr>
        <w:t xml:space="preserve"> and in the references cited on </w:t>
      </w:r>
      <w:proofErr w:type="spellStart"/>
      <w:r>
        <w:rPr>
          <w:rFonts w:eastAsia="Times New Roman"/>
        </w:rPr>
        <w:t>pg</w:t>
      </w:r>
      <w:proofErr w:type="spellEnd"/>
      <w:r>
        <w:rPr>
          <w:rFonts w:eastAsia="Times New Roman"/>
        </w:rPr>
        <w:t xml:space="preserve"> 3</w:t>
      </w:r>
      <w:r w:rsidR="000315F6">
        <w:rPr>
          <w:rFonts w:eastAsia="Times New Roman"/>
        </w:rPr>
        <w:t>,</w:t>
      </w:r>
      <w:r w:rsidR="00DD6C95">
        <w:rPr>
          <w:rFonts w:eastAsia="Times New Roman"/>
        </w:rPr>
        <w:t xml:space="preserve"> </w:t>
      </w:r>
      <w:r w:rsidRPr="00DD6C95">
        <w:rPr>
          <w:rFonts w:eastAsia="Times New Roman"/>
        </w:rPr>
        <w:t>includ</w:t>
      </w:r>
      <w:r w:rsidR="000315F6">
        <w:rPr>
          <w:rFonts w:eastAsia="Times New Roman"/>
        </w:rPr>
        <w:t>ing</w:t>
      </w:r>
      <w:r w:rsidRPr="00DD6C95">
        <w:rPr>
          <w:rFonts w:eastAsia="Times New Roman"/>
        </w:rPr>
        <w:t xml:space="preserve"> a focus on sustainability</w:t>
      </w:r>
      <w:r w:rsidR="000315F6">
        <w:rPr>
          <w:rFonts w:eastAsia="Times New Roman"/>
        </w:rPr>
        <w:t>,</w:t>
      </w:r>
    </w:p>
    <w:p w:rsidR="00F1658F" w:rsidRDefault="00DD6C95" w:rsidP="00D72ACC">
      <w:pPr>
        <w:pStyle w:val="ListParagraph"/>
        <w:numPr>
          <w:ilvl w:val="0"/>
          <w:numId w:val="5"/>
        </w:numPr>
        <w:rPr>
          <w:rFonts w:eastAsia="Times New Roman"/>
        </w:rPr>
      </w:pPr>
      <w:r>
        <w:rPr>
          <w:rFonts w:eastAsia="Times New Roman"/>
        </w:rPr>
        <w:t>T</w:t>
      </w:r>
      <w:r w:rsidR="00F1658F">
        <w:rPr>
          <w:rFonts w:eastAsia="Times New Roman"/>
        </w:rPr>
        <w:t>he proactive approach be an implementation of the precautionary principle</w:t>
      </w:r>
      <w:r w:rsidR="000315F6">
        <w:rPr>
          <w:rFonts w:eastAsia="Times New Roman"/>
        </w:rPr>
        <w:t>,</w:t>
      </w:r>
    </w:p>
    <w:p w:rsidR="00F1658F" w:rsidRDefault="00DD6C95" w:rsidP="00D72ACC">
      <w:pPr>
        <w:pStyle w:val="ListParagraph"/>
        <w:numPr>
          <w:ilvl w:val="0"/>
          <w:numId w:val="5"/>
        </w:numPr>
        <w:rPr>
          <w:rFonts w:eastAsia="Times New Roman"/>
        </w:rPr>
      </w:pPr>
      <w:r>
        <w:rPr>
          <w:rFonts w:eastAsia="Times New Roman"/>
        </w:rPr>
        <w:t>Alternative means of financing the development of SB be explored to facilitate fair and equitable sharing of benefits</w:t>
      </w:r>
      <w:r w:rsidR="000315F6">
        <w:rPr>
          <w:rFonts w:eastAsia="Times New Roman"/>
        </w:rPr>
        <w:t>,</w:t>
      </w:r>
    </w:p>
    <w:p w:rsidR="00DD6C95" w:rsidRDefault="00DD6C95" w:rsidP="00D72ACC">
      <w:pPr>
        <w:pStyle w:val="ListParagraph"/>
        <w:numPr>
          <w:ilvl w:val="0"/>
          <w:numId w:val="5"/>
        </w:numPr>
        <w:rPr>
          <w:rFonts w:eastAsia="Times New Roman"/>
        </w:rPr>
      </w:pPr>
      <w:r>
        <w:rPr>
          <w:rFonts w:eastAsia="Times New Roman"/>
        </w:rPr>
        <w:t>All SB products, regardless of intended level of containment, be evaluated for their direct and indirect impacts on people and ecosystems</w:t>
      </w:r>
      <w:r w:rsidR="000315F6">
        <w:rPr>
          <w:rFonts w:eastAsia="Times New Roman"/>
        </w:rPr>
        <w:t>,</w:t>
      </w:r>
    </w:p>
    <w:p w:rsidR="00DD6C95" w:rsidRDefault="00DD6C95" w:rsidP="00D72ACC">
      <w:pPr>
        <w:pStyle w:val="ListParagraph"/>
        <w:numPr>
          <w:ilvl w:val="0"/>
          <w:numId w:val="5"/>
        </w:numPr>
        <w:rPr>
          <w:rFonts w:eastAsia="Times New Roman"/>
        </w:rPr>
      </w:pPr>
      <w:r>
        <w:rPr>
          <w:rFonts w:eastAsia="Times New Roman"/>
        </w:rPr>
        <w:t xml:space="preserve">In IX </w:t>
      </w:r>
      <w:r w:rsidR="00E958CE">
        <w:rPr>
          <w:rFonts w:eastAsia="Times New Roman"/>
        </w:rPr>
        <w:t>(c), the following b</w:t>
      </w:r>
      <w:r w:rsidR="00C71740">
        <w:rPr>
          <w:rFonts w:eastAsia="Times New Roman"/>
        </w:rPr>
        <w:t>e inserted after “ecosystems”: “</w:t>
      </w:r>
      <w:r w:rsidR="00E958CE">
        <w:rPr>
          <w:rFonts w:eastAsia="Times New Roman"/>
        </w:rPr>
        <w:t>and all persons in the region</w:t>
      </w:r>
      <w:r w:rsidR="00C71740">
        <w:rPr>
          <w:rFonts w:eastAsia="Times New Roman"/>
        </w:rPr>
        <w:t>”</w:t>
      </w:r>
      <w:r w:rsidR="000315F6">
        <w:rPr>
          <w:rFonts w:eastAsia="Times New Roman"/>
        </w:rPr>
        <w:t>,</w:t>
      </w:r>
    </w:p>
    <w:p w:rsidR="00E958CE" w:rsidRDefault="00E958CE" w:rsidP="00D72ACC">
      <w:pPr>
        <w:pStyle w:val="ListParagraph"/>
        <w:numPr>
          <w:ilvl w:val="0"/>
          <w:numId w:val="5"/>
        </w:numPr>
        <w:rPr>
          <w:rFonts w:eastAsia="Times New Roman"/>
        </w:rPr>
      </w:pPr>
      <w:r>
        <w:rPr>
          <w:rFonts w:eastAsia="Times New Roman"/>
        </w:rPr>
        <w:t>In IX (f), in addition to an online platform to distribute information about SB, other methods be explored to build capacity and trust</w:t>
      </w:r>
      <w:r w:rsidR="000315F6">
        <w:rPr>
          <w:rFonts w:eastAsia="Times New Roman"/>
        </w:rPr>
        <w:t>,</w:t>
      </w:r>
    </w:p>
    <w:p w:rsidR="00E958CE" w:rsidRDefault="00E958CE" w:rsidP="00D72ACC">
      <w:pPr>
        <w:pStyle w:val="ListParagraph"/>
        <w:numPr>
          <w:ilvl w:val="0"/>
          <w:numId w:val="5"/>
        </w:numPr>
        <w:rPr>
          <w:rFonts w:eastAsia="Times New Roman"/>
        </w:rPr>
      </w:pPr>
      <w:r>
        <w:rPr>
          <w:rFonts w:eastAsia="Times New Roman"/>
        </w:rPr>
        <w:t xml:space="preserve">In IX (g), </w:t>
      </w:r>
      <w:r w:rsidR="000D5FA1">
        <w:rPr>
          <w:rFonts w:eastAsia="Times New Roman"/>
        </w:rPr>
        <w:t>supplementary strategies using anticipatory governance be employed for guiding the safe, sustainable and robust development of SB</w:t>
      </w:r>
      <w:r w:rsidR="000315F6">
        <w:rPr>
          <w:rFonts w:eastAsia="Times New Roman"/>
        </w:rPr>
        <w:t>,</w:t>
      </w:r>
    </w:p>
    <w:p w:rsidR="000D5FA1" w:rsidRDefault="000D5FA1" w:rsidP="00D72ACC">
      <w:pPr>
        <w:pStyle w:val="ListParagraph"/>
        <w:numPr>
          <w:ilvl w:val="0"/>
          <w:numId w:val="5"/>
        </w:numPr>
        <w:rPr>
          <w:rFonts w:eastAsia="Times New Roman"/>
        </w:rPr>
      </w:pPr>
      <w:r>
        <w:rPr>
          <w:rFonts w:eastAsia="Times New Roman"/>
        </w:rPr>
        <w:lastRenderedPageBreak/>
        <w:t xml:space="preserve">Re “Further considerations (a),” the CBD develop a specific strategy for tracking the impact of SB on biodiversity (genes, species, </w:t>
      </w:r>
      <w:r w:rsidR="000315F6">
        <w:rPr>
          <w:rFonts w:eastAsia="Times New Roman"/>
        </w:rPr>
        <w:t xml:space="preserve">and </w:t>
      </w:r>
      <w:r>
        <w:rPr>
          <w:rFonts w:eastAsia="Times New Roman"/>
        </w:rPr>
        <w:t>ecosystems)</w:t>
      </w:r>
      <w:r w:rsidR="000315F6">
        <w:rPr>
          <w:rFonts w:eastAsia="Times New Roman"/>
        </w:rPr>
        <w:t>,</w:t>
      </w:r>
    </w:p>
    <w:p w:rsidR="000D5FA1" w:rsidRDefault="000D5FA1" w:rsidP="000D5FA1">
      <w:pPr>
        <w:pStyle w:val="ListParagraph"/>
        <w:numPr>
          <w:ilvl w:val="0"/>
          <w:numId w:val="5"/>
        </w:numPr>
        <w:rPr>
          <w:rFonts w:eastAsia="Times New Roman"/>
        </w:rPr>
      </w:pPr>
      <w:r>
        <w:rPr>
          <w:rFonts w:eastAsia="Times New Roman"/>
        </w:rPr>
        <w:t>Re “Further considerations (b),</w:t>
      </w:r>
      <w:proofErr w:type="gramStart"/>
      <w:r>
        <w:rPr>
          <w:rFonts w:eastAsia="Times New Roman"/>
        </w:rPr>
        <w:t>”  the</w:t>
      </w:r>
      <w:proofErr w:type="gramEnd"/>
      <w:r>
        <w:rPr>
          <w:rFonts w:eastAsia="Times New Roman"/>
        </w:rPr>
        <w:t xml:space="preserve"> CBD use an approach like real-time technology assessment</w:t>
      </w:r>
      <w:r>
        <w:rPr>
          <w:rStyle w:val="FootnoteReference"/>
          <w:rFonts w:eastAsia="Times New Roman"/>
        </w:rPr>
        <w:footnoteReference w:id="13"/>
      </w:r>
      <w:r w:rsidR="000315F6">
        <w:rPr>
          <w:rFonts w:eastAsia="Times New Roman"/>
        </w:rPr>
        <w:t>,</w:t>
      </w:r>
    </w:p>
    <w:p w:rsidR="000D5FA1" w:rsidRDefault="000D5FA1" w:rsidP="000D5FA1">
      <w:pPr>
        <w:pStyle w:val="ListParagraph"/>
        <w:numPr>
          <w:ilvl w:val="0"/>
          <w:numId w:val="5"/>
        </w:numPr>
        <w:rPr>
          <w:rFonts w:eastAsia="Times New Roman"/>
        </w:rPr>
      </w:pPr>
      <w:r>
        <w:rPr>
          <w:rFonts w:eastAsia="Times New Roman"/>
        </w:rPr>
        <w:t>Re “Further considerations (c),”</w:t>
      </w:r>
      <w:r w:rsidR="00A110F9">
        <w:rPr>
          <w:rFonts w:eastAsia="Times New Roman"/>
        </w:rPr>
        <w:t xml:space="preserve"> the CBD consult bodies such as </w:t>
      </w:r>
      <w:r w:rsidR="000315F6">
        <w:rPr>
          <w:rFonts w:eastAsia="Times New Roman"/>
        </w:rPr>
        <w:t xml:space="preserve">the International </w:t>
      </w:r>
      <w:r w:rsidR="00A110F9">
        <w:rPr>
          <w:rFonts w:eastAsia="Times New Roman"/>
        </w:rPr>
        <w:t>G</w:t>
      </w:r>
      <w:r w:rsidR="000315F6">
        <w:rPr>
          <w:rFonts w:eastAsia="Times New Roman"/>
        </w:rPr>
        <w:t xml:space="preserve">enetically </w:t>
      </w:r>
      <w:r w:rsidR="00A110F9">
        <w:rPr>
          <w:rFonts w:eastAsia="Times New Roman"/>
        </w:rPr>
        <w:t>E</w:t>
      </w:r>
      <w:r w:rsidR="000315F6">
        <w:rPr>
          <w:rFonts w:eastAsia="Times New Roman"/>
        </w:rPr>
        <w:t xml:space="preserve">ngineered </w:t>
      </w:r>
      <w:r w:rsidR="00A110F9">
        <w:rPr>
          <w:rFonts w:eastAsia="Times New Roman"/>
        </w:rPr>
        <w:t>M</w:t>
      </w:r>
      <w:r w:rsidR="000315F6">
        <w:rPr>
          <w:rFonts w:eastAsia="Times New Roman"/>
        </w:rPr>
        <w:t>achines competition</w:t>
      </w:r>
      <w:r w:rsidR="00A110F9">
        <w:rPr>
          <w:rFonts w:eastAsia="Times New Roman"/>
        </w:rPr>
        <w:t>, which have experience introducing people to SB</w:t>
      </w:r>
      <w:r w:rsidR="000315F6">
        <w:rPr>
          <w:rFonts w:eastAsia="Times New Roman"/>
        </w:rPr>
        <w:t>,</w:t>
      </w:r>
      <w:r w:rsidR="00A110F9">
        <w:rPr>
          <w:rFonts w:eastAsia="Times New Roman"/>
        </w:rPr>
        <w:t xml:space="preserve"> to address issues concerning the disrespect of living beings</w:t>
      </w:r>
      <w:r w:rsidR="000315F6">
        <w:rPr>
          <w:rFonts w:eastAsia="Times New Roman"/>
        </w:rPr>
        <w:t>,</w:t>
      </w:r>
    </w:p>
    <w:p w:rsidR="00D77608" w:rsidRDefault="000D5FA1" w:rsidP="00204366">
      <w:pPr>
        <w:pStyle w:val="ListParagraph"/>
        <w:numPr>
          <w:ilvl w:val="0"/>
          <w:numId w:val="5"/>
        </w:numPr>
        <w:rPr>
          <w:rFonts w:eastAsia="Times New Roman"/>
        </w:rPr>
      </w:pPr>
      <w:r>
        <w:rPr>
          <w:rFonts w:eastAsia="Times New Roman"/>
        </w:rPr>
        <w:t>Re “Further considerations (d),”</w:t>
      </w:r>
      <w:r w:rsidR="00A110F9">
        <w:rPr>
          <w:rFonts w:eastAsia="Times New Roman"/>
        </w:rPr>
        <w:t xml:space="preserve"> the CBD explore ways that the public has been consulted and involved in the development of SB</w:t>
      </w:r>
      <w:r w:rsidR="000315F6">
        <w:rPr>
          <w:rFonts w:eastAsia="Times New Roman"/>
        </w:rPr>
        <w:t>,</w:t>
      </w:r>
      <w:r w:rsidR="00A110F9">
        <w:rPr>
          <w:rFonts w:eastAsia="Times New Roman"/>
        </w:rPr>
        <w:t xml:space="preserve"> including the specific examples cited in ref 11.</w:t>
      </w:r>
    </w:p>
    <w:p w:rsidR="000D5FA1" w:rsidRPr="00D77608" w:rsidRDefault="005A675B" w:rsidP="00204366">
      <w:pPr>
        <w:pStyle w:val="ListParagraph"/>
        <w:numPr>
          <w:ilvl w:val="0"/>
          <w:numId w:val="5"/>
        </w:numPr>
        <w:rPr>
          <w:rFonts w:eastAsia="Times New Roman"/>
        </w:rPr>
      </w:pPr>
      <w:r>
        <w:rPr>
          <w:rFonts w:eastAsia="Times New Roman"/>
        </w:rPr>
        <w:t>The CBD a</w:t>
      </w:r>
      <w:r w:rsidR="00C14FF9" w:rsidRPr="00D77608">
        <w:rPr>
          <w:rFonts w:eastAsia="Times New Roman"/>
        </w:rPr>
        <w:t xml:space="preserve">dd </w:t>
      </w:r>
      <w:r w:rsidR="00C71740" w:rsidRPr="00D77608">
        <w:rPr>
          <w:rFonts w:eastAsia="Times New Roman"/>
        </w:rPr>
        <w:t>“</w:t>
      </w:r>
      <w:r w:rsidR="00517B0A" w:rsidRPr="00D77608">
        <w:rPr>
          <w:rFonts w:eastAsia="Times New Roman"/>
        </w:rPr>
        <w:t>Shift in fundamental attitudes about living beings,</w:t>
      </w:r>
      <w:r w:rsidR="00C14FF9" w:rsidRPr="00D77608">
        <w:rPr>
          <w:rFonts w:eastAsia="Times New Roman"/>
        </w:rPr>
        <w:t xml:space="preserve"> with negative impacts </w:t>
      </w:r>
      <w:r w:rsidR="00517B0A" w:rsidRPr="00D77608">
        <w:rPr>
          <w:rFonts w:eastAsia="Times New Roman"/>
        </w:rPr>
        <w:t>on biodiversity</w:t>
      </w:r>
      <w:r w:rsidR="00C71740" w:rsidRPr="00D77608">
        <w:rPr>
          <w:rFonts w:eastAsia="Times New Roman"/>
        </w:rPr>
        <w:t>”</w:t>
      </w:r>
      <w:r w:rsidR="00517B0A" w:rsidRPr="00D77608">
        <w:rPr>
          <w:rFonts w:eastAsia="Times New Roman"/>
        </w:rPr>
        <w:t xml:space="preserve"> to the list of Potential Adverse Effects.</w:t>
      </w:r>
    </w:p>
    <w:p w:rsidR="00F1658F" w:rsidRPr="00517B0A" w:rsidRDefault="00F1658F" w:rsidP="00F1658F">
      <w:pPr>
        <w:ind w:left="1100"/>
        <w:rPr>
          <w:rFonts w:eastAsia="Times New Roman"/>
        </w:rPr>
      </w:pPr>
    </w:p>
    <w:p w:rsidR="00A627CB" w:rsidRPr="00517B0A" w:rsidRDefault="00A627CB">
      <w:pPr>
        <w:rPr>
          <w:rFonts w:eastAsia="Times New Roman"/>
        </w:rPr>
      </w:pPr>
    </w:p>
    <w:p w:rsidR="00157E67" w:rsidRPr="00517B0A" w:rsidRDefault="00157E67">
      <w:pPr>
        <w:rPr>
          <w:rFonts w:eastAsia="Times New Roman"/>
        </w:rPr>
      </w:pPr>
      <w:r w:rsidRPr="00517B0A">
        <w:rPr>
          <w:rFonts w:eastAsia="Times New Roman"/>
        </w:rPr>
        <w:t xml:space="preserve"> </w:t>
      </w:r>
    </w:p>
    <w:sectPr w:rsidR="00157E67" w:rsidRPr="00517B0A" w:rsidSect="00F7326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E67" w:rsidRDefault="00522E67" w:rsidP="00D414C9">
      <w:r>
        <w:separator/>
      </w:r>
    </w:p>
  </w:endnote>
  <w:endnote w:type="continuationSeparator" w:id="0">
    <w:p w:rsidR="00522E67" w:rsidRDefault="00522E67" w:rsidP="00D4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A1" w:rsidRDefault="00740E65" w:rsidP="00A055A8">
    <w:pPr>
      <w:pStyle w:val="Footer"/>
      <w:framePr w:wrap="around" w:vAnchor="text" w:hAnchor="margin" w:xAlign="right" w:y="1"/>
      <w:rPr>
        <w:rStyle w:val="PageNumber"/>
      </w:rPr>
    </w:pPr>
    <w:r>
      <w:rPr>
        <w:rStyle w:val="PageNumber"/>
      </w:rPr>
      <w:fldChar w:fldCharType="begin"/>
    </w:r>
    <w:r w:rsidR="000D5FA1">
      <w:rPr>
        <w:rStyle w:val="PageNumber"/>
      </w:rPr>
      <w:instrText xml:space="preserve">PAGE  </w:instrText>
    </w:r>
    <w:r>
      <w:rPr>
        <w:rStyle w:val="PageNumber"/>
      </w:rPr>
      <w:fldChar w:fldCharType="end"/>
    </w:r>
  </w:p>
  <w:p w:rsidR="000D5FA1" w:rsidRDefault="000D5FA1" w:rsidP="00BC37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A1" w:rsidRDefault="00740E65" w:rsidP="00A055A8">
    <w:pPr>
      <w:pStyle w:val="Footer"/>
      <w:framePr w:wrap="around" w:vAnchor="text" w:hAnchor="margin" w:xAlign="right" w:y="1"/>
      <w:rPr>
        <w:rStyle w:val="PageNumber"/>
      </w:rPr>
    </w:pPr>
    <w:r>
      <w:rPr>
        <w:rStyle w:val="PageNumber"/>
      </w:rPr>
      <w:fldChar w:fldCharType="begin"/>
    </w:r>
    <w:r w:rsidR="000D5FA1">
      <w:rPr>
        <w:rStyle w:val="PageNumber"/>
      </w:rPr>
      <w:instrText xml:space="preserve">PAGE  </w:instrText>
    </w:r>
    <w:r>
      <w:rPr>
        <w:rStyle w:val="PageNumber"/>
      </w:rPr>
      <w:fldChar w:fldCharType="separate"/>
    </w:r>
    <w:r w:rsidR="00EF62F8">
      <w:rPr>
        <w:rStyle w:val="PageNumber"/>
        <w:noProof/>
      </w:rPr>
      <w:t>1</w:t>
    </w:r>
    <w:r>
      <w:rPr>
        <w:rStyle w:val="PageNumber"/>
      </w:rPr>
      <w:fldChar w:fldCharType="end"/>
    </w:r>
  </w:p>
  <w:p w:rsidR="000D5FA1" w:rsidRDefault="000D5FA1" w:rsidP="00BC3723">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E67" w:rsidRDefault="00522E67" w:rsidP="00D414C9">
      <w:r>
        <w:separator/>
      </w:r>
    </w:p>
  </w:footnote>
  <w:footnote w:type="continuationSeparator" w:id="0">
    <w:p w:rsidR="00522E67" w:rsidRDefault="00522E67" w:rsidP="00D414C9">
      <w:r>
        <w:continuationSeparator/>
      </w:r>
    </w:p>
  </w:footnote>
  <w:footnote w:id="1">
    <w:p w:rsidR="00517B0A" w:rsidRDefault="00F2020D">
      <w:pPr>
        <w:autoSpaceDE w:val="0"/>
        <w:autoSpaceDN w:val="0"/>
        <w:adjustRightInd w:val="0"/>
        <w:rPr>
          <w:rFonts w:ascii="Times" w:eastAsia="Times New Roman" w:hAnsi="Times"/>
          <w:sz w:val="20"/>
          <w:szCs w:val="20"/>
          <w:lang w:val="en-CA"/>
        </w:rPr>
      </w:pPr>
      <w:r>
        <w:rPr>
          <w:rStyle w:val="FootnoteReference"/>
        </w:rPr>
        <w:footnoteRef/>
      </w:r>
      <w:r>
        <w:t xml:space="preserve"> </w:t>
      </w:r>
      <w:r w:rsidRPr="00F2020D">
        <w:rPr>
          <w:rFonts w:ascii="Times" w:eastAsia="Times New Roman" w:hAnsi="Times"/>
          <w:sz w:val="20"/>
          <w:szCs w:val="20"/>
          <w:lang w:val="en-CA"/>
        </w:rPr>
        <w:t>Craig Holdrege</w:t>
      </w:r>
      <w:r>
        <w:rPr>
          <w:rFonts w:ascii="Times" w:eastAsia="Times New Roman" w:hAnsi="Times"/>
          <w:sz w:val="20"/>
          <w:szCs w:val="20"/>
          <w:lang w:val="en-CA"/>
        </w:rPr>
        <w:t xml:space="preserve">. 2014. </w:t>
      </w:r>
      <w:r w:rsidR="00B7160A" w:rsidRPr="00B7160A">
        <w:rPr>
          <w:rFonts w:ascii="Times" w:eastAsia="Times New Roman" w:hAnsi="Times"/>
          <w:sz w:val="20"/>
          <w:szCs w:val="20"/>
          <w:lang w:val="en-CA"/>
        </w:rPr>
        <w:t>Wh</w:t>
      </w:r>
      <w:r>
        <w:rPr>
          <w:rFonts w:ascii="Times" w:eastAsia="Times New Roman" w:hAnsi="Times"/>
          <w:sz w:val="20"/>
          <w:szCs w:val="20"/>
          <w:lang w:val="en-CA"/>
        </w:rPr>
        <w:t xml:space="preserve">en Engineers Take Hold of Life: Synthetic Biology. </w:t>
      </w:r>
      <w:r w:rsidR="00B7160A" w:rsidRPr="00B7160A">
        <w:rPr>
          <w:rFonts w:ascii="Times" w:eastAsia="Times New Roman" w:hAnsi="Times"/>
          <w:i/>
          <w:sz w:val="20"/>
          <w:szCs w:val="20"/>
          <w:lang w:val="en-CA"/>
        </w:rPr>
        <w:t>Nature Institute.</w:t>
      </w:r>
      <w:r>
        <w:rPr>
          <w:rFonts w:ascii="Times" w:eastAsia="Times New Roman" w:hAnsi="Times"/>
          <w:i/>
          <w:sz w:val="20"/>
          <w:szCs w:val="20"/>
          <w:lang w:val="en-CA"/>
        </w:rPr>
        <w:t xml:space="preserve"> </w:t>
      </w:r>
      <w:r>
        <w:rPr>
          <w:rFonts w:ascii="Times" w:eastAsia="Times New Roman" w:hAnsi="Times"/>
          <w:sz w:val="20"/>
          <w:szCs w:val="20"/>
          <w:lang w:val="en-CA"/>
        </w:rPr>
        <w:t xml:space="preserve">Available at: </w:t>
      </w:r>
      <w:hyperlink r:id="rId1" w:history="1">
        <w:r w:rsidRPr="00F2020D">
          <w:rPr>
            <w:rStyle w:val="Hyperlink"/>
            <w:rFonts w:ascii="Times" w:eastAsia="Times New Roman" w:hAnsi="Times"/>
            <w:sz w:val="20"/>
            <w:szCs w:val="20"/>
            <w:lang w:val="en-CA"/>
          </w:rPr>
          <w:t>http://www.natureinstitute.org/pub/ic/ic32/synbio.pdf</w:t>
        </w:r>
      </w:hyperlink>
    </w:p>
  </w:footnote>
  <w:footnote w:id="2">
    <w:p w:rsidR="000D5FA1" w:rsidRPr="00887C49" w:rsidRDefault="000D5FA1">
      <w:pPr>
        <w:pStyle w:val="FootnoteText"/>
        <w:rPr>
          <w:i/>
        </w:rPr>
      </w:pPr>
      <w:r>
        <w:rPr>
          <w:rStyle w:val="FootnoteReference"/>
        </w:rPr>
        <w:footnoteRef/>
      </w:r>
      <w:r>
        <w:t xml:space="preserve"> </w:t>
      </w:r>
      <w:proofErr w:type="spellStart"/>
      <w:r w:rsidRPr="0061335A">
        <w:rPr>
          <w:rFonts w:ascii="Times" w:eastAsia="Times New Roman" w:hAnsi="Times"/>
          <w:sz w:val="20"/>
          <w:szCs w:val="20"/>
          <w:lang w:val="en-CA"/>
        </w:rPr>
        <w:t>Arnim</w:t>
      </w:r>
      <w:proofErr w:type="spellEnd"/>
      <w:r w:rsidRPr="0061335A">
        <w:rPr>
          <w:rFonts w:ascii="Times" w:eastAsia="Times New Roman" w:hAnsi="Times"/>
          <w:sz w:val="20"/>
          <w:szCs w:val="20"/>
          <w:lang w:val="en-CA"/>
        </w:rPr>
        <w:t xml:space="preserve"> </w:t>
      </w:r>
      <w:proofErr w:type="spellStart"/>
      <w:r w:rsidRPr="0061335A">
        <w:rPr>
          <w:rFonts w:ascii="Times" w:eastAsia="Times New Roman" w:hAnsi="Times"/>
          <w:sz w:val="20"/>
          <w:szCs w:val="20"/>
          <w:lang w:val="en-CA"/>
        </w:rPr>
        <w:t>Wiek</w:t>
      </w:r>
      <w:proofErr w:type="spellEnd"/>
      <w:r w:rsidRPr="0061335A">
        <w:rPr>
          <w:rFonts w:ascii="Times" w:eastAsia="Times New Roman" w:hAnsi="Times"/>
          <w:sz w:val="20"/>
          <w:szCs w:val="20"/>
          <w:lang w:val="en-CA"/>
        </w:rPr>
        <w:t xml:space="preserve">, David </w:t>
      </w:r>
      <w:proofErr w:type="spellStart"/>
      <w:r w:rsidRPr="0061335A">
        <w:rPr>
          <w:rFonts w:ascii="Times" w:eastAsia="Times New Roman" w:hAnsi="Times"/>
          <w:sz w:val="20"/>
          <w:szCs w:val="20"/>
          <w:lang w:val="en-CA"/>
        </w:rPr>
        <w:t>Guston</w:t>
      </w:r>
      <w:proofErr w:type="spellEnd"/>
      <w:r w:rsidRPr="0061335A">
        <w:rPr>
          <w:rFonts w:ascii="Times" w:eastAsia="Times New Roman" w:hAnsi="Times"/>
          <w:sz w:val="20"/>
          <w:szCs w:val="20"/>
          <w:lang w:val="en-CA"/>
        </w:rPr>
        <w:t xml:space="preserve">, Emma </w:t>
      </w:r>
      <w:proofErr w:type="spellStart"/>
      <w:r w:rsidRPr="0061335A">
        <w:rPr>
          <w:rFonts w:ascii="Times" w:eastAsia="Times New Roman" w:hAnsi="Times"/>
          <w:sz w:val="20"/>
          <w:szCs w:val="20"/>
          <w:lang w:val="en-CA"/>
        </w:rPr>
        <w:t>Frow</w:t>
      </w:r>
      <w:proofErr w:type="spellEnd"/>
      <w:r w:rsidRPr="0061335A">
        <w:rPr>
          <w:rFonts w:ascii="Times" w:eastAsia="Times New Roman" w:hAnsi="Times"/>
          <w:sz w:val="20"/>
          <w:szCs w:val="20"/>
          <w:lang w:val="en-CA"/>
        </w:rPr>
        <w:t xml:space="preserve"> &amp; Jane Calvert. 2012. Sustainability and anticipatory governance in synthetic biology. </w:t>
      </w:r>
      <w:proofErr w:type="gramStart"/>
      <w:r w:rsidRPr="00887C49">
        <w:rPr>
          <w:rFonts w:ascii="Times" w:eastAsia="Times New Roman" w:hAnsi="Times"/>
          <w:i/>
          <w:sz w:val="20"/>
          <w:szCs w:val="20"/>
          <w:lang w:val="en-CA"/>
        </w:rPr>
        <w:t>International Journal of Social Ecology and Sustainable Development 3(2): 25-38.</w:t>
      </w:r>
      <w:proofErr w:type="gramEnd"/>
      <w:r w:rsidRPr="00887C49">
        <w:rPr>
          <w:rFonts w:ascii="Times" w:eastAsia="Times New Roman" w:hAnsi="Times"/>
          <w:i/>
          <w:sz w:val="20"/>
          <w:szCs w:val="20"/>
          <w:lang w:val="en-CA"/>
        </w:rPr>
        <w:t> </w:t>
      </w:r>
      <w:proofErr w:type="spellStart"/>
      <w:proofErr w:type="gramStart"/>
      <w:r>
        <w:rPr>
          <w:rFonts w:ascii="Times" w:eastAsia="Times New Roman" w:hAnsi="Times"/>
          <w:i/>
          <w:sz w:val="20"/>
          <w:szCs w:val="20"/>
          <w:lang w:val="en-CA"/>
        </w:rPr>
        <w:t>doi</w:t>
      </w:r>
      <w:proofErr w:type="spellEnd"/>
      <w:proofErr w:type="gramEnd"/>
      <w:r>
        <w:rPr>
          <w:rFonts w:ascii="Times" w:eastAsia="Times New Roman" w:hAnsi="Times"/>
          <w:i/>
          <w:sz w:val="20"/>
          <w:szCs w:val="20"/>
          <w:lang w:val="en-CA"/>
        </w:rPr>
        <w:t>:  10.4018/jsesd.2012040103</w:t>
      </w:r>
    </w:p>
  </w:footnote>
  <w:footnote w:id="3">
    <w:p w:rsidR="000D5FA1" w:rsidRDefault="000D5FA1">
      <w:pPr>
        <w:pStyle w:val="FootnoteText"/>
      </w:pPr>
      <w:r>
        <w:rPr>
          <w:rStyle w:val="FootnoteReference"/>
        </w:rPr>
        <w:footnoteRef/>
      </w:r>
      <w:r>
        <w:t xml:space="preserve"> </w:t>
      </w:r>
      <w:proofErr w:type="gramStart"/>
      <w:r w:rsidRPr="0061335A">
        <w:rPr>
          <w:rFonts w:ascii="Times" w:eastAsia="Times New Roman" w:hAnsi="Times"/>
          <w:sz w:val="20"/>
          <w:szCs w:val="20"/>
          <w:lang w:val="en-CA"/>
        </w:rPr>
        <w:t xml:space="preserve">David H. </w:t>
      </w:r>
      <w:proofErr w:type="spellStart"/>
      <w:r w:rsidRPr="0061335A">
        <w:rPr>
          <w:rFonts w:ascii="Times" w:eastAsia="Times New Roman" w:hAnsi="Times"/>
          <w:sz w:val="20"/>
          <w:szCs w:val="20"/>
          <w:lang w:val="en-CA"/>
        </w:rPr>
        <w:t>Guston</w:t>
      </w:r>
      <w:proofErr w:type="spellEnd"/>
      <w:r w:rsidRPr="0061335A">
        <w:rPr>
          <w:rFonts w:ascii="Times" w:eastAsia="Times New Roman" w:hAnsi="Times"/>
          <w:sz w:val="20"/>
          <w:szCs w:val="20"/>
          <w:lang w:val="en-CA"/>
        </w:rPr>
        <w:t xml:space="preserve"> &amp; Daniel </w:t>
      </w:r>
      <w:proofErr w:type="spellStart"/>
      <w:r w:rsidRPr="0061335A">
        <w:rPr>
          <w:rFonts w:ascii="Times" w:eastAsia="Times New Roman" w:hAnsi="Times"/>
          <w:sz w:val="20"/>
          <w:szCs w:val="20"/>
          <w:lang w:val="en-CA"/>
        </w:rPr>
        <w:t>Sarewitz</w:t>
      </w:r>
      <w:proofErr w:type="spellEnd"/>
      <w:r w:rsidRPr="0061335A">
        <w:rPr>
          <w:rFonts w:ascii="Times" w:eastAsia="Times New Roman" w:hAnsi="Times"/>
          <w:sz w:val="20"/>
          <w:szCs w:val="20"/>
          <w:lang w:val="en-CA"/>
        </w:rPr>
        <w:t>.</w:t>
      </w:r>
      <w:proofErr w:type="gramEnd"/>
      <w:r w:rsidRPr="0061335A">
        <w:rPr>
          <w:rFonts w:ascii="Times" w:eastAsia="Times New Roman" w:hAnsi="Times"/>
          <w:sz w:val="20"/>
          <w:szCs w:val="20"/>
          <w:lang w:val="en-CA"/>
        </w:rPr>
        <w:t xml:space="preserve"> 2002. Real-time technology assessment. </w:t>
      </w:r>
      <w:r w:rsidRPr="00887C49">
        <w:rPr>
          <w:rFonts w:ascii="Times" w:eastAsia="Times New Roman" w:hAnsi="Times"/>
          <w:i/>
          <w:sz w:val="20"/>
          <w:szCs w:val="20"/>
          <w:lang w:val="en-CA"/>
        </w:rPr>
        <w:t>Technology in Society</w:t>
      </w:r>
      <w:r w:rsidRPr="0061335A">
        <w:rPr>
          <w:rFonts w:ascii="Times" w:eastAsia="Times New Roman" w:hAnsi="Times"/>
          <w:sz w:val="20"/>
          <w:szCs w:val="20"/>
          <w:lang w:val="en-CA"/>
        </w:rPr>
        <w:t xml:space="preserve"> 24: 93-109. Available at: </w:t>
      </w:r>
      <w:hyperlink r:id="rId2" w:history="1">
        <w:r w:rsidRPr="0061335A">
          <w:rPr>
            <w:rFonts w:ascii="Times" w:eastAsia="Times New Roman" w:hAnsi="Times"/>
            <w:color w:val="0000FF"/>
            <w:sz w:val="20"/>
            <w:szCs w:val="20"/>
            <w:u w:val="single"/>
            <w:lang w:val="en-CA"/>
          </w:rPr>
          <w:t>http://archive.cspo.org/documents/realtimeTA.pdf</w:t>
        </w:r>
      </w:hyperlink>
    </w:p>
  </w:footnote>
  <w:footnote w:id="4">
    <w:p w:rsidR="000D5FA1" w:rsidRDefault="000D5FA1">
      <w:pPr>
        <w:pStyle w:val="FootnoteText"/>
      </w:pPr>
      <w:r>
        <w:rPr>
          <w:rStyle w:val="FootnoteReference"/>
        </w:rPr>
        <w:footnoteRef/>
      </w:r>
      <w:r>
        <w:t xml:space="preserve"> </w:t>
      </w:r>
      <w:r w:rsidRPr="0061335A">
        <w:rPr>
          <w:rFonts w:ascii="Times" w:eastAsia="Times New Roman" w:hAnsi="Times"/>
          <w:sz w:val="20"/>
          <w:szCs w:val="20"/>
          <w:lang w:val="en-CA"/>
        </w:rPr>
        <w:t xml:space="preserve">Joy Y. Zhang, Claire </w:t>
      </w:r>
      <w:proofErr w:type="spellStart"/>
      <w:r w:rsidRPr="0061335A">
        <w:rPr>
          <w:rFonts w:ascii="Times" w:eastAsia="Times New Roman" w:hAnsi="Times"/>
          <w:sz w:val="20"/>
          <w:szCs w:val="20"/>
          <w:lang w:val="en-CA"/>
        </w:rPr>
        <w:t>Marris</w:t>
      </w:r>
      <w:proofErr w:type="spellEnd"/>
      <w:r w:rsidRPr="0061335A">
        <w:rPr>
          <w:rFonts w:ascii="Times" w:eastAsia="Times New Roman" w:hAnsi="Times"/>
          <w:sz w:val="20"/>
          <w:szCs w:val="20"/>
          <w:lang w:val="en-CA"/>
        </w:rPr>
        <w:t xml:space="preserve"> &amp; Nikolas Rose. 2011. BIOS Working Paper No. 4: The Transnational Governance of Synthetic Biology: Scientific uncertainty, cross-</w:t>
      </w:r>
      <w:proofErr w:type="spellStart"/>
      <w:r w:rsidRPr="0061335A">
        <w:rPr>
          <w:rFonts w:ascii="Times" w:eastAsia="Times New Roman" w:hAnsi="Times"/>
          <w:sz w:val="20"/>
          <w:szCs w:val="20"/>
          <w:lang w:val="en-CA"/>
        </w:rPr>
        <w:t>borderness</w:t>
      </w:r>
      <w:proofErr w:type="spellEnd"/>
      <w:r w:rsidRPr="0061335A">
        <w:rPr>
          <w:rFonts w:ascii="Times" w:eastAsia="Times New Roman" w:hAnsi="Times"/>
          <w:sz w:val="20"/>
          <w:szCs w:val="20"/>
          <w:lang w:val="en-CA"/>
        </w:rPr>
        <w:t xml:space="preserve"> and the 'art' of governance. </w:t>
      </w:r>
      <w:hyperlink r:id="rId3" w:history="1">
        <w:r w:rsidRPr="0061335A">
          <w:rPr>
            <w:rFonts w:ascii="Times" w:eastAsia="Times New Roman" w:hAnsi="Times"/>
            <w:color w:val="0000FF"/>
            <w:sz w:val="20"/>
            <w:szCs w:val="20"/>
            <w:u w:val="single"/>
            <w:lang w:val="en-CA"/>
          </w:rPr>
          <w:t>http://www.kcl.ac.uk/sspp/departments/sshm/people/academic/marris/TransnationalGovernanceSynBio2011.pdf</w:t>
        </w:r>
      </w:hyperlink>
      <w:r w:rsidRPr="0061335A">
        <w:rPr>
          <w:rFonts w:ascii="Times" w:eastAsia="Times New Roman" w:hAnsi="Times"/>
          <w:sz w:val="20"/>
          <w:szCs w:val="20"/>
          <w:lang w:val="en-CA"/>
        </w:rPr>
        <w:t> </w:t>
      </w:r>
    </w:p>
  </w:footnote>
  <w:footnote w:id="5">
    <w:p w:rsidR="000D5FA1" w:rsidRDefault="000D5FA1">
      <w:pPr>
        <w:pStyle w:val="FootnoteText"/>
      </w:pPr>
      <w:r>
        <w:rPr>
          <w:rStyle w:val="FootnoteReference"/>
        </w:rPr>
        <w:footnoteRef/>
      </w:r>
      <w:r>
        <w:t xml:space="preserve"> </w:t>
      </w:r>
      <w:r w:rsidRPr="0061335A">
        <w:rPr>
          <w:rFonts w:ascii="Times" w:eastAsia="Times New Roman" w:hAnsi="Times"/>
          <w:sz w:val="20"/>
          <w:szCs w:val="20"/>
          <w:lang w:val="en-CA"/>
        </w:rPr>
        <w:t xml:space="preserve">Andy Stirling. 2010. Keep it complex. </w:t>
      </w:r>
      <w:proofErr w:type="gramStart"/>
      <w:r w:rsidR="00B7160A" w:rsidRPr="00B7160A">
        <w:rPr>
          <w:rFonts w:ascii="Times" w:eastAsia="Times New Roman" w:hAnsi="Times"/>
          <w:i/>
          <w:sz w:val="20"/>
          <w:szCs w:val="20"/>
          <w:lang w:val="en-CA"/>
        </w:rPr>
        <w:t>Nature</w:t>
      </w:r>
      <w:r w:rsidRPr="0061335A">
        <w:rPr>
          <w:rFonts w:ascii="Times" w:eastAsia="Times New Roman" w:hAnsi="Times"/>
          <w:sz w:val="20"/>
          <w:szCs w:val="20"/>
          <w:lang w:val="en-CA"/>
        </w:rPr>
        <w:t xml:space="preserve"> 468: 1029-1031.</w:t>
      </w:r>
      <w:proofErr w:type="gramEnd"/>
      <w:r w:rsidRPr="0061335A">
        <w:rPr>
          <w:rFonts w:ascii="Times" w:eastAsia="Times New Roman" w:hAnsi="Times"/>
          <w:sz w:val="20"/>
          <w:szCs w:val="20"/>
          <w:lang w:val="en-CA"/>
        </w:rPr>
        <w:t xml:space="preserve"> Available at: </w:t>
      </w:r>
      <w:hyperlink r:id="rId4" w:history="1">
        <w:r w:rsidRPr="0061335A">
          <w:rPr>
            <w:rFonts w:ascii="Times" w:eastAsia="Times New Roman" w:hAnsi="Times"/>
            <w:color w:val="0000FF"/>
            <w:sz w:val="20"/>
            <w:szCs w:val="20"/>
            <w:u w:val="single"/>
            <w:lang w:val="en-CA"/>
          </w:rPr>
          <w:t>http://www.researchgate.net/profile/Andy_Stirling/publication/49703137_Keep_it_complex/links/0a85e53106cefb82e6000000.pdf</w:t>
        </w:r>
      </w:hyperlink>
    </w:p>
  </w:footnote>
  <w:footnote w:id="6">
    <w:p w:rsidR="000D5FA1" w:rsidRDefault="000D5FA1" w:rsidP="00EC240A">
      <w:pPr>
        <w:pStyle w:val="FootnoteText"/>
      </w:pPr>
      <w:r>
        <w:rPr>
          <w:rStyle w:val="FootnoteReference"/>
        </w:rPr>
        <w:footnoteRef/>
      </w:r>
      <w:r>
        <w:t xml:space="preserve"> </w:t>
      </w:r>
      <w:r w:rsidRPr="001E6BED">
        <w:rPr>
          <w:sz w:val="20"/>
          <w:szCs w:val="20"/>
        </w:rPr>
        <w:t xml:space="preserve">See A </w:t>
      </w:r>
      <w:proofErr w:type="spellStart"/>
      <w:r w:rsidRPr="001E6BED">
        <w:rPr>
          <w:sz w:val="20"/>
          <w:szCs w:val="20"/>
        </w:rPr>
        <w:t>Wiek</w:t>
      </w:r>
      <w:proofErr w:type="spellEnd"/>
      <w:r w:rsidRPr="001E6BED">
        <w:rPr>
          <w:sz w:val="20"/>
          <w:szCs w:val="20"/>
        </w:rPr>
        <w:t xml:space="preserve"> et al, </w:t>
      </w:r>
      <w:r w:rsidRPr="001E6BED">
        <w:rPr>
          <w:i/>
          <w:sz w:val="20"/>
          <w:szCs w:val="20"/>
        </w:rPr>
        <w:t xml:space="preserve">op </w:t>
      </w:r>
      <w:proofErr w:type="spellStart"/>
      <w:r w:rsidRPr="001E6BED">
        <w:rPr>
          <w:i/>
          <w:sz w:val="20"/>
          <w:szCs w:val="20"/>
        </w:rPr>
        <w:t>cit</w:t>
      </w:r>
      <w:proofErr w:type="spellEnd"/>
    </w:p>
  </w:footnote>
  <w:footnote w:id="7">
    <w:p w:rsidR="00D81B63" w:rsidRPr="00D81B63" w:rsidRDefault="00B7160A">
      <w:pPr>
        <w:pStyle w:val="FootnoteText"/>
        <w:rPr>
          <w:sz w:val="20"/>
          <w:szCs w:val="20"/>
          <w:lang w:val="en-CA"/>
        </w:rPr>
      </w:pPr>
      <w:r w:rsidRPr="00B7160A">
        <w:rPr>
          <w:rStyle w:val="FootnoteReference"/>
          <w:sz w:val="20"/>
          <w:szCs w:val="20"/>
        </w:rPr>
        <w:footnoteRef/>
      </w:r>
      <w:r w:rsidRPr="00B7160A">
        <w:rPr>
          <w:sz w:val="20"/>
          <w:szCs w:val="20"/>
        </w:rPr>
        <w:t xml:space="preserve"> </w:t>
      </w:r>
      <w:proofErr w:type="gramStart"/>
      <w:r w:rsidRPr="00B7160A">
        <w:rPr>
          <w:sz w:val="20"/>
          <w:szCs w:val="20"/>
        </w:rPr>
        <w:t>United Nations Declaration on the Rights of Indigenous Peoples.</w:t>
      </w:r>
      <w:proofErr w:type="gramEnd"/>
      <w:r w:rsidR="00524029">
        <w:rPr>
          <w:sz w:val="20"/>
          <w:szCs w:val="20"/>
        </w:rPr>
        <w:t xml:space="preserve"> </w:t>
      </w:r>
      <w:proofErr w:type="gramStart"/>
      <w:r w:rsidR="00524029" w:rsidRPr="009670A3">
        <w:rPr>
          <w:sz w:val="20"/>
          <w:szCs w:val="20"/>
        </w:rPr>
        <w:t>March,</w:t>
      </w:r>
      <w:proofErr w:type="gramEnd"/>
      <w:r w:rsidR="00524029" w:rsidRPr="009670A3">
        <w:rPr>
          <w:sz w:val="20"/>
          <w:szCs w:val="20"/>
        </w:rPr>
        <w:t xml:space="preserve"> 2008.</w:t>
      </w:r>
      <w:r w:rsidR="00524029">
        <w:rPr>
          <w:sz w:val="20"/>
          <w:szCs w:val="20"/>
        </w:rPr>
        <w:t xml:space="preserve"> </w:t>
      </w:r>
      <w:r w:rsidRPr="00B7160A">
        <w:rPr>
          <w:i/>
          <w:sz w:val="20"/>
          <w:szCs w:val="20"/>
        </w:rPr>
        <w:t>United Nations.</w:t>
      </w:r>
      <w:r w:rsidRPr="00B7160A">
        <w:rPr>
          <w:sz w:val="20"/>
          <w:szCs w:val="20"/>
        </w:rPr>
        <w:t xml:space="preserve"> Accessed at: http://www.un.org/esa/socdev/unpfii/documents/DRIPS_en.pdf</w:t>
      </w:r>
    </w:p>
  </w:footnote>
  <w:footnote w:id="8">
    <w:p w:rsidR="000D5FA1" w:rsidRDefault="000D5FA1">
      <w:pPr>
        <w:pStyle w:val="FootnoteText"/>
      </w:pPr>
      <w:r>
        <w:rPr>
          <w:rStyle w:val="FootnoteReference"/>
        </w:rPr>
        <w:footnoteRef/>
      </w:r>
      <w:r>
        <w:t xml:space="preserve"> </w:t>
      </w:r>
      <w:r w:rsidRPr="00A055A8">
        <w:rPr>
          <w:sz w:val="20"/>
          <w:szCs w:val="20"/>
        </w:rPr>
        <w:t xml:space="preserve">See A </w:t>
      </w:r>
      <w:proofErr w:type="spellStart"/>
      <w:r w:rsidRPr="00A055A8">
        <w:rPr>
          <w:sz w:val="20"/>
          <w:szCs w:val="20"/>
        </w:rPr>
        <w:t>Wiek</w:t>
      </w:r>
      <w:proofErr w:type="spellEnd"/>
      <w:r w:rsidRPr="00A055A8">
        <w:rPr>
          <w:sz w:val="20"/>
          <w:szCs w:val="20"/>
        </w:rPr>
        <w:t xml:space="preserve">, </w:t>
      </w:r>
      <w:r w:rsidRPr="00A055A8">
        <w:rPr>
          <w:i/>
          <w:sz w:val="20"/>
          <w:szCs w:val="20"/>
        </w:rPr>
        <w:t>op cit.</w:t>
      </w:r>
    </w:p>
  </w:footnote>
  <w:footnote w:id="9">
    <w:p w:rsidR="000D5FA1" w:rsidRDefault="000D5FA1">
      <w:pPr>
        <w:pStyle w:val="FootnoteText"/>
      </w:pPr>
      <w:r>
        <w:rPr>
          <w:rStyle w:val="FootnoteReference"/>
        </w:rPr>
        <w:footnoteRef/>
      </w:r>
      <w:r>
        <w:t xml:space="preserve"> </w:t>
      </w:r>
      <w:r w:rsidRPr="00156784">
        <w:rPr>
          <w:sz w:val="20"/>
          <w:szCs w:val="20"/>
        </w:rPr>
        <w:t xml:space="preserve">See DH </w:t>
      </w:r>
      <w:proofErr w:type="spellStart"/>
      <w:r w:rsidRPr="00156784">
        <w:rPr>
          <w:sz w:val="20"/>
          <w:szCs w:val="20"/>
        </w:rPr>
        <w:t>Guston</w:t>
      </w:r>
      <w:proofErr w:type="spellEnd"/>
      <w:r w:rsidRPr="00156784">
        <w:rPr>
          <w:sz w:val="20"/>
          <w:szCs w:val="20"/>
        </w:rPr>
        <w:t xml:space="preserve"> and D </w:t>
      </w:r>
      <w:proofErr w:type="spellStart"/>
      <w:r w:rsidRPr="00156784">
        <w:rPr>
          <w:sz w:val="20"/>
          <w:szCs w:val="20"/>
        </w:rPr>
        <w:t>Sarawitz</w:t>
      </w:r>
      <w:proofErr w:type="spellEnd"/>
      <w:r w:rsidRPr="00156784">
        <w:rPr>
          <w:sz w:val="20"/>
          <w:szCs w:val="20"/>
        </w:rPr>
        <w:t xml:space="preserve">, </w:t>
      </w:r>
      <w:r w:rsidRPr="00156784">
        <w:rPr>
          <w:i/>
          <w:sz w:val="20"/>
          <w:szCs w:val="20"/>
        </w:rPr>
        <w:t xml:space="preserve">op </w:t>
      </w:r>
      <w:proofErr w:type="spellStart"/>
      <w:r w:rsidRPr="00156784">
        <w:rPr>
          <w:i/>
          <w:sz w:val="20"/>
          <w:szCs w:val="20"/>
        </w:rPr>
        <w:t>cit</w:t>
      </w:r>
      <w:proofErr w:type="spellEnd"/>
    </w:p>
  </w:footnote>
  <w:footnote w:id="10">
    <w:p w:rsidR="000D5FA1" w:rsidRDefault="000D5FA1">
      <w:pPr>
        <w:pStyle w:val="FootnoteText"/>
      </w:pPr>
      <w:r>
        <w:rPr>
          <w:rStyle w:val="FootnoteReference"/>
        </w:rPr>
        <w:footnoteRef/>
      </w:r>
      <w:r>
        <w:t xml:space="preserve"> </w:t>
      </w:r>
      <w:r w:rsidRPr="001B33FF">
        <w:rPr>
          <w:sz w:val="20"/>
          <w:szCs w:val="20"/>
        </w:rPr>
        <w:t xml:space="preserve">C </w:t>
      </w:r>
      <w:proofErr w:type="spellStart"/>
      <w:r w:rsidRPr="001B33FF">
        <w:rPr>
          <w:sz w:val="20"/>
          <w:szCs w:val="20"/>
        </w:rPr>
        <w:t>Schwågerl</w:t>
      </w:r>
      <w:proofErr w:type="spellEnd"/>
      <w:r w:rsidRPr="001B33FF">
        <w:rPr>
          <w:sz w:val="20"/>
          <w:szCs w:val="20"/>
        </w:rPr>
        <w:t xml:space="preserve">: </w:t>
      </w:r>
      <w:r w:rsidRPr="001B33FF">
        <w:rPr>
          <w:i/>
          <w:sz w:val="20"/>
          <w:szCs w:val="20"/>
        </w:rPr>
        <w:t xml:space="preserve">The </w:t>
      </w:r>
      <w:proofErr w:type="spellStart"/>
      <w:r w:rsidRPr="001B33FF">
        <w:rPr>
          <w:i/>
          <w:sz w:val="20"/>
          <w:szCs w:val="20"/>
        </w:rPr>
        <w:t>Anthropocene</w:t>
      </w:r>
      <w:proofErr w:type="spellEnd"/>
      <w:r w:rsidRPr="001B33FF">
        <w:rPr>
          <w:sz w:val="20"/>
          <w:szCs w:val="20"/>
        </w:rPr>
        <w:t xml:space="preserve"> Synergetic Press 2014 p 132</w:t>
      </w:r>
    </w:p>
  </w:footnote>
  <w:footnote w:id="11">
    <w:p w:rsidR="00B7160A" w:rsidRDefault="000D5FA1" w:rsidP="00B7160A">
      <w:pPr>
        <w:pStyle w:val="Heading1"/>
        <w:shd w:val="clear" w:color="auto" w:fill="FFFFFF"/>
        <w:spacing w:before="0" w:beforeAutospacing="0" w:after="0" w:afterAutospacing="0" w:line="255" w:lineRule="atLeast"/>
      </w:pPr>
      <w:r w:rsidRPr="009D5973">
        <w:rPr>
          <w:rStyle w:val="FootnoteReference"/>
          <w:b w:val="0"/>
          <w:sz w:val="20"/>
          <w:szCs w:val="20"/>
        </w:rPr>
        <w:footnoteRef/>
      </w:r>
      <w:r>
        <w:t xml:space="preserve"> </w:t>
      </w:r>
      <w:proofErr w:type="spellStart"/>
      <w:r w:rsidR="00B7160A" w:rsidRPr="00B7160A">
        <w:rPr>
          <w:rFonts w:eastAsia="Times New Roman"/>
          <w:b w:val="0"/>
          <w:bCs w:val="0"/>
          <w:i/>
          <w:sz w:val="20"/>
          <w:szCs w:val="20"/>
        </w:rPr>
        <w:t>Laudato</w:t>
      </w:r>
      <w:proofErr w:type="spellEnd"/>
      <w:r w:rsidR="00B7160A" w:rsidRPr="00B7160A">
        <w:rPr>
          <w:rFonts w:eastAsia="Times New Roman"/>
          <w:b w:val="0"/>
          <w:bCs w:val="0"/>
          <w:i/>
          <w:sz w:val="20"/>
          <w:szCs w:val="20"/>
        </w:rPr>
        <w:t xml:space="preserve"> </w:t>
      </w:r>
      <w:proofErr w:type="spellStart"/>
      <w:r w:rsidR="00B7160A" w:rsidRPr="00B7160A">
        <w:rPr>
          <w:rFonts w:eastAsia="Times New Roman"/>
          <w:b w:val="0"/>
          <w:bCs w:val="0"/>
          <w:i/>
          <w:sz w:val="20"/>
          <w:szCs w:val="20"/>
        </w:rPr>
        <w:t>si</w:t>
      </w:r>
      <w:proofErr w:type="spellEnd"/>
      <w:r w:rsidRPr="009D5973">
        <w:rPr>
          <w:rFonts w:ascii="Times New Roman" w:eastAsia="Times New Roman" w:hAnsi="Times New Roman"/>
          <w:b w:val="0"/>
          <w:bCs w:val="0"/>
          <w:sz w:val="20"/>
          <w:szCs w:val="20"/>
        </w:rPr>
        <w:t xml:space="preserve"> </w:t>
      </w:r>
      <w:r>
        <w:rPr>
          <w:rFonts w:ascii="Times New Roman" w:eastAsia="Times New Roman" w:hAnsi="Times New Roman"/>
          <w:b w:val="0"/>
          <w:bCs w:val="0"/>
          <w:sz w:val="20"/>
          <w:szCs w:val="20"/>
        </w:rPr>
        <w:t xml:space="preserve">(Praise be to you-On Care For Our Common Home); </w:t>
      </w:r>
      <w:r w:rsidRPr="009D5973">
        <w:rPr>
          <w:rFonts w:ascii="Times New Roman" w:eastAsia="Times New Roman" w:hAnsi="Times New Roman"/>
          <w:b w:val="0"/>
          <w:bCs w:val="0"/>
          <w:sz w:val="20"/>
          <w:szCs w:val="20"/>
        </w:rPr>
        <w:t xml:space="preserve">Encyclical, Pope </w:t>
      </w:r>
      <w:r>
        <w:rPr>
          <w:rFonts w:ascii="Times New Roman" w:eastAsia="Times New Roman" w:hAnsi="Times New Roman"/>
          <w:b w:val="0"/>
          <w:bCs w:val="0"/>
          <w:sz w:val="20"/>
          <w:szCs w:val="20"/>
        </w:rPr>
        <w:t xml:space="preserve">Francis, </w:t>
      </w:r>
      <w:r w:rsidRPr="009D5973">
        <w:rPr>
          <w:rFonts w:ascii="Times New Roman" w:eastAsia="Times New Roman" w:hAnsi="Times New Roman"/>
          <w:b w:val="0"/>
          <w:bCs w:val="0"/>
          <w:sz w:val="20"/>
          <w:szCs w:val="20"/>
        </w:rPr>
        <w:t>May 24, 2015</w:t>
      </w:r>
    </w:p>
  </w:footnote>
  <w:footnote w:id="12">
    <w:p w:rsidR="000D5FA1" w:rsidRDefault="000D5FA1">
      <w:pPr>
        <w:pStyle w:val="FootnoteText"/>
      </w:pPr>
      <w:r>
        <w:rPr>
          <w:rStyle w:val="FootnoteReference"/>
        </w:rPr>
        <w:footnoteRef/>
      </w:r>
      <w:r>
        <w:t xml:space="preserve"> </w:t>
      </w:r>
      <w:r w:rsidRPr="00D72ACC">
        <w:rPr>
          <w:sz w:val="20"/>
          <w:szCs w:val="20"/>
        </w:rPr>
        <w:t xml:space="preserve">D </w:t>
      </w:r>
      <w:proofErr w:type="spellStart"/>
      <w:r w:rsidRPr="00D72ACC">
        <w:rPr>
          <w:sz w:val="20"/>
          <w:szCs w:val="20"/>
        </w:rPr>
        <w:t>Sarewitz</w:t>
      </w:r>
      <w:proofErr w:type="spellEnd"/>
      <w:r w:rsidRPr="00D72ACC">
        <w:rPr>
          <w:sz w:val="20"/>
          <w:szCs w:val="20"/>
        </w:rPr>
        <w:t xml:space="preserve">: Science can’t solve it. </w:t>
      </w:r>
      <w:r w:rsidRPr="00D72ACC">
        <w:rPr>
          <w:i/>
          <w:sz w:val="20"/>
          <w:szCs w:val="20"/>
        </w:rPr>
        <w:t>Nature</w:t>
      </w:r>
      <w:r w:rsidRPr="00D72ACC">
        <w:rPr>
          <w:sz w:val="20"/>
          <w:szCs w:val="20"/>
        </w:rPr>
        <w:t xml:space="preserve"> 25 June 2015 </w:t>
      </w:r>
      <w:r w:rsidRPr="00D72ACC">
        <w:rPr>
          <w:i/>
          <w:sz w:val="20"/>
          <w:szCs w:val="20"/>
        </w:rPr>
        <w:t>522</w:t>
      </w:r>
      <w:r w:rsidRPr="00D72ACC">
        <w:rPr>
          <w:sz w:val="20"/>
          <w:szCs w:val="20"/>
        </w:rPr>
        <w:t>: 413</w:t>
      </w:r>
    </w:p>
  </w:footnote>
  <w:footnote w:id="13">
    <w:p w:rsidR="000D5FA1" w:rsidRDefault="000D5FA1">
      <w:pPr>
        <w:pStyle w:val="FootnoteText"/>
      </w:pPr>
      <w:r>
        <w:rPr>
          <w:rStyle w:val="FootnoteReference"/>
        </w:rPr>
        <w:footnoteRef/>
      </w:r>
      <w:r>
        <w:t xml:space="preserve"> </w:t>
      </w:r>
      <w:r w:rsidRPr="000D5FA1">
        <w:rPr>
          <w:sz w:val="20"/>
          <w:szCs w:val="20"/>
        </w:rPr>
        <w:t xml:space="preserve">See DH </w:t>
      </w:r>
      <w:proofErr w:type="spellStart"/>
      <w:r w:rsidRPr="000D5FA1">
        <w:rPr>
          <w:sz w:val="20"/>
          <w:szCs w:val="20"/>
        </w:rPr>
        <w:t>Guston</w:t>
      </w:r>
      <w:proofErr w:type="spellEnd"/>
      <w:r w:rsidRPr="000D5FA1">
        <w:rPr>
          <w:sz w:val="20"/>
          <w:szCs w:val="20"/>
        </w:rPr>
        <w:t xml:space="preserve"> and D </w:t>
      </w:r>
      <w:proofErr w:type="spellStart"/>
      <w:r w:rsidRPr="000D5FA1">
        <w:rPr>
          <w:sz w:val="20"/>
          <w:szCs w:val="20"/>
        </w:rPr>
        <w:t>Sarewitz</w:t>
      </w:r>
      <w:proofErr w:type="spellEnd"/>
      <w:r w:rsidRPr="000D5FA1">
        <w:rPr>
          <w:sz w:val="20"/>
          <w:szCs w:val="20"/>
        </w:rPr>
        <w:t xml:space="preserve">, </w:t>
      </w:r>
      <w:r w:rsidRPr="000D5FA1">
        <w:rPr>
          <w:i/>
          <w:sz w:val="20"/>
          <w:szCs w:val="20"/>
        </w:rPr>
        <w:t xml:space="preserve">op </w:t>
      </w:r>
      <w:proofErr w:type="spellStart"/>
      <w:r w:rsidRPr="000D5FA1">
        <w:rPr>
          <w:i/>
          <w:sz w:val="20"/>
          <w:szCs w:val="20"/>
        </w:rPr>
        <w:t>cit</w:t>
      </w:r>
      <w:proofErr w:type="spell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7A0"/>
    <w:multiLevelType w:val="hybridMultilevel"/>
    <w:tmpl w:val="E21003DA"/>
    <w:lvl w:ilvl="0" w:tplc="22C4024E">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48762BA5"/>
    <w:multiLevelType w:val="hybridMultilevel"/>
    <w:tmpl w:val="BA280214"/>
    <w:lvl w:ilvl="0" w:tplc="F3A8385E">
      <w:start w:val="1"/>
      <w:numFmt w:val="lowerLetter"/>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EE42FB"/>
    <w:multiLevelType w:val="hybridMultilevel"/>
    <w:tmpl w:val="E3FCDC40"/>
    <w:lvl w:ilvl="0" w:tplc="5C70937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7578D"/>
    <w:multiLevelType w:val="hybridMultilevel"/>
    <w:tmpl w:val="49D2818A"/>
    <w:lvl w:ilvl="0" w:tplc="F48AF72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7635238C"/>
    <w:multiLevelType w:val="hybridMultilevel"/>
    <w:tmpl w:val="F704F232"/>
    <w:lvl w:ilvl="0" w:tplc="DAA8DF3E">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92"/>
    <w:rsid w:val="00022983"/>
    <w:rsid w:val="00030349"/>
    <w:rsid w:val="000315F6"/>
    <w:rsid w:val="00055C51"/>
    <w:rsid w:val="000603C9"/>
    <w:rsid w:val="00071A43"/>
    <w:rsid w:val="000948AD"/>
    <w:rsid w:val="000C67EE"/>
    <w:rsid w:val="000D5FA1"/>
    <w:rsid w:val="000E5AD3"/>
    <w:rsid w:val="00114A54"/>
    <w:rsid w:val="00121407"/>
    <w:rsid w:val="001244B2"/>
    <w:rsid w:val="00156784"/>
    <w:rsid w:val="00157E67"/>
    <w:rsid w:val="00190447"/>
    <w:rsid w:val="001B33FF"/>
    <w:rsid w:val="001B4C8F"/>
    <w:rsid w:val="001D5FE1"/>
    <w:rsid w:val="001E6BED"/>
    <w:rsid w:val="00204366"/>
    <w:rsid w:val="002071ED"/>
    <w:rsid w:val="0025798A"/>
    <w:rsid w:val="002639A1"/>
    <w:rsid w:val="00265206"/>
    <w:rsid w:val="00292CCF"/>
    <w:rsid w:val="002E17A7"/>
    <w:rsid w:val="002E2FA2"/>
    <w:rsid w:val="002E6991"/>
    <w:rsid w:val="00302C42"/>
    <w:rsid w:val="00310CB4"/>
    <w:rsid w:val="00342A58"/>
    <w:rsid w:val="00352F36"/>
    <w:rsid w:val="003541A7"/>
    <w:rsid w:val="00361B32"/>
    <w:rsid w:val="00371F8B"/>
    <w:rsid w:val="003B469A"/>
    <w:rsid w:val="003B7E57"/>
    <w:rsid w:val="003C19D1"/>
    <w:rsid w:val="003F731D"/>
    <w:rsid w:val="004475AD"/>
    <w:rsid w:val="004634C2"/>
    <w:rsid w:val="004675AA"/>
    <w:rsid w:val="004D1785"/>
    <w:rsid w:val="00500EE0"/>
    <w:rsid w:val="005052E4"/>
    <w:rsid w:val="00506262"/>
    <w:rsid w:val="00517B0A"/>
    <w:rsid w:val="00522E67"/>
    <w:rsid w:val="00524029"/>
    <w:rsid w:val="0053068E"/>
    <w:rsid w:val="00593719"/>
    <w:rsid w:val="005A675B"/>
    <w:rsid w:val="005B0444"/>
    <w:rsid w:val="005B184A"/>
    <w:rsid w:val="005D003F"/>
    <w:rsid w:val="005E7088"/>
    <w:rsid w:val="006128B1"/>
    <w:rsid w:val="0063378E"/>
    <w:rsid w:val="00655FBA"/>
    <w:rsid w:val="00663ECE"/>
    <w:rsid w:val="006B0A25"/>
    <w:rsid w:val="006C4016"/>
    <w:rsid w:val="006C606E"/>
    <w:rsid w:val="006E3F8F"/>
    <w:rsid w:val="00727A48"/>
    <w:rsid w:val="00740E65"/>
    <w:rsid w:val="0074314C"/>
    <w:rsid w:val="007613B6"/>
    <w:rsid w:val="00763D5D"/>
    <w:rsid w:val="00767276"/>
    <w:rsid w:val="00776D0A"/>
    <w:rsid w:val="007801AA"/>
    <w:rsid w:val="00782D50"/>
    <w:rsid w:val="00785A9B"/>
    <w:rsid w:val="007B67FE"/>
    <w:rsid w:val="007B7944"/>
    <w:rsid w:val="007C48F6"/>
    <w:rsid w:val="007C6137"/>
    <w:rsid w:val="007E7669"/>
    <w:rsid w:val="007F40BA"/>
    <w:rsid w:val="0082033F"/>
    <w:rsid w:val="0086356D"/>
    <w:rsid w:val="00865409"/>
    <w:rsid w:val="00884562"/>
    <w:rsid w:val="00887C49"/>
    <w:rsid w:val="0089358A"/>
    <w:rsid w:val="008B1BEC"/>
    <w:rsid w:val="008D30FF"/>
    <w:rsid w:val="008F60E4"/>
    <w:rsid w:val="00924ED3"/>
    <w:rsid w:val="00930976"/>
    <w:rsid w:val="00943E44"/>
    <w:rsid w:val="00957E6B"/>
    <w:rsid w:val="00961EF8"/>
    <w:rsid w:val="0096324C"/>
    <w:rsid w:val="009670A3"/>
    <w:rsid w:val="009C1213"/>
    <w:rsid w:val="009D5973"/>
    <w:rsid w:val="00A027E6"/>
    <w:rsid w:val="00A055A8"/>
    <w:rsid w:val="00A110F9"/>
    <w:rsid w:val="00A22D73"/>
    <w:rsid w:val="00A41FFA"/>
    <w:rsid w:val="00A627CB"/>
    <w:rsid w:val="00A91B22"/>
    <w:rsid w:val="00A9425F"/>
    <w:rsid w:val="00AD0ACF"/>
    <w:rsid w:val="00AD5583"/>
    <w:rsid w:val="00AF666A"/>
    <w:rsid w:val="00B030A2"/>
    <w:rsid w:val="00B116B3"/>
    <w:rsid w:val="00B35C70"/>
    <w:rsid w:val="00B40055"/>
    <w:rsid w:val="00B4394A"/>
    <w:rsid w:val="00B7160A"/>
    <w:rsid w:val="00BA0F23"/>
    <w:rsid w:val="00BA2273"/>
    <w:rsid w:val="00BC3723"/>
    <w:rsid w:val="00BE76EB"/>
    <w:rsid w:val="00BF09DD"/>
    <w:rsid w:val="00C14FF9"/>
    <w:rsid w:val="00C1614D"/>
    <w:rsid w:val="00C5482F"/>
    <w:rsid w:val="00C63143"/>
    <w:rsid w:val="00C71740"/>
    <w:rsid w:val="00C74F1D"/>
    <w:rsid w:val="00C929B7"/>
    <w:rsid w:val="00CF3B4D"/>
    <w:rsid w:val="00D33316"/>
    <w:rsid w:val="00D414C9"/>
    <w:rsid w:val="00D72ACC"/>
    <w:rsid w:val="00D77608"/>
    <w:rsid w:val="00D81B63"/>
    <w:rsid w:val="00DD6C95"/>
    <w:rsid w:val="00DE2BFF"/>
    <w:rsid w:val="00DF7C97"/>
    <w:rsid w:val="00E210DA"/>
    <w:rsid w:val="00E261CF"/>
    <w:rsid w:val="00E316AC"/>
    <w:rsid w:val="00E40D77"/>
    <w:rsid w:val="00E544A6"/>
    <w:rsid w:val="00E731EE"/>
    <w:rsid w:val="00E958CE"/>
    <w:rsid w:val="00EA4F6E"/>
    <w:rsid w:val="00EC240A"/>
    <w:rsid w:val="00EC38FF"/>
    <w:rsid w:val="00EF2997"/>
    <w:rsid w:val="00EF6273"/>
    <w:rsid w:val="00EF62F8"/>
    <w:rsid w:val="00F00AFA"/>
    <w:rsid w:val="00F12A8F"/>
    <w:rsid w:val="00F1658F"/>
    <w:rsid w:val="00F2020D"/>
    <w:rsid w:val="00F50A49"/>
    <w:rsid w:val="00F7326D"/>
    <w:rsid w:val="00F92373"/>
    <w:rsid w:val="00FC60DD"/>
    <w:rsid w:val="00FE0F92"/>
    <w:rsid w:val="00FF6C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B2"/>
    <w:rPr>
      <w:sz w:val="24"/>
      <w:szCs w:val="24"/>
      <w:lang w:eastAsia="en-US"/>
    </w:rPr>
  </w:style>
  <w:style w:type="paragraph" w:styleId="Heading1">
    <w:name w:val="heading 1"/>
    <w:basedOn w:val="Normal"/>
    <w:link w:val="Heading1Char"/>
    <w:uiPriority w:val="9"/>
    <w:qFormat/>
    <w:rsid w:val="009D5973"/>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F92"/>
    <w:rPr>
      <w:color w:val="0000FF"/>
      <w:u w:val="single"/>
    </w:rPr>
  </w:style>
  <w:style w:type="character" w:styleId="FollowedHyperlink">
    <w:name w:val="FollowedHyperlink"/>
    <w:basedOn w:val="DefaultParagraphFont"/>
    <w:uiPriority w:val="99"/>
    <w:semiHidden/>
    <w:unhideWhenUsed/>
    <w:rsid w:val="006C606E"/>
    <w:rPr>
      <w:color w:val="800080" w:themeColor="followedHyperlink"/>
      <w:u w:val="single"/>
    </w:rPr>
  </w:style>
  <w:style w:type="paragraph" w:styleId="FootnoteText">
    <w:name w:val="footnote text"/>
    <w:basedOn w:val="Normal"/>
    <w:link w:val="FootnoteTextChar"/>
    <w:uiPriority w:val="99"/>
    <w:unhideWhenUsed/>
    <w:rsid w:val="00D414C9"/>
  </w:style>
  <w:style w:type="character" w:customStyle="1" w:styleId="FootnoteTextChar">
    <w:name w:val="Footnote Text Char"/>
    <w:basedOn w:val="DefaultParagraphFont"/>
    <w:link w:val="FootnoteText"/>
    <w:uiPriority w:val="99"/>
    <w:rsid w:val="00D414C9"/>
    <w:rPr>
      <w:sz w:val="24"/>
      <w:szCs w:val="24"/>
      <w:lang w:eastAsia="en-US"/>
    </w:rPr>
  </w:style>
  <w:style w:type="character" w:styleId="FootnoteReference">
    <w:name w:val="footnote reference"/>
    <w:basedOn w:val="DefaultParagraphFont"/>
    <w:uiPriority w:val="99"/>
    <w:unhideWhenUsed/>
    <w:rsid w:val="00D414C9"/>
    <w:rPr>
      <w:vertAlign w:val="superscript"/>
    </w:rPr>
  </w:style>
  <w:style w:type="paragraph" w:styleId="ListParagraph">
    <w:name w:val="List Paragraph"/>
    <w:basedOn w:val="Normal"/>
    <w:uiPriority w:val="34"/>
    <w:qFormat/>
    <w:rsid w:val="00352F36"/>
    <w:pPr>
      <w:ind w:left="720"/>
      <w:contextualSpacing/>
    </w:pPr>
  </w:style>
  <w:style w:type="paragraph" w:styleId="Header">
    <w:name w:val="header"/>
    <w:basedOn w:val="Normal"/>
    <w:link w:val="HeaderChar"/>
    <w:uiPriority w:val="99"/>
    <w:unhideWhenUsed/>
    <w:rsid w:val="00BC3723"/>
    <w:pPr>
      <w:tabs>
        <w:tab w:val="center" w:pos="4320"/>
        <w:tab w:val="right" w:pos="8640"/>
      </w:tabs>
    </w:pPr>
  </w:style>
  <w:style w:type="character" w:customStyle="1" w:styleId="HeaderChar">
    <w:name w:val="Header Char"/>
    <w:basedOn w:val="DefaultParagraphFont"/>
    <w:link w:val="Header"/>
    <w:uiPriority w:val="99"/>
    <w:rsid w:val="00BC3723"/>
    <w:rPr>
      <w:sz w:val="24"/>
      <w:szCs w:val="24"/>
      <w:lang w:eastAsia="en-US"/>
    </w:rPr>
  </w:style>
  <w:style w:type="paragraph" w:styleId="Footer">
    <w:name w:val="footer"/>
    <w:basedOn w:val="Normal"/>
    <w:link w:val="FooterChar"/>
    <w:uiPriority w:val="99"/>
    <w:unhideWhenUsed/>
    <w:rsid w:val="00BC3723"/>
    <w:pPr>
      <w:tabs>
        <w:tab w:val="center" w:pos="4320"/>
        <w:tab w:val="right" w:pos="8640"/>
      </w:tabs>
    </w:pPr>
  </w:style>
  <w:style w:type="character" w:customStyle="1" w:styleId="FooterChar">
    <w:name w:val="Footer Char"/>
    <w:basedOn w:val="DefaultParagraphFont"/>
    <w:link w:val="Footer"/>
    <w:uiPriority w:val="99"/>
    <w:rsid w:val="00BC3723"/>
    <w:rPr>
      <w:sz w:val="24"/>
      <w:szCs w:val="24"/>
      <w:lang w:eastAsia="en-US"/>
    </w:rPr>
  </w:style>
  <w:style w:type="character" w:styleId="PageNumber">
    <w:name w:val="page number"/>
    <w:basedOn w:val="DefaultParagraphFont"/>
    <w:uiPriority w:val="99"/>
    <w:semiHidden/>
    <w:unhideWhenUsed/>
    <w:rsid w:val="00BC3723"/>
  </w:style>
  <w:style w:type="character" w:customStyle="1" w:styleId="Heading1Char">
    <w:name w:val="Heading 1 Char"/>
    <w:basedOn w:val="DefaultParagraphFont"/>
    <w:link w:val="Heading1"/>
    <w:uiPriority w:val="9"/>
    <w:rsid w:val="009D5973"/>
    <w:rPr>
      <w:rFonts w:ascii="Times" w:hAnsi="Times"/>
      <w:b/>
      <w:bCs/>
      <w:kern w:val="36"/>
      <w:sz w:val="48"/>
      <w:szCs w:val="48"/>
      <w:lang w:val="en-CA" w:eastAsia="en-US"/>
    </w:rPr>
  </w:style>
  <w:style w:type="character" w:styleId="CommentReference">
    <w:name w:val="annotation reference"/>
    <w:basedOn w:val="DefaultParagraphFont"/>
    <w:uiPriority w:val="99"/>
    <w:semiHidden/>
    <w:unhideWhenUsed/>
    <w:rsid w:val="005052E4"/>
    <w:rPr>
      <w:sz w:val="16"/>
      <w:szCs w:val="16"/>
    </w:rPr>
  </w:style>
  <w:style w:type="paragraph" w:styleId="CommentText">
    <w:name w:val="annotation text"/>
    <w:basedOn w:val="Normal"/>
    <w:link w:val="CommentTextChar"/>
    <w:uiPriority w:val="99"/>
    <w:semiHidden/>
    <w:unhideWhenUsed/>
    <w:rsid w:val="005052E4"/>
    <w:rPr>
      <w:sz w:val="20"/>
      <w:szCs w:val="20"/>
    </w:rPr>
  </w:style>
  <w:style w:type="character" w:customStyle="1" w:styleId="CommentTextChar">
    <w:name w:val="Comment Text Char"/>
    <w:basedOn w:val="DefaultParagraphFont"/>
    <w:link w:val="CommentText"/>
    <w:uiPriority w:val="99"/>
    <w:semiHidden/>
    <w:rsid w:val="005052E4"/>
    <w:rPr>
      <w:lang w:eastAsia="en-US"/>
    </w:rPr>
  </w:style>
  <w:style w:type="paragraph" w:styleId="CommentSubject">
    <w:name w:val="annotation subject"/>
    <w:basedOn w:val="CommentText"/>
    <w:next w:val="CommentText"/>
    <w:link w:val="CommentSubjectChar"/>
    <w:uiPriority w:val="99"/>
    <w:semiHidden/>
    <w:unhideWhenUsed/>
    <w:rsid w:val="005052E4"/>
    <w:rPr>
      <w:b/>
      <w:bCs/>
    </w:rPr>
  </w:style>
  <w:style w:type="character" w:customStyle="1" w:styleId="CommentSubjectChar">
    <w:name w:val="Comment Subject Char"/>
    <w:basedOn w:val="CommentTextChar"/>
    <w:link w:val="CommentSubject"/>
    <w:uiPriority w:val="99"/>
    <w:semiHidden/>
    <w:rsid w:val="005052E4"/>
    <w:rPr>
      <w:b/>
      <w:bCs/>
      <w:lang w:eastAsia="en-US"/>
    </w:rPr>
  </w:style>
  <w:style w:type="paragraph" w:styleId="BalloonText">
    <w:name w:val="Balloon Text"/>
    <w:basedOn w:val="Normal"/>
    <w:link w:val="BalloonTextChar"/>
    <w:uiPriority w:val="99"/>
    <w:semiHidden/>
    <w:unhideWhenUsed/>
    <w:rsid w:val="005052E4"/>
    <w:rPr>
      <w:rFonts w:ascii="Tahoma" w:hAnsi="Tahoma" w:cs="Tahoma"/>
      <w:sz w:val="16"/>
      <w:szCs w:val="16"/>
    </w:rPr>
  </w:style>
  <w:style w:type="character" w:customStyle="1" w:styleId="BalloonTextChar">
    <w:name w:val="Balloon Text Char"/>
    <w:basedOn w:val="DefaultParagraphFont"/>
    <w:link w:val="BalloonText"/>
    <w:uiPriority w:val="99"/>
    <w:semiHidden/>
    <w:rsid w:val="005052E4"/>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B2"/>
    <w:rPr>
      <w:sz w:val="24"/>
      <w:szCs w:val="24"/>
      <w:lang w:eastAsia="en-US"/>
    </w:rPr>
  </w:style>
  <w:style w:type="paragraph" w:styleId="Heading1">
    <w:name w:val="heading 1"/>
    <w:basedOn w:val="Normal"/>
    <w:link w:val="Heading1Char"/>
    <w:uiPriority w:val="9"/>
    <w:qFormat/>
    <w:rsid w:val="009D5973"/>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F92"/>
    <w:rPr>
      <w:color w:val="0000FF"/>
      <w:u w:val="single"/>
    </w:rPr>
  </w:style>
  <w:style w:type="character" w:styleId="FollowedHyperlink">
    <w:name w:val="FollowedHyperlink"/>
    <w:basedOn w:val="DefaultParagraphFont"/>
    <w:uiPriority w:val="99"/>
    <w:semiHidden/>
    <w:unhideWhenUsed/>
    <w:rsid w:val="006C606E"/>
    <w:rPr>
      <w:color w:val="800080" w:themeColor="followedHyperlink"/>
      <w:u w:val="single"/>
    </w:rPr>
  </w:style>
  <w:style w:type="paragraph" w:styleId="FootnoteText">
    <w:name w:val="footnote text"/>
    <w:basedOn w:val="Normal"/>
    <w:link w:val="FootnoteTextChar"/>
    <w:uiPriority w:val="99"/>
    <w:unhideWhenUsed/>
    <w:rsid w:val="00D414C9"/>
  </w:style>
  <w:style w:type="character" w:customStyle="1" w:styleId="FootnoteTextChar">
    <w:name w:val="Footnote Text Char"/>
    <w:basedOn w:val="DefaultParagraphFont"/>
    <w:link w:val="FootnoteText"/>
    <w:uiPriority w:val="99"/>
    <w:rsid w:val="00D414C9"/>
    <w:rPr>
      <w:sz w:val="24"/>
      <w:szCs w:val="24"/>
      <w:lang w:eastAsia="en-US"/>
    </w:rPr>
  </w:style>
  <w:style w:type="character" w:styleId="FootnoteReference">
    <w:name w:val="footnote reference"/>
    <w:basedOn w:val="DefaultParagraphFont"/>
    <w:uiPriority w:val="99"/>
    <w:unhideWhenUsed/>
    <w:rsid w:val="00D414C9"/>
    <w:rPr>
      <w:vertAlign w:val="superscript"/>
    </w:rPr>
  </w:style>
  <w:style w:type="paragraph" w:styleId="ListParagraph">
    <w:name w:val="List Paragraph"/>
    <w:basedOn w:val="Normal"/>
    <w:uiPriority w:val="34"/>
    <w:qFormat/>
    <w:rsid w:val="00352F36"/>
    <w:pPr>
      <w:ind w:left="720"/>
      <w:contextualSpacing/>
    </w:pPr>
  </w:style>
  <w:style w:type="paragraph" w:styleId="Header">
    <w:name w:val="header"/>
    <w:basedOn w:val="Normal"/>
    <w:link w:val="HeaderChar"/>
    <w:uiPriority w:val="99"/>
    <w:unhideWhenUsed/>
    <w:rsid w:val="00BC3723"/>
    <w:pPr>
      <w:tabs>
        <w:tab w:val="center" w:pos="4320"/>
        <w:tab w:val="right" w:pos="8640"/>
      </w:tabs>
    </w:pPr>
  </w:style>
  <w:style w:type="character" w:customStyle="1" w:styleId="HeaderChar">
    <w:name w:val="Header Char"/>
    <w:basedOn w:val="DefaultParagraphFont"/>
    <w:link w:val="Header"/>
    <w:uiPriority w:val="99"/>
    <w:rsid w:val="00BC3723"/>
    <w:rPr>
      <w:sz w:val="24"/>
      <w:szCs w:val="24"/>
      <w:lang w:eastAsia="en-US"/>
    </w:rPr>
  </w:style>
  <w:style w:type="paragraph" w:styleId="Footer">
    <w:name w:val="footer"/>
    <w:basedOn w:val="Normal"/>
    <w:link w:val="FooterChar"/>
    <w:uiPriority w:val="99"/>
    <w:unhideWhenUsed/>
    <w:rsid w:val="00BC3723"/>
    <w:pPr>
      <w:tabs>
        <w:tab w:val="center" w:pos="4320"/>
        <w:tab w:val="right" w:pos="8640"/>
      </w:tabs>
    </w:pPr>
  </w:style>
  <w:style w:type="character" w:customStyle="1" w:styleId="FooterChar">
    <w:name w:val="Footer Char"/>
    <w:basedOn w:val="DefaultParagraphFont"/>
    <w:link w:val="Footer"/>
    <w:uiPriority w:val="99"/>
    <w:rsid w:val="00BC3723"/>
    <w:rPr>
      <w:sz w:val="24"/>
      <w:szCs w:val="24"/>
      <w:lang w:eastAsia="en-US"/>
    </w:rPr>
  </w:style>
  <w:style w:type="character" w:styleId="PageNumber">
    <w:name w:val="page number"/>
    <w:basedOn w:val="DefaultParagraphFont"/>
    <w:uiPriority w:val="99"/>
    <w:semiHidden/>
    <w:unhideWhenUsed/>
    <w:rsid w:val="00BC3723"/>
  </w:style>
  <w:style w:type="character" w:customStyle="1" w:styleId="Heading1Char">
    <w:name w:val="Heading 1 Char"/>
    <w:basedOn w:val="DefaultParagraphFont"/>
    <w:link w:val="Heading1"/>
    <w:uiPriority w:val="9"/>
    <w:rsid w:val="009D5973"/>
    <w:rPr>
      <w:rFonts w:ascii="Times" w:hAnsi="Times"/>
      <w:b/>
      <w:bCs/>
      <w:kern w:val="36"/>
      <w:sz w:val="48"/>
      <w:szCs w:val="48"/>
      <w:lang w:val="en-CA" w:eastAsia="en-US"/>
    </w:rPr>
  </w:style>
  <w:style w:type="character" w:styleId="CommentReference">
    <w:name w:val="annotation reference"/>
    <w:basedOn w:val="DefaultParagraphFont"/>
    <w:uiPriority w:val="99"/>
    <w:semiHidden/>
    <w:unhideWhenUsed/>
    <w:rsid w:val="005052E4"/>
    <w:rPr>
      <w:sz w:val="16"/>
      <w:szCs w:val="16"/>
    </w:rPr>
  </w:style>
  <w:style w:type="paragraph" w:styleId="CommentText">
    <w:name w:val="annotation text"/>
    <w:basedOn w:val="Normal"/>
    <w:link w:val="CommentTextChar"/>
    <w:uiPriority w:val="99"/>
    <w:semiHidden/>
    <w:unhideWhenUsed/>
    <w:rsid w:val="005052E4"/>
    <w:rPr>
      <w:sz w:val="20"/>
      <w:szCs w:val="20"/>
    </w:rPr>
  </w:style>
  <w:style w:type="character" w:customStyle="1" w:styleId="CommentTextChar">
    <w:name w:val="Comment Text Char"/>
    <w:basedOn w:val="DefaultParagraphFont"/>
    <w:link w:val="CommentText"/>
    <w:uiPriority w:val="99"/>
    <w:semiHidden/>
    <w:rsid w:val="005052E4"/>
    <w:rPr>
      <w:lang w:eastAsia="en-US"/>
    </w:rPr>
  </w:style>
  <w:style w:type="paragraph" w:styleId="CommentSubject">
    <w:name w:val="annotation subject"/>
    <w:basedOn w:val="CommentText"/>
    <w:next w:val="CommentText"/>
    <w:link w:val="CommentSubjectChar"/>
    <w:uiPriority w:val="99"/>
    <w:semiHidden/>
    <w:unhideWhenUsed/>
    <w:rsid w:val="005052E4"/>
    <w:rPr>
      <w:b/>
      <w:bCs/>
    </w:rPr>
  </w:style>
  <w:style w:type="character" w:customStyle="1" w:styleId="CommentSubjectChar">
    <w:name w:val="Comment Subject Char"/>
    <w:basedOn w:val="CommentTextChar"/>
    <w:link w:val="CommentSubject"/>
    <w:uiPriority w:val="99"/>
    <w:semiHidden/>
    <w:rsid w:val="005052E4"/>
    <w:rPr>
      <w:b/>
      <w:bCs/>
      <w:lang w:eastAsia="en-US"/>
    </w:rPr>
  </w:style>
  <w:style w:type="paragraph" w:styleId="BalloonText">
    <w:name w:val="Balloon Text"/>
    <w:basedOn w:val="Normal"/>
    <w:link w:val="BalloonTextChar"/>
    <w:uiPriority w:val="99"/>
    <w:semiHidden/>
    <w:unhideWhenUsed/>
    <w:rsid w:val="005052E4"/>
    <w:rPr>
      <w:rFonts w:ascii="Tahoma" w:hAnsi="Tahoma" w:cs="Tahoma"/>
      <w:sz w:val="16"/>
      <w:szCs w:val="16"/>
    </w:rPr>
  </w:style>
  <w:style w:type="character" w:customStyle="1" w:styleId="BalloonTextChar">
    <w:name w:val="Balloon Text Char"/>
    <w:basedOn w:val="DefaultParagraphFont"/>
    <w:link w:val="BalloonText"/>
    <w:uiPriority w:val="99"/>
    <w:semiHidden/>
    <w:rsid w:val="005052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48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kcl.ac.uk/sspp/departments/sshm/people/academic/marris/TransnationalGovernanceSynBio2011.pdf" TargetMode="External"/><Relationship Id="rId4" Type="http://schemas.openxmlformats.org/officeDocument/2006/relationships/hyperlink" Target="http://www.researchgate.net/profile/Andy_Stirling/publication/49703137_Keep_it_complex/links/0a85e53106cefb82e6000000.pdf" TargetMode="External"/><Relationship Id="rId1" Type="http://schemas.openxmlformats.org/officeDocument/2006/relationships/hyperlink" Target="http://www.natureinstitute.org/pub/ic/ic32/synbio.pdf" TargetMode="External"/><Relationship Id="rId2" Type="http://schemas.openxmlformats.org/officeDocument/2006/relationships/hyperlink" Target="http://archive.cspo.org/documents/realtime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4AD3-3EFE-514A-9223-2C06B3EA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2379</Words>
  <Characters>13561</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Bass</dc:creator>
  <cp:keywords/>
  <dc:description/>
  <cp:lastModifiedBy>Jennifer Preston</cp:lastModifiedBy>
  <cp:revision>2</cp:revision>
  <dcterms:created xsi:type="dcterms:W3CDTF">2016-01-29T19:04:00Z</dcterms:created>
  <dcterms:modified xsi:type="dcterms:W3CDTF">2016-01-29T19:04:00Z</dcterms:modified>
</cp:coreProperties>
</file>