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굴림" w:eastAsia="굴림" w:hAnsi="굴림" w:cs="굴림"/>
          <w:color w:val="000000"/>
          <w:kern w:val="0"/>
          <w:sz w:val="40"/>
          <w:szCs w:val="40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</w:p>
    <w:tbl>
      <w:tblPr>
        <w:tblW w:w="0" w:type="auto"/>
        <w:jc w:val="center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9"/>
      </w:tblGrid>
      <w:tr w:rsidR="00853581" w:rsidRPr="00853581" w:rsidTr="008535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53581" w:rsidRPr="00853581" w:rsidRDefault="00853581" w:rsidP="00853581">
            <w:pPr>
              <w:widowControl/>
              <w:wordWrap/>
              <w:autoSpaceDE/>
              <w:autoSpaceDN/>
              <w:spacing w:line="312" w:lineRule="auto"/>
              <w:ind w:left="22" w:hanging="22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52"/>
                <w:szCs w:val="52"/>
              </w:rPr>
            </w:pPr>
            <w:bookmarkStart w:id="0" w:name="#4a11038b"/>
            <w:bookmarkEnd w:id="0"/>
            <w:r w:rsidRPr="00853581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49"/>
                <w:szCs w:val="49"/>
              </w:rPr>
              <w:t>유전자재조합 캐놀라(T45)</w:t>
            </w:r>
            <w:r w:rsidRPr="00853581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52"/>
                <w:szCs w:val="52"/>
              </w:rPr>
              <w:t> </w:t>
            </w:r>
            <w:r w:rsidRPr="00853581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 </w:t>
            </w:r>
          </w:p>
          <w:p w:rsidR="00853581" w:rsidRPr="00853581" w:rsidRDefault="00853581" w:rsidP="00853581">
            <w:pPr>
              <w:widowControl/>
              <w:wordWrap/>
              <w:autoSpaceDE/>
              <w:autoSpaceDN/>
              <w:spacing w:line="432" w:lineRule="auto"/>
              <w:ind w:left="22" w:hanging="22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52"/>
                <w:szCs w:val="52"/>
              </w:rPr>
            </w:pPr>
            <w:r w:rsidRPr="00853581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52"/>
                <w:szCs w:val="52"/>
              </w:rPr>
              <w:t>안전성평가자료 심사결과</w:t>
            </w:r>
          </w:p>
        </w:tc>
      </w:tr>
    </w:tbl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432" w:lineRule="auto"/>
        <w:ind w:left="22" w:hanging="22"/>
        <w:jc w:val="center"/>
        <w:rPr>
          <w:rFonts w:ascii="한양신명조" w:eastAsia="한양신명조" w:hAnsi="굴림" w:cs="굴림" w:hint="eastAsia"/>
          <w:color w:val="000000"/>
          <w:spacing w:val="40"/>
          <w:kern w:val="0"/>
          <w:sz w:val="40"/>
          <w:szCs w:val="40"/>
        </w:rPr>
      </w:pPr>
      <w:r w:rsidRPr="00853581">
        <w:rPr>
          <w:rFonts w:ascii="한양신명조,한컴돋움" w:eastAsia="한양신명조,한컴돋움" w:hAnsi="굴림" w:cs="굴림" w:hint="eastAsia"/>
          <w:b/>
          <w:bCs/>
          <w:i/>
          <w:iCs/>
          <w:color w:val="000000"/>
          <w:spacing w:val="40"/>
          <w:kern w:val="0"/>
          <w:sz w:val="40"/>
          <w:szCs w:val="40"/>
        </w:rPr>
        <w:t>2005. 1.</w:t>
      </w:r>
      <w:r w:rsidRPr="00853581">
        <w:rPr>
          <w:rFonts w:ascii="한양신명조" w:eastAsia="한양신명조" w:hAnsi="굴림" w:cs="굴림" w:hint="eastAsia"/>
          <w:color w:val="000000"/>
          <w:spacing w:val="40"/>
          <w:kern w:val="0"/>
          <w:sz w:val="40"/>
          <w:szCs w:val="40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432" w:lineRule="auto"/>
        <w:ind w:left="22" w:hanging="22"/>
        <w:jc w:val="center"/>
        <w:rPr>
          <w:rFonts w:ascii="한양신명조" w:eastAsia="한양신명조" w:hAnsi="굴림" w:cs="굴림" w:hint="eastAsia"/>
          <w:color w:val="000000"/>
          <w:kern w:val="0"/>
          <w:sz w:val="40"/>
          <w:szCs w:val="40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432" w:lineRule="auto"/>
        <w:ind w:left="22" w:hanging="22"/>
        <w:jc w:val="center"/>
        <w:rPr>
          <w:rFonts w:ascii="한양신명조" w:eastAsia="한양신명조" w:hAnsi="굴림" w:cs="굴림" w:hint="eastAsia"/>
          <w:color w:val="000000"/>
          <w:kern w:val="0"/>
          <w:sz w:val="40"/>
          <w:szCs w:val="40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432" w:lineRule="auto"/>
        <w:ind w:left="22" w:hanging="22"/>
        <w:jc w:val="center"/>
        <w:rPr>
          <w:rFonts w:ascii="한양신명조" w:eastAsia="한양신명조" w:hAnsi="굴림" w:cs="굴림" w:hint="eastAsia"/>
          <w:color w:val="000000"/>
          <w:kern w:val="0"/>
          <w:sz w:val="40"/>
          <w:szCs w:val="40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432" w:lineRule="auto"/>
        <w:ind w:left="22" w:hanging="22"/>
        <w:jc w:val="center"/>
        <w:rPr>
          <w:rFonts w:ascii="한양신명조" w:eastAsia="한양신명조" w:hAnsi="굴림" w:cs="굴림" w:hint="eastAsia"/>
          <w:color w:val="000000"/>
          <w:kern w:val="0"/>
          <w:sz w:val="40"/>
          <w:szCs w:val="40"/>
        </w:rPr>
      </w:pPr>
      <w:r w:rsidRPr="00853581">
        <w:rPr>
          <w:rFonts w:ascii="한양신명조,한컴돋움" w:eastAsia="한양신명조,한컴돋움" w:hAnsi="굴림" w:cs="굴림" w:hint="eastAsia"/>
          <w:b/>
          <w:bCs/>
          <w:color w:val="000000"/>
          <w:kern w:val="0"/>
          <w:sz w:val="40"/>
          <w:szCs w:val="40"/>
        </w:rPr>
        <w:t>식 품 의 약 품 안 전 청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40"/>
          <w:szCs w:val="40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한양신명조" w:eastAsia="한양신명조" w:hAnsi="굴림" w:cs="굴림" w:hint="eastAsia"/>
          <w:color w:val="000000"/>
          <w:kern w:val="0"/>
          <w:sz w:val="40"/>
          <w:szCs w:val="40"/>
        </w:rPr>
      </w:pPr>
      <w:r w:rsidRPr="00853581">
        <w:rPr>
          <w:rFonts w:ascii="한양신명조,한컴돋움" w:eastAsia="한양신명조,한컴돋움" w:hAnsi="굴림" w:cs="굴림" w:hint="eastAsia"/>
          <w:b/>
          <w:bCs/>
          <w:color w:val="000000"/>
          <w:kern w:val="0"/>
          <w:sz w:val="38"/>
          <w:szCs w:val="38"/>
        </w:rPr>
        <w:lastRenderedPageBreak/>
        <w:t>유전자재조합식품안전성평가자료심사위원회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40"/>
          <w:szCs w:val="40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b/>
          <w:bCs/>
          <w:color w:val="000000"/>
          <w:kern w:val="0"/>
          <w:sz w:val="22"/>
        </w:rPr>
        <w:t>글루포시네이트-암모니아 내성 유전자재조합캐놀라 T45 심사 결과 보고서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6"/>
          <w:szCs w:val="26"/>
        </w:rPr>
      </w:pPr>
      <w:r w:rsidRPr="00853581">
        <w:rPr>
          <w:rFonts w:ascii="한양신명조,한컴돋움" w:eastAsia="한양신명조,한컴돋움" w:hAnsi="굴림" w:cs="굴림" w:hint="eastAsia"/>
          <w:b/>
          <w:bCs/>
          <w:color w:val="000000"/>
          <w:kern w:val="0"/>
          <w:sz w:val="26"/>
          <w:szCs w:val="26"/>
        </w:rPr>
        <w:t>1. 심사경위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6"/>
          <w:szCs w:val="26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○ 바이엘크롭사이언스(대표 :앤드류옴)사가 글루포시네이트 제초제에 내성(PAT)을 갖는 유전자재조합캐놀라 T45에 대하여 「유전자재조합식품의 안전성평가심사등에 관한 규정」(식약청 고시 제2003-37호, 이하 '심사규정'이라 함)에 따라 안전성 평가가 이루어졌음을 확인 받기 위하여 2004년 9월 14일 식품의약품안전청장에게 관련 자료를 첨부하여 심사의뢰 하였다.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○ 이에 식품의약품안전청장은 본 제품이 심사규정에 따라 안전성 평가가 이루어졌는지 여부에 대하여 '유전자재조합식품 안전성평가자료 심사위원회'(이하 심사위원회라고 함)에 검토 의뢰하고,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○ 심사위원회는 신청인이 제출한 자료에 근거하여 아래와 같이 심사규정에 따라 안전성 평가가 이루어졌음을 확인하였다.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6"/>
          <w:szCs w:val="26"/>
        </w:rPr>
      </w:pPr>
      <w:r w:rsidRPr="00853581">
        <w:rPr>
          <w:rFonts w:ascii="한양신명조,한컴돋움" w:eastAsia="한양신명조,한컴돋움" w:hAnsi="굴림" w:cs="굴림" w:hint="eastAsia"/>
          <w:b/>
          <w:bCs/>
          <w:color w:val="000000"/>
          <w:kern w:val="0"/>
          <w:sz w:val="26"/>
          <w:szCs w:val="26"/>
        </w:rPr>
        <w:t>2. 심사경과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6"/>
          <w:szCs w:val="26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○ 심사대상품목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tbl>
      <w:tblPr>
        <w:tblW w:w="0" w:type="auto"/>
        <w:tblInd w:w="4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4"/>
        <w:gridCol w:w="1754"/>
        <w:gridCol w:w="1520"/>
        <w:gridCol w:w="3764"/>
      </w:tblGrid>
      <w:tr w:rsidR="00853581" w:rsidRPr="00853581" w:rsidTr="00853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81" w:rsidRPr="00853581" w:rsidRDefault="00853581" w:rsidP="0085358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bookmarkStart w:id="1" w:name="#4a11038c"/>
            <w:bookmarkEnd w:id="1"/>
            <w:r w:rsidRPr="0085358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2"/>
              </w:rPr>
              <w:t>대상품목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81" w:rsidRPr="00853581" w:rsidRDefault="00853581" w:rsidP="0085358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 w:rsidRPr="0085358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2"/>
              </w:rPr>
              <w:t>신청자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81" w:rsidRPr="00853581" w:rsidRDefault="00853581" w:rsidP="0085358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 w:rsidRPr="0085358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2"/>
              </w:rPr>
              <w:t>개발자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81" w:rsidRPr="00853581" w:rsidRDefault="00853581" w:rsidP="0085358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 w:rsidRPr="0085358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2"/>
              </w:rPr>
              <w:t>제외국의 안전성 확인</w:t>
            </w:r>
          </w:p>
          <w:p w:rsidR="00853581" w:rsidRPr="00853581" w:rsidRDefault="00853581" w:rsidP="0085358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 w:rsidRPr="0085358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2"/>
              </w:rPr>
              <w:t>(승인) 현황</w:t>
            </w:r>
          </w:p>
        </w:tc>
      </w:tr>
      <w:tr w:rsidR="00853581" w:rsidRPr="00853581" w:rsidTr="008535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81" w:rsidRPr="00853581" w:rsidRDefault="00853581" w:rsidP="00853581">
            <w:pPr>
              <w:widowControl/>
              <w:wordWrap/>
              <w:autoSpaceDE/>
              <w:autoSpaceDN/>
              <w:spacing w:line="384" w:lineRule="auto"/>
              <w:ind w:left="450" w:hanging="450"/>
              <w:rPr>
                <w:rFonts w:ascii="한양신명조" w:eastAsia="한양신명조" w:hAnsi="굴림" w:cs="굴림"/>
                <w:color w:val="000000"/>
                <w:spacing w:val="-11"/>
                <w:kern w:val="0"/>
                <w:sz w:val="22"/>
              </w:rPr>
            </w:pPr>
            <w:r w:rsidRPr="00853581">
              <w:rPr>
                <w:rFonts w:ascii="한양신명조,한컴돋움" w:eastAsia="한양신명조,한컴돋움" w:hAnsi="굴림" w:cs="굴림" w:hint="eastAsia"/>
                <w:color w:val="000000"/>
                <w:spacing w:val="-11"/>
                <w:kern w:val="0"/>
                <w:sz w:val="22"/>
              </w:rPr>
              <w:t>유전자재조합캐놀</w:t>
            </w:r>
          </w:p>
          <w:p w:rsidR="00853581" w:rsidRPr="00853581" w:rsidRDefault="00853581" w:rsidP="00853581">
            <w:pPr>
              <w:widowControl/>
              <w:wordWrap/>
              <w:autoSpaceDE/>
              <w:autoSpaceDN/>
              <w:spacing w:line="384" w:lineRule="auto"/>
              <w:ind w:left="450" w:hanging="450"/>
              <w:rPr>
                <w:rFonts w:ascii="한양신명조" w:eastAsia="한양신명조" w:hAnsi="굴림" w:cs="굴림"/>
                <w:color w:val="000000"/>
                <w:spacing w:val="-11"/>
                <w:kern w:val="0"/>
                <w:sz w:val="22"/>
              </w:rPr>
            </w:pPr>
            <w:r w:rsidRPr="00853581">
              <w:rPr>
                <w:rFonts w:ascii="한양신명조,한컴돋움" w:eastAsia="한양신명조,한컴돋움" w:hAnsi="굴림" w:cs="굴림" w:hint="eastAsia"/>
                <w:color w:val="000000"/>
                <w:spacing w:val="-11"/>
                <w:kern w:val="0"/>
                <w:sz w:val="22"/>
              </w:rPr>
              <w:t xml:space="preserve">라 </w:t>
            </w:r>
            <w:r w:rsidRPr="00853581">
              <w:rPr>
                <w:rFonts w:ascii="한양신명조,한컴돋움" w:eastAsia="한양신명조,한컴돋움" w:hAnsi="굴림" w:cs="굴림" w:hint="eastAsia"/>
                <w:color w:val="000000"/>
                <w:spacing w:val="-10"/>
                <w:kern w:val="0"/>
                <w:szCs w:val="20"/>
              </w:rPr>
              <w:t>T45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81" w:rsidRPr="00853581" w:rsidRDefault="00853581" w:rsidP="00853581">
            <w:pPr>
              <w:widowControl/>
              <w:wordWrap/>
              <w:autoSpaceDE/>
              <w:autoSpaceDN/>
              <w:spacing w:line="384" w:lineRule="auto"/>
              <w:ind w:left="33" w:hanging="33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 w:rsidRPr="0085358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2"/>
              </w:rPr>
              <w:t>바이엘</w:t>
            </w:r>
          </w:p>
          <w:p w:rsidR="00853581" w:rsidRPr="00853581" w:rsidRDefault="00853581" w:rsidP="00853581">
            <w:pPr>
              <w:widowControl/>
              <w:wordWrap/>
              <w:autoSpaceDE/>
              <w:autoSpaceDN/>
              <w:spacing w:line="384" w:lineRule="auto"/>
              <w:ind w:left="33" w:hanging="33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 w:rsidRPr="0085358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2"/>
              </w:rPr>
              <w:t>크롭사이언스(주)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81" w:rsidRPr="00853581" w:rsidRDefault="00853581" w:rsidP="00853581">
            <w:pPr>
              <w:widowControl/>
              <w:wordWrap/>
              <w:autoSpaceDE/>
              <w:autoSpaceDN/>
              <w:spacing w:line="384" w:lineRule="auto"/>
              <w:ind w:left="33" w:hanging="33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 w:rsidRPr="0085358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2"/>
              </w:rPr>
              <w:t>Bayer</w:t>
            </w:r>
            <w:r w:rsidRPr="0085358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2"/>
              </w:rPr>
              <w:t> </w:t>
            </w:r>
          </w:p>
          <w:p w:rsidR="00853581" w:rsidRPr="00853581" w:rsidRDefault="00853581" w:rsidP="00853581">
            <w:pPr>
              <w:widowControl/>
              <w:wordWrap/>
              <w:autoSpaceDE/>
              <w:autoSpaceDN/>
              <w:spacing w:line="384" w:lineRule="auto"/>
              <w:ind w:left="33" w:hanging="33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 w:rsidRPr="0085358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2"/>
              </w:rPr>
              <w:t>CropScience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581" w:rsidRPr="00853581" w:rsidRDefault="00853581" w:rsidP="00853581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 w:rsidRPr="0085358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2"/>
              </w:rPr>
              <w:t xml:space="preserve">미국(1997), 캐나다(1997), 일본(1997), 호주(1999년), </w:t>
            </w:r>
          </w:p>
        </w:tc>
      </w:tr>
    </w:tbl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○ 심사경과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939" w:hanging="1939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- 2004년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9월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1일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안전성 평가자료 심사의뢰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939" w:hanging="1939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lastRenderedPageBreak/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- 2004년 10월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5일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서류 심사(온라인)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939" w:hanging="1939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- 2004년 10월 27일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1차 안전성평가 심사위원회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939" w:hanging="1939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- 2004년 12월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9일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2차 안전성평가 심사위원회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939" w:hanging="1939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- 2004년 12월 23일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자료 보완요청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939" w:hanging="1939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- 2005년 01월 18일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자료보완 접수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939" w:hanging="1939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- 2005년 02월 25일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3차 안전성평가 심사위원회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939" w:hanging="1939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         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최종결과보고서(안) 검토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939" w:hanging="1661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939" w:hanging="1661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6"/>
          <w:szCs w:val="26"/>
        </w:rPr>
      </w:pPr>
      <w:r w:rsidRPr="00853581">
        <w:rPr>
          <w:rFonts w:ascii="한양신명조,한컴돋움" w:eastAsia="한양신명조,한컴돋움" w:hAnsi="굴림" w:cs="굴림" w:hint="eastAsia"/>
          <w:b/>
          <w:bCs/>
          <w:color w:val="000000"/>
          <w:kern w:val="0"/>
          <w:sz w:val="26"/>
          <w:szCs w:val="26"/>
        </w:rPr>
        <w:t>3. 심사방법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6"/>
          <w:szCs w:val="26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307" w:hanging="307"/>
        <w:rPr>
          <w:rFonts w:ascii="한양신명조" w:eastAsia="한양신명조" w:hAnsi="굴림" w:cs="굴림" w:hint="eastAsia"/>
          <w:color w:val="000000"/>
          <w:spacing w:val="-22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spacing w:val="-22"/>
          <w:kern w:val="0"/>
          <w:sz w:val="22"/>
        </w:rPr>
        <w:t>○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본 제품과 관련하여 심사 의뢰된 유전자재조합체가 심사규정의 적용대상인지를검토하고</w:t>
      </w:r>
      <w:r w:rsidRPr="00853581">
        <w:rPr>
          <w:rFonts w:ascii="한양신명조" w:eastAsia="한양신명조" w:hAnsi="굴림" w:cs="굴림" w:hint="eastAsia"/>
          <w:color w:val="000000"/>
          <w:spacing w:val="-22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307" w:hanging="307"/>
        <w:rPr>
          <w:rFonts w:ascii="한양신명조" w:eastAsia="한양신명조" w:hAnsi="굴림" w:cs="굴림" w:hint="eastAsia"/>
          <w:color w:val="000000"/>
          <w:spacing w:val="-22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spacing w:val="-22"/>
          <w:kern w:val="0"/>
          <w:sz w:val="22"/>
        </w:rPr>
        <w:t>○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제출된 안전성 평가자료가 심사규정에서 요구하는 자료를 갖추었는지를 확인하여, 미비한 부분에 대해서는 자료를 보완하도록 한 후 심사규정에 따라 안전성평가를 수행하였다.</w:t>
      </w:r>
      <w:r w:rsidRPr="00853581">
        <w:rPr>
          <w:rFonts w:ascii="한양신명조" w:eastAsia="한양신명조" w:hAnsi="굴림" w:cs="굴림" w:hint="eastAsia"/>
          <w:color w:val="000000"/>
          <w:spacing w:val="-22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6"/>
          <w:szCs w:val="26"/>
        </w:rPr>
      </w:pPr>
      <w:r w:rsidRPr="00853581">
        <w:rPr>
          <w:rFonts w:ascii="한양신명조,한컴돋움" w:eastAsia="한양신명조,한컴돋움" w:hAnsi="굴림" w:cs="굴림" w:hint="eastAsia"/>
          <w:b/>
          <w:bCs/>
          <w:color w:val="000000"/>
          <w:kern w:val="0"/>
          <w:sz w:val="26"/>
          <w:szCs w:val="26"/>
        </w:rPr>
        <w:t>4. 심사의뢰 자료 검토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6"/>
          <w:szCs w:val="26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04" w:hanging="40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b/>
          <w:bCs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b/>
          <w:bCs/>
          <w:color w:val="000000"/>
          <w:kern w:val="0"/>
          <w:sz w:val="22"/>
        </w:rPr>
        <w:t>4-1. 심사 의뢰된 식품의 개요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666" w:hanging="666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○ 바이엘크롭사이언스사가 개발한 T45 캐놀라는 phosphinothricin acetyltransferase(PAT) 단백질을 암호화하는 유전자인 pat 유전자가 포함되어 제초제에 내성을 나타내는 유전자재조합 캐놀라이다.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564" w:hanging="564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54" w:hanging="45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b/>
          <w:bCs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b/>
          <w:bCs/>
          <w:color w:val="000000"/>
          <w:kern w:val="0"/>
          <w:sz w:val="22"/>
        </w:rPr>
        <w:t>4-2. 식품으로의 적합성 검토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553" w:hanging="553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○ 본 제품과 관련하여 제출된 안전성 평가자료가 ‘심사규정’ 제12조 ①항의 규정에서 요구하는 자료를 만족시키는지 여부를 검토하고 미비한 부분에 대해서는 보완하도록 한 후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564" w:hanging="56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○ 자료의 내용을 토대로 식품으로서의 안전성이 확보되어 있는지를 심사하였다.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454" w:hanging="454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b/>
          <w:bCs/>
          <w:color w:val="000000"/>
          <w:kern w:val="0"/>
          <w:sz w:val="22"/>
        </w:rPr>
        <w:lastRenderedPageBreak/>
        <w:t> </w:t>
      </w:r>
      <w:r w:rsidRPr="00853581">
        <w:rPr>
          <w:rFonts w:ascii="한양신명조,한컴돋움" w:eastAsia="한양신명조,한컴돋움" w:hAnsi="굴림" w:cs="굴림" w:hint="eastAsia"/>
          <w:b/>
          <w:bCs/>
          <w:color w:val="000000"/>
          <w:kern w:val="0"/>
          <w:sz w:val="22"/>
        </w:rPr>
        <w:t>4-2-1 유전자재조합체의 안전성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602" w:hanging="602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602" w:hanging="602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가. 유전자재조합체의 개발목적 및 이용방법에 관한 자료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578" w:hanging="578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T45 캐놀라는 PAT 단백질을 암호화하는 유전자인 pat 유전자 포함되어 있어 제초제내의 활성성분인 글루포시네이트 암모니아(glufosinate-ammonium)에 대한 내성을 나타나게 하기 위하여 개발되었다.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595" w:hanging="595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특정 제초제에 내성을 가지는 특성이외에는 재배방법, 이용목적, 이용방법이 기존의 캐놀라와 동일하다.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나. 숙주에 관한 자료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(1) 분류학적 특성(일반명, 학명, 계통분류 등)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과: Brassicacea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속: Brassica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종: napus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아종: olifera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일반명: oilseed rape 또는 canola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(2) 재배 및 품종개량의 역사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48" w:hanging="363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숙주인 캐놀라는 캐나다 캐놀라 위원회 소유 상표명으로서 glucosinolate와 erucic acid함량을 낮춘 캐놀라의 품종에 붙여진 이름으로 2차 대전 중 유채기름 부족에 대처하기 위한 육종계획으로 육성된 품종이다. 미국 FDA는 캐놀라 기름을 GRAS(generally regarded as Safe)로 분류하였다(21 CFR§184.1555). 캐놀라 종자는 정제유를 분리하며 나머지 탈지박은 사료로 사용된다.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026" w:hanging="540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</w:t>
      </w:r>
      <w:r w:rsidRPr="00853581">
        <w:rPr>
          <w:rFonts w:ascii="한양신명조,한컴돋움" w:eastAsia="한양신명조,한컴돋움" w:hAnsi="굴림" w:cs="굴림" w:hint="eastAsia"/>
          <w:color w:val="000000"/>
          <w:spacing w:val="-7"/>
          <w:kern w:val="0"/>
          <w:sz w:val="22"/>
        </w:rPr>
        <w:t>식품으로 주로 사용되는 것은 식용유(캐놀라 기름)로 중요한 salad 기름이다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FF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718" w:hanging="718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(3) 기지의 독성 또는 알레르기 유발성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72" w:hanging="486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캐놀라</w:t>
      </w:r>
      <w:r w:rsidRPr="00853581">
        <w:rPr>
          <w:rFonts w:ascii="한양신명조,한컴돋움" w:eastAsia="한양신명조,한컴돋움" w:hAnsi="굴림" w:cs="굴림" w:hint="eastAsia"/>
          <w:color w:val="000000"/>
          <w:spacing w:val="-9"/>
          <w:kern w:val="0"/>
          <w:sz w:val="22"/>
        </w:rPr>
        <w:t>와 관련된 유해생리활성물질로서는 erucic acid, glucosinolate, phytic acid 등이 알려져 있으나, 일반적으로 식품에 이용되는 형태의 가공과정에서는 제거된다.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(4) 안전한 식경험의 유무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98" w:hanging="898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유채의 종자개량을 통해 erucic acid와 glucosinolate의 함량이 낮은 종자를 개발하여 식용으로 안전하게 이용된 역사가 있다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다. 공여체에 관한 자료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(1) 분류학적 특성(일반명, 학명, 계통분류 등)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31" w:hanging="831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Cauliflower Mosaic virus: 35S promotor와 terminator를 제공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36" w:hanging="936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</w:t>
      </w:r>
      <w:r w:rsidRPr="00853581">
        <w:rPr>
          <w:rFonts w:ascii="한양신명조,한컴돋움" w:eastAsia="한양신명조,한컴돋움" w:hAnsi="굴림" w:cs="굴림" w:hint="eastAsia"/>
          <w:i/>
          <w:iCs/>
          <w:color w:val="000000"/>
          <w:kern w:val="0"/>
          <w:sz w:val="22"/>
        </w:rPr>
        <w:t>Streptomyces viridochromogenes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: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pat유전자를 제공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718" w:hanging="718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(2) 안전한 식경험의 유무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00" w:hanging="800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식품으로 직접 사용된 역사는 없지만 토양에 상존하는 미생물로 식품오염을 통한 섭취의 경험이 있으며, 인체에 유해성을 나타낸다는 보고는 없다.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695" w:hanging="695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(3) 공여체 및 근연종의 독성, 항영양성, 알레르기성(미생물의 경우 병원성 및 기지의 병원체와의 관련성)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3697" w:hanging="3697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Cauliflower mosaic virus :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767" w:hanging="767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Brassicaceae에 한정되는 이중나선구조 DNA를 가진 cauliflower mosaic virus로, 알려진 독성은 없으며 식물병도 초래하지 않는다.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3360" w:hanging="3360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Streptomyces 속 균류: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36" w:hanging="1136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</w:t>
      </w:r>
      <w:r w:rsidRPr="00853581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스트렙토마이세스(streptomyces)속의 균종들은 그람양성의 포자형성 토양 세균이다. 이들 미생물은 수많은 항균성, 항암성 또는 항기생 활성을 포함하는 독특한 2차 대사산물과 화합물을 생산한다.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36" w:hanging="1136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</w:t>
      </w:r>
      <w:r w:rsidRPr="00853581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공여체로부터 유래된 구성유전자와 T45에 삽입된 구성유전자는 동일하다. 공여체나 근연종에 의해 삽입 될 수 있는 독성, 항영양성, 알레르기성을 일으킬 수 있는 유전자는 없다.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라. 유전자재조합에 대한 자료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lastRenderedPageBreak/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(1) 형질전환에 관한 정보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(가) 형질전환방법 (아그로박테리움법, 입자총법, 원형질체법 등)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000" w:hanging="1000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Agrobacterium법으로 형질전환 되었다.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(나) 재조합에 사용된 벡터에 대한 정보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1) 기원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19" w:hanging="1119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pHOE4/Ac(II)는 </w:t>
      </w:r>
      <w:r w:rsidRPr="00853581">
        <w:rPr>
          <w:rFonts w:ascii="한양신명조,한컴돋움" w:eastAsia="한양신명조,한컴돋움" w:hAnsi="굴림" w:cs="굴림" w:hint="eastAsia"/>
          <w:i/>
          <w:iCs/>
          <w:color w:val="000000"/>
          <w:kern w:val="0"/>
          <w:sz w:val="22"/>
        </w:rPr>
        <w:t>E.coli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vetor pPCV002로부터 유래되었으며 oriV와 oriT부위는 </w:t>
      </w:r>
      <w:r w:rsidRPr="00853581">
        <w:rPr>
          <w:rFonts w:ascii="한양신명조,한컴돋움" w:eastAsia="한양신명조,한컴돋움" w:hAnsi="굴림" w:cs="굴림" w:hint="eastAsia"/>
          <w:i/>
          <w:iCs/>
          <w:color w:val="000000"/>
          <w:kern w:val="0"/>
          <w:sz w:val="22"/>
        </w:rPr>
        <w:t>E.coli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vector RK2로부터 유래되었다.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20" w:hanging="1120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선택표지유전자는 </w:t>
      </w:r>
      <w:r w:rsidRPr="00853581">
        <w:rPr>
          <w:rFonts w:ascii="한양신명조,한컴돋움" w:eastAsia="한양신명조,한컴돋움" w:hAnsi="굴림" w:cs="굴림" w:hint="eastAsia"/>
          <w:i/>
          <w:iCs/>
          <w:color w:val="000000"/>
          <w:kern w:val="0"/>
          <w:sz w:val="22"/>
        </w:rPr>
        <w:t>E.coli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plasmid R538-1로부터 유래되었으며 항생제 내성 유전자로 </w:t>
      </w:r>
      <w:r w:rsidRPr="00853581">
        <w:rPr>
          <w:rFonts w:ascii="한양신명조,한컴돋움" w:eastAsia="한양신명조,한컴돋움" w:hAnsi="굴림" w:cs="굴림" w:hint="eastAsia"/>
          <w:i/>
          <w:iCs/>
          <w:color w:val="000000"/>
          <w:kern w:val="0"/>
          <w:sz w:val="22"/>
        </w:rPr>
        <w:t>E.coli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와 Agrobacterium plasmid만을 선택하도록 한다.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Right border sequence : Ti plasmid pTiT37에서 유래됨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Left border sequence : Ti plasmid pTiAch5에서 유래됨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pat 유전자 : promotor sequence를 구성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29" w:hanging="1129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</w:t>
      </w:r>
      <w:r w:rsidRPr="00853581">
        <w:rPr>
          <w:rFonts w:ascii="한양신명조,한컴돋움" w:eastAsia="한양신명조,한컴돋움" w:hAnsi="굴림" w:cs="굴림" w:hint="eastAsia"/>
          <w:color w:val="000000"/>
          <w:spacing w:val="-4"/>
          <w:kern w:val="0"/>
          <w:sz w:val="22"/>
        </w:rPr>
        <w:t>Promotor와 terminator sequence는 Cauliflower mosaic virus 35S trans- cript에서 유래됨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2) 숙주에서의 확인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09" w:hanging="1109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벡터에서의 T-region은 숙주내에서 southern blot hybridization으로 T-DNA 구조가 확인되었다.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3) 숙주에서의 기능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078" w:hanging="1078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pat 유전자만이 발현되도록 삽입되었으며, 글루포시네이트 제초제에 내성을 나타내도록 하는 효소인 PAT를 발현하게 한다.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(다) 중간숙주에 대한 정보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삽입유전자는 </w:t>
      </w:r>
      <w:r w:rsidRPr="00853581">
        <w:rPr>
          <w:rFonts w:ascii="한양신명조,한컴돋움" w:eastAsia="한양신명조,한컴돋움" w:hAnsi="굴림" w:cs="굴림" w:hint="eastAsia"/>
          <w:i/>
          <w:iCs/>
          <w:color w:val="000000"/>
          <w:kern w:val="0"/>
          <w:sz w:val="22"/>
        </w:rPr>
        <w:t>Agrobacterium tumefaciens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에 삽입하여 전달된다.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(라) 전달성에 관한 정보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028" w:hanging="1028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lastRenderedPageBreak/>
        <w:t>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숙주에 T-DNA만 삽입되므로 숙주내의 염색체로 삽입된 후에는 전달성이 없다.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(2) 도입 유전자에 대한 정보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(가) 구성 유전자의 특성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1) 선발표지유전자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14" w:hanging="111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</w:t>
      </w:r>
      <w:r w:rsidRPr="00853581">
        <w:rPr>
          <w:rFonts w:ascii="한양신명조,한컴돋움" w:eastAsia="한양신명조,한컴돋움" w:hAnsi="굴림" w:cs="굴림" w:hint="eastAsia"/>
          <w:color w:val="000000"/>
          <w:spacing w:val="-7"/>
          <w:kern w:val="0"/>
          <w:sz w:val="22"/>
        </w:rPr>
        <w:t xml:space="preserve"> 선발표지 유전자는 </w:t>
      </w:r>
      <w:r w:rsidRPr="00853581">
        <w:rPr>
          <w:rFonts w:ascii="한양신명조,한컴돋움" w:eastAsia="한양신명조,한컴돋움" w:hAnsi="굴림" w:cs="굴림" w:hint="eastAsia"/>
          <w:i/>
          <w:iCs/>
          <w:color w:val="000000"/>
          <w:spacing w:val="-7"/>
          <w:kern w:val="0"/>
          <w:sz w:val="22"/>
        </w:rPr>
        <w:t>E.coli</w:t>
      </w:r>
      <w:r w:rsidRPr="00853581">
        <w:rPr>
          <w:rFonts w:ascii="한양신명조,한컴돋움" w:eastAsia="한양신명조,한컴돋움" w:hAnsi="굴림" w:cs="굴림" w:hint="eastAsia"/>
          <w:color w:val="000000"/>
          <w:spacing w:val="-7"/>
          <w:kern w:val="0"/>
          <w:sz w:val="22"/>
        </w:rPr>
        <w:t xml:space="preserve"> plasmid R538-1에서 유래되었으며 strepyomycin 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/spectinomycin adenyltransferase 유전자를 함유하여 해당 항생제 내성을 가진다. 중간숙주의 선발을 위하여 사용된 표지유전자이며, T-DNA 유전자외부에 있어 유전자재조합 캐놀라에는 삽입되지 않는다.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2) 조절인자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254" w:hanging="125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promotor P-35S(510bp)와 terminator T-35S(205bp)는 cauliflower mosaic virus로부터 유래하며, pat의 전사개시와 전사종결인자이다.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3) DNA의 기능에 영향을 주는 기타 인자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14" w:hanging="111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벡터의 기본적인 역할을 하기 위한 기능을 가진 인자 외에는 다른 영향을 주는 기타 인자는 없다.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(나) 크기 및 명칭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13" w:hanging="1113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형질전환을 위하여 사용된 벡터는 pHOE4/Ac(II)이며 크기는 6,652 bp(구조유전자포함)이다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(다) 완성된 벡터내의 유전자 염기서열의 위치 및 방향성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77" w:hanging="877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완성된 벡터내의 유전자 염기서열의 위치 및 방향성은 모두 제시되었다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77" w:hanging="877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(라) 구성 유전자의 기능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pat 유전자를 발현시키기 위한 유전자 이외의 유전자는 없다.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12" w:hanging="1112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pat유전자는 PAT를 암호화하고 식물세포에 암모니아를 축적시키면서 식물괴사를 초래하는 글루포시네이트 암모니아의 식물독성 활성에 내성을 부여한다.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lastRenderedPageBreak/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(마) 유해염기서열의 유무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31" w:hanging="1131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모든 염기서열과 기능은 나타나 있으며, 유해성을 나타낼 수 있는 유전자 염기서열은 없다.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(바) 외래전사해독프레임의 유무와 그 전사 및 발현가능성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22" w:hanging="1122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PAT 단백질의 식물체 내 발현과 관련한 것 이외의 외래전사해독프레임과 그 발현 가능성은 없다.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(사) 목적하는 유전자 이외의 염기서열의 혼입(유전자의 순도)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44" w:hanging="114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공여체 및 T45로부터 얻은 유전적 요소는 분류 및 동정이 잘 되었다. T45의 삽입 염기서열은 확인되었다.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마. 유전자재조합체의 특성에 관한 자료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(1) 유전자재조합체 내 도입된 유전자에 관한 정보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047" w:hanging="1047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047" w:hanging="1047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(가) 유전자재조합체의 게놈에 삽입된 유전자의 특성 및 기능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12" w:hanging="1112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pat유전자는 PAT를 암호화하고 식물세포에 암모니아를 축적시키면서 식물괴사를 초래하는 글루포시네이트 암모니아의 식물독성 활성에 내성을 부여한다.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(나) 삽입부위의 수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006" w:hanging="1006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유전자재조합체에서 추출한 DNA로 Southern blot hybridization 확인결과 chromosome 상의 1개 부위에 삽입되어 있음이 확인되었다.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(다) 각 삽입부위의 삽입유전자의 구성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1) 복제수, 염기서열(주변염기서열 포함)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226" w:hanging="1226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- 1개의 완전한 T DNA가 삽입되어 있으며, 주변염기서열도 제시되었다.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2) 기지의 독성이나 항영양소를 암호화하는 유전자가 없음을 입증하는 자료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249" w:hanging="1249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lastRenderedPageBreak/>
        <w:t> 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삽입된 유전자는 염기서열과 각각의 특성이 잘 나타나 있으며, PAT단백질의 유사물질연구에서 알려진 독성과 알레르기 유발원과의 유사성이 발견되지 않았다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096" w:hanging="1096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23" w:hanging="923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(라) 삽입유전자 및 인접하는 숙주 게놈 유전자의 외래전사해독프레임의 유무와 그 전사 및 발현가능성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032" w:hanging="1032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주변염기서열이 제시되었으며, 유전자삽입에 의하여 삽입유전자 주위에 새로운 외래전사해독프레임은 생기지 않았고, 그 발현가능성은 없다.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(마) 안정성에 관한 사항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1) 복수세대에서 삽입된 유전자의 서열, 크기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245" w:hanging="1245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T45에서의 삽입위치는 잘 밝혀졌으며 복수세대에 걸친 유전자 안정성은 Southern blot에 의해 확인되었다.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2) 복수 세대에서 발현부위, 발현시기, 발현량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238" w:hanging="1238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다른 세대에서의 PAT 단백질의 상세한 양적 분석은 수행되지 않았다. 그러나, 단백질 발현의 안정성은 잡초 통제를 위하여 살포된 글루포시네이트 암모니아 제초제에 대한 이 식물의 내성에 의하여 명백히 제시되었다. MS8/RF3 로부터 유래된 글루포시네이트 내성 재배종의 도입 이후로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제초제에 대한 내성 결여에 대한 어떠한 보고도 없었으며, 이는 단백질의 안정적인 발현을 의미 한다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(2) 유전자산물에 관한 정보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(가) 유전자산물의 화학적 성질(단백질이나 전사되지 않은 RNA)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18" w:hanging="918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pat 유전자가 암호화하는 PAT 단백질은 제초제 성분인 PPT (phosphino -thricin)를 무독화 시키는 효소인 phosphinothricin N-acetyl transferase이다.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08" w:hanging="908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PAT의 특성은 열과 산에 불안정하고, 동물이나 사람의 소화액에 존재하는 효소나 산에 의해 쉽게 분해되고 변성되며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93" w:hanging="893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lastRenderedPageBreak/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기질인 글루포시네이트에 대해 높은 특이성을 가지고 있으며 다른 아미노산은 기질이 되지 않는다.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(나) 유전자산물의 기능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95" w:hanging="995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pHOE4/Ac(II)내에 있는 pat유전자는 </w:t>
      </w:r>
      <w:r w:rsidRPr="00853581">
        <w:rPr>
          <w:rFonts w:ascii="한양신명조,한컴돋움" w:eastAsia="한양신명조,한컴돋움" w:hAnsi="굴림" w:cs="굴림" w:hint="eastAsia"/>
          <w:i/>
          <w:iCs/>
          <w:color w:val="000000"/>
          <w:kern w:val="0"/>
          <w:sz w:val="22"/>
        </w:rPr>
        <w:t>Streptomyce viridochromogenes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strain Tu 494로부터 분리한 pat 유전자로 PAT 효소를 암호화 하며,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37" w:hanging="937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PAT 효소는 글루포시네이트 제초제의 활성성분인 PPT를 아세틸화함으로써 글루포시네이트 제초제를 무독화 시킨다.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(다) 발현단백질의 아미노산 서열의 번역 후 변이 유무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77" w:hanging="877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숙주내에서의 단백질과 대장균에서 발현시킨 단백질이 동일하여 번역 후 변이는 발생하지 않은 것으로 확인되었으며, n-glycosylation도 없었다.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(라) 발현단백질의 구조적 변화 여부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32" w:hanging="1132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대장균, 옥수수 T25(이미 승인되었음), T45에서 발현된 3종류의 단백질이 동일하며, 다른 구조적 변화가 없다.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(마) 새로운 특성의 표현형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38" w:hanging="1138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유전자재조합 캐놀라 T45는 글루포시네이트 암모니아 제초제에 비선택적으로 내성을 가진다.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(바) 유전자산물의 발현부위 및 발현량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137" w:hanging="1137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PAT단백질은 식물의 녹색부위에 매우 낮은 수준으로 발현된다. T45 캐놀라에서 알곡 및 잎의 PAT 단백질 수준은 468～735ng/g범위이다.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(3) 독성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(가) 생산물이 단백질인 경우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1) 안전한 식경험의 유무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259" w:hanging="1259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lastRenderedPageBreak/>
        <w:t> 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캐놀라는 오랫동안 먹어왔던 식경험이 있으며, 공여체 생물도 식품의 오염을 통하여 먹어온 경험이 있다.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2) 기지의 독성 및 항영양소와의 아미노산 서열 유사성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222" w:hanging="1222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알려진 독소 및 알레르기 유발원과 특이한 유사성을 가지지 않는다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3) 유전자 산물의 물리화학적 처리에 대한 감수성(대체산물의 경우 유전자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산물과의 생화학적, 구조적, 기능적 동질성에 관한 자료 포함)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244" w:hanging="124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PAT는 대부분의 식품 알레르기 유발물질과 달리 열과 산에 불안정하며, 인공위액에서 5초 내에 쉽게 분해된다.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076" w:hanging="1076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4) 안전한 식경험이 없는 단백질인 경우 경구독성실험 및 그 단백질을 가지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고 있는 것으로 알려진 식물에서 그 단백질의 생물학적 기능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226" w:hanging="1226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쥐에 대하여 10㎎/㎏의 양으로 정맥 주사한 결과 특별한 이상이 나타나지 않았다.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99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(4) 알레르기성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(가) 유전자산물이 알레르겐으로 알려지고 있는가에 관한 자료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03" w:hanging="903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PAT 자체는 알레르기 유발원으로 알려져 있지 않다. PAT는 식품 알레르기 유발원의 특성과 일치하지 않는다.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32" w:hanging="832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유전자 산물인 PAT의 아미노산 염기배열이 알려져 있으며, SWIS와 EMBL 단백질 데이터베이스의 단백질 염기배열과 비교되어졌다. 알려진 식품 알레르기 유발원과의 어떠한 유사성도 발견되지 않았다.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15" w:hanging="915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(나) 유전자 산물의 물리화학적 처리에 대한 감수성(대체산물의 경우 유전자 산물과의 생화학적, 구조적, 기능적 동질성에 관한 자료 포함)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21" w:hanging="921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PAT는 대부분의 식품 알레르기 유발물질과 달리 열과 산에 불안정하다. 사육동물과 사람의 소화액에 존재하는 효소와 산에 의해 쉽게 분해되고 변성된다. 인공위액에서 5초 내에 분해됨.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15" w:hanging="915"/>
        <w:rPr>
          <w:rFonts w:ascii="한양신명조" w:eastAsia="한양신명조" w:hAnsi="굴림" w:cs="굴림" w:hint="eastAsia"/>
          <w:color w:val="FF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15" w:hanging="915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(다) 유전자산물 중 이미 알려져 있는 알레르겐과 상동성에 관한 자료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048" w:hanging="1048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lastRenderedPageBreak/>
        <w:t>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PAT는 allergen으로 알려져 있지 않으며 기지의 allergen과 아미노산 서열의 유사성이 없다.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FF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(라) 유전자산물이 1일 단백섭취량의 유의한 양을 차지하고 있는지에 관한자료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009" w:hanging="1009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전체 알곡 단백질에서 PAT 단백질이 차지하는 비율은 0.00005%～ 0.00008% 정도이며,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96" w:hanging="896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T45의 종실에서 추출한 전분과 유지의 경우 PAT 단백질은 가공되지 않은 식물상태에서 보다 훨씬 작아 PAT 단백질은 전혀 검출되지 않았다.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96" w:hanging="896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따라서 PAT는 캐놀라 혹은 그 제품의 섭취를 통한 1일 단백섭취량은 아주 작은 양을 차지한다.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55" w:hanging="955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(마) </w:t>
      </w:r>
      <w:r w:rsidRPr="00853581">
        <w:rPr>
          <w:rFonts w:ascii="한양신명조,한컴돋움" w:eastAsia="한양신명조,한컴돋움" w:hAnsi="굴림" w:cs="굴림" w:hint="eastAsia"/>
          <w:color w:val="000000"/>
          <w:spacing w:val="-2"/>
          <w:kern w:val="0"/>
          <w:sz w:val="22"/>
        </w:rPr>
        <w:t>(1) 내지 (4)의 자료에 의해 알레르기성을 판단하기 어려울 경우 다음 자료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074" w:hanging="107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1) 구조 유사성이 확인된 알레르겐에 대한 환자 IgE 항체와 유전자산물과의 결합력에 관한 자료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63" w:hanging="963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해당사항 없음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(5) 숙주와의 차이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(가) 주요영양성분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77" w:hanging="877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유전자재조합 캐놀라 알곡에서 총 지방 함량이 가장 많은 부분을 차지하고 있었으며 알곡건조물의 45～46%정도였다. 총 단백질 함량은 24.6-24.5%, 탄수화물 함량은 24.4～25.0%으로 전통종의 함량과 유의적인 차이를 보이지 않았으며 문헌상의 범위내에 포함되어 있다.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23" w:hanging="923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아미노산 함량도 유전자재조합 캐놀라와 숙주에 유의적인 차이를 보이지 않았으며 문헌상의 범위내에 포함되어 있다.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23" w:hanging="923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지방산에 대한 분석결과도 숙주와의 유의적인 차이를 보이지 않았다..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FF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(나) 미량영양성분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93" w:hanging="893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lastRenderedPageBreak/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토코페롤 함량이 분석되어 있으며 알파, 베타, 감마, 델타, 총 토코페롤 모두 유전자재조합 캐놀라와 숙주간에 유의적인 차이를 보이지 않았으며 문헌상의 범위내에 포함되어 있다.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캐놀라에 대한 미량 영양소의 분석 자료는 제시되지 않았음.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</w:t>
      </w:r>
      <w:r w:rsidRPr="00853581">
        <w:rPr>
          <w:rFonts w:ascii="한양신명조,한컴돋움" w:eastAsia="한양신명조,한컴돋움" w:hAnsi="굴림" w:cs="굴림" w:hint="eastAsia"/>
          <w:color w:val="000000"/>
          <w:spacing w:val="-9"/>
          <w:kern w:val="0"/>
          <w:sz w:val="22"/>
        </w:rPr>
        <w:t>비타민 등에 대한 분석결과 숙주와의 유의적인 차이를 보이지 않았다.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1600" w:hanging="701"/>
        <w:rPr>
          <w:rFonts w:ascii="한양신명조" w:eastAsia="한양신명조" w:hAnsi="굴림" w:cs="굴림" w:hint="eastAsia"/>
          <w:color w:val="FF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(다) 내재성독소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99" w:hanging="899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내재성 독소 없음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99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(라) 영양억제인자 (항영양소)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97" w:hanging="897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Glucosinolate, erucic acid, phytic acid가 있으나 glucosinolate와 phytic acid는 주로 알곡에 존재하므로 식용으로 하는 oil에서는 포함되어 있지 않다. erucic acid의 경우는 “캐놀라”의 명칭이 국제식품규격위원회 기준에 의하면 총 지방산 중에서 최대 2%로 정하고 있어 이를 넘지 않으며, glucosinolate 및 erucic acid의 함량분석결과 숙주와의 유의적인 차이가 없었다.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(마) 알레르기유발성분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해당사항 없음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(바) 삽입된 유전자의 대사산물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914" w:hanging="91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PAT 단백질은 글루포시네이트 암모니아에 기질특이성이 높아 동물이나 사람에게 비 특이적인 반응을 일으키지 않으며, 그 대사산물도 없다.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(사) 영양성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77" w:hanging="877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유지 및 고형분에 대한 캐놀라의 영양성분 함량은 T45로부터 유래된 것과 숙주 간에 실질적 동등성이 확인되었다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717" w:hanging="717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(7) 유전자재조합체의 생존 증식에 대한 정보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787" w:hanging="787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lastRenderedPageBreak/>
        <w:t>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제초제 글루포시네이트에 내성을 가지는 특성 외에는 기존의 캐놀라와 생존 증식 능력이 동일하다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699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(8) 유전자재조합체의 불활성화 방법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01" w:hanging="801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- 글루포시네이트</w:t>
      </w:r>
      <w:r w:rsidRPr="00853581">
        <w:rPr>
          <w:rFonts w:ascii="한양신명조,한컴돋움" w:eastAsia="한양신명조,한컴돋움" w:hAnsi="굴림" w:cs="굴림" w:hint="eastAsia"/>
          <w:color w:val="000000"/>
          <w:spacing w:val="-4"/>
          <w:kern w:val="0"/>
          <w:sz w:val="22"/>
        </w:rPr>
        <w:t xml:space="preserve"> 제초제에 내성을 나타내는 특성이외에는 일반 캐놀라와 동일하다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(9) 외국의 식품유통 승인 및 식용 등의 이용 현황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04" w:hanging="804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 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- 캐나다(1997), 일본(1997), 미국(1997), 호주(1999) 등에서 식품으로 사용할 수 있도록 승인되었다. 1996년 이후부터 미국과 캐나다에서 재배되었으며, 2003년에는 북미지역에서 0.25% 이하로 재배되었다.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804" w:hanging="804"/>
        <w:rPr>
          <w:rFonts w:ascii="한양신명조" w:eastAsia="한양신명조" w:hAnsi="굴림" w:cs="굴림" w:hint="eastAsia"/>
          <w:color w:val="000000"/>
          <w:kern w:val="0"/>
          <w:sz w:val="22"/>
        </w:rPr>
      </w:pP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b/>
          <w:bCs/>
          <w:color w:val="000000"/>
          <w:kern w:val="0"/>
          <w:sz w:val="22"/>
        </w:rPr>
        <w:t>5. 심사의뢰 자료 검토 결과</w:t>
      </w:r>
      <w:r w:rsidRPr="00853581">
        <w:rPr>
          <w:rFonts w:ascii="한양신명조" w:eastAsia="한양신명조" w:hAnsi="굴림" w:cs="굴림" w:hint="eastAsia"/>
          <w:color w:val="000000"/>
          <w:kern w:val="0"/>
          <w:sz w:val="22"/>
        </w:rPr>
        <w:t xml:space="preserve">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552" w:hanging="552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○ 이상의 검토 내용과 같이 심사규정에 따라 제출된 자료의 안전성을 평가한 결과, 사용된 공여체, 숙주 및 유전자재조합 과정 등이 식품으로 이용시 안전성 문제를 유발하지 않는다고 판단되었고, </w:t>
      </w:r>
    </w:p>
    <w:p w:rsidR="00853581" w:rsidRPr="00853581" w:rsidRDefault="00853581" w:rsidP="00853581">
      <w:pPr>
        <w:widowControl/>
        <w:wordWrap/>
        <w:autoSpaceDE/>
        <w:autoSpaceDN/>
        <w:spacing w:line="384" w:lineRule="auto"/>
        <w:ind w:left="575" w:hanging="575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 </w:t>
      </w:r>
      <w:r w:rsidRPr="00853581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○ 유전자재조합체에 관해서도 도입된 유전자, 유전자산물, 알레르기 유발성, 독성 및 영양성 등에서 안전성 평가에 필요한 적절한 자료가 제출되었으며, 이 자료를 토대로 검토한 결과 지금까지 섭취해온 캐놀라와 차이가 없음을 확인하였다. </w:t>
      </w:r>
    </w:p>
    <w:p w:rsidR="006C4EA6" w:rsidRDefault="00853581">
      <w:pPr>
        <w:rPr>
          <w:rFonts w:hint="eastAsia"/>
        </w:rPr>
      </w:pPr>
    </w:p>
    <w:sectPr w:rsidR="006C4EA6" w:rsidSect="00412D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,한컴돋움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53581"/>
    <w:rsid w:val="00412D68"/>
    <w:rsid w:val="00853581"/>
    <w:rsid w:val="00A227A7"/>
    <w:rsid w:val="00B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5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1557</Words>
  <Characters>8881</Characters>
  <Application>Microsoft Office Word</Application>
  <DocSecurity>0</DocSecurity>
  <Lines>74</Lines>
  <Paragraphs>20</Paragraphs>
  <ScaleCrop>false</ScaleCrop>
  <Company>KRIBB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2009-11-04T07:43:00Z</dcterms:created>
  <dcterms:modified xsi:type="dcterms:W3CDTF">2009-11-04T07:44:00Z</dcterms:modified>
</cp:coreProperties>
</file>