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35" w:rsidRDefault="000A0135">
      <w:pPr>
        <w:tabs>
          <w:tab w:val="left" w:pos="-1440"/>
          <w:tab w:val="left" w:pos="-144"/>
          <w:tab w:val="left" w:pos="1152"/>
          <w:tab w:val="left" w:pos="2448"/>
          <w:tab w:val="left" w:pos="3744"/>
          <w:tab w:val="left" w:pos="5040"/>
          <w:tab w:val="left" w:pos="6336"/>
          <w:tab w:val="left" w:pos="7632"/>
          <w:tab w:val="left" w:pos="8928"/>
        </w:tabs>
        <w:rPr>
          <w:sz w:val="24"/>
        </w:rPr>
      </w:pPr>
    </w:p>
    <w:p w:rsidR="000A0135" w:rsidRDefault="000A0135">
      <w:pPr>
        <w:tabs>
          <w:tab w:val="left" w:pos="-1440"/>
          <w:tab w:val="left" w:pos="-144"/>
          <w:tab w:val="left" w:pos="1152"/>
          <w:tab w:val="left" w:pos="2448"/>
          <w:tab w:val="left" w:pos="3744"/>
          <w:tab w:val="left" w:pos="5040"/>
          <w:tab w:val="left" w:pos="6336"/>
          <w:tab w:val="left" w:pos="7632"/>
          <w:tab w:val="left" w:pos="8928"/>
        </w:tabs>
        <w:rPr>
          <w:sz w:val="24"/>
        </w:rPr>
      </w:pPr>
    </w:p>
    <w:p w:rsidR="005450EC" w:rsidRDefault="005450EC">
      <w:pPr>
        <w:tabs>
          <w:tab w:val="left" w:pos="-1440"/>
          <w:tab w:val="left" w:pos="-144"/>
          <w:tab w:val="left" w:pos="1152"/>
          <w:tab w:val="left" w:pos="2448"/>
          <w:tab w:val="left" w:pos="3744"/>
          <w:tab w:val="left" w:pos="5040"/>
          <w:tab w:val="left" w:pos="6336"/>
          <w:tab w:val="left" w:pos="7632"/>
          <w:tab w:val="left" w:pos="8928"/>
        </w:tabs>
        <w:rPr>
          <w:sz w:val="24"/>
          <w:lang w:val="en-US"/>
        </w:rPr>
      </w:pPr>
      <w:r w:rsidRPr="005450EC">
        <w:rPr>
          <w:sz w:val="24"/>
          <w:lang w:val="en-US"/>
        </w:rPr>
        <w:t>Executive Secretary</w:t>
      </w:r>
    </w:p>
    <w:p w:rsidR="00D93E0F" w:rsidRPr="005450EC" w:rsidRDefault="005450EC">
      <w:pPr>
        <w:tabs>
          <w:tab w:val="left" w:pos="-1440"/>
          <w:tab w:val="left" w:pos="-144"/>
          <w:tab w:val="left" w:pos="1152"/>
          <w:tab w:val="left" w:pos="2448"/>
          <w:tab w:val="left" w:pos="3744"/>
          <w:tab w:val="left" w:pos="5040"/>
          <w:tab w:val="left" w:pos="6336"/>
          <w:tab w:val="left" w:pos="7632"/>
          <w:tab w:val="left" w:pos="8928"/>
        </w:tabs>
        <w:rPr>
          <w:sz w:val="24"/>
          <w:lang w:val="en-US"/>
        </w:rPr>
      </w:pPr>
      <w:r w:rsidRPr="005450EC">
        <w:rPr>
          <w:sz w:val="24"/>
          <w:lang w:val="en-US"/>
        </w:rPr>
        <w:t xml:space="preserve">Convention on Biological Diversity </w:t>
      </w:r>
    </w:p>
    <w:p w:rsidR="00D93E0F" w:rsidRPr="005450EC" w:rsidRDefault="00D93E0F">
      <w:pPr>
        <w:pStyle w:val="logoe"/>
        <w:tabs>
          <w:tab w:val="left" w:pos="-1440"/>
          <w:tab w:val="left" w:pos="-144"/>
          <w:tab w:val="left" w:pos="1152"/>
          <w:tab w:val="left" w:pos="2448"/>
          <w:tab w:val="left" w:pos="3744"/>
          <w:tab w:val="left" w:pos="5040"/>
          <w:tab w:val="left" w:pos="6336"/>
          <w:tab w:val="left" w:pos="7632"/>
          <w:tab w:val="left" w:pos="8928"/>
        </w:tabs>
        <w:rPr>
          <w:noProof w:val="0"/>
          <w:szCs w:val="24"/>
          <w:lang w:val="en-US"/>
        </w:rPr>
      </w:pPr>
    </w:p>
    <w:p w:rsidR="00D93E0F" w:rsidRPr="005450EC" w:rsidRDefault="00D93E0F">
      <w:pPr>
        <w:tabs>
          <w:tab w:val="left" w:pos="-1440"/>
          <w:tab w:val="left" w:pos="-144"/>
          <w:tab w:val="left" w:pos="1152"/>
          <w:tab w:val="left" w:pos="2448"/>
          <w:tab w:val="left" w:pos="3744"/>
          <w:tab w:val="left" w:pos="5040"/>
          <w:tab w:val="left" w:pos="6336"/>
          <w:tab w:val="left" w:pos="7632"/>
          <w:tab w:val="left" w:pos="8928"/>
        </w:tabs>
        <w:rPr>
          <w:sz w:val="24"/>
          <w:lang w:val="en-US"/>
        </w:rPr>
      </w:pPr>
    </w:p>
    <w:p w:rsidR="00CF5A91" w:rsidRPr="005450EC" w:rsidRDefault="00CF5A91">
      <w:pPr>
        <w:tabs>
          <w:tab w:val="left" w:pos="-1440"/>
          <w:tab w:val="left" w:pos="-144"/>
          <w:tab w:val="left" w:pos="1152"/>
          <w:tab w:val="left" w:pos="2448"/>
          <w:tab w:val="left" w:pos="3744"/>
          <w:tab w:val="left" w:pos="5040"/>
          <w:tab w:val="left" w:pos="6336"/>
          <w:tab w:val="left" w:pos="7632"/>
          <w:tab w:val="left" w:pos="8928"/>
        </w:tabs>
        <w:rPr>
          <w:i/>
          <w:sz w:val="24"/>
          <w:lang w:val="en-US"/>
        </w:rPr>
      </w:pPr>
    </w:p>
    <w:p w:rsidR="00CF5A91" w:rsidRPr="005450EC" w:rsidRDefault="00CF5A91">
      <w:pPr>
        <w:tabs>
          <w:tab w:val="left" w:pos="-1440"/>
          <w:tab w:val="left" w:pos="-144"/>
          <w:tab w:val="left" w:pos="1152"/>
          <w:tab w:val="left" w:pos="2448"/>
          <w:tab w:val="left" w:pos="3744"/>
          <w:tab w:val="left" w:pos="5040"/>
          <w:tab w:val="left" w:pos="6336"/>
          <w:tab w:val="left" w:pos="7632"/>
          <w:tab w:val="left" w:pos="8928"/>
        </w:tabs>
        <w:rPr>
          <w:i/>
          <w:sz w:val="24"/>
          <w:lang w:val="en-US"/>
        </w:rPr>
      </w:pPr>
    </w:p>
    <w:p w:rsidR="00D93E0F" w:rsidRPr="005450EC" w:rsidRDefault="005450EC">
      <w:pPr>
        <w:tabs>
          <w:tab w:val="left" w:pos="-1440"/>
          <w:tab w:val="left" w:pos="-144"/>
          <w:tab w:val="left" w:pos="1152"/>
          <w:tab w:val="left" w:pos="2448"/>
          <w:tab w:val="left" w:pos="3744"/>
          <w:tab w:val="left" w:pos="5040"/>
          <w:tab w:val="left" w:pos="6336"/>
          <w:tab w:val="left" w:pos="7632"/>
          <w:tab w:val="left" w:pos="8928"/>
        </w:tabs>
        <w:rPr>
          <w:sz w:val="24"/>
          <w:lang w:val="en-US"/>
        </w:rPr>
      </w:pPr>
      <w:r w:rsidRPr="005450EC">
        <w:rPr>
          <w:i/>
          <w:sz w:val="24"/>
          <w:lang w:val="en-US"/>
        </w:rPr>
        <w:t>Regarding</w:t>
      </w:r>
      <w:r w:rsidR="00D93E0F" w:rsidRPr="005450EC">
        <w:rPr>
          <w:i/>
          <w:sz w:val="24"/>
          <w:lang w:val="en-US"/>
        </w:rPr>
        <w:t>:</w:t>
      </w:r>
      <w:r w:rsidR="00D93E0F" w:rsidRPr="005450EC">
        <w:rPr>
          <w:b/>
          <w:sz w:val="24"/>
          <w:lang w:val="en-US"/>
        </w:rPr>
        <w:t xml:space="preserve"> </w:t>
      </w:r>
      <w:r w:rsidRPr="005450EC">
        <w:rPr>
          <w:b/>
          <w:sz w:val="24"/>
          <w:lang w:val="en-US"/>
        </w:rPr>
        <w:t>SUBMISSION OF INFORMATION REQUESTED IN DECISION ON CO</w:t>
      </w:r>
      <w:r w:rsidRPr="005450EC">
        <w:rPr>
          <w:b/>
          <w:sz w:val="24"/>
          <w:lang w:val="en-US"/>
        </w:rPr>
        <w:t>N</w:t>
      </w:r>
      <w:r w:rsidRPr="005450EC">
        <w:rPr>
          <w:b/>
          <w:sz w:val="24"/>
          <w:lang w:val="en-US"/>
        </w:rPr>
        <w:t xml:space="preserve">TAINED USE (ARTICLE 6) </w:t>
      </w:r>
      <w:r w:rsidR="00CF597E">
        <w:rPr>
          <w:b/>
          <w:sz w:val="24"/>
          <w:lang w:val="en-US"/>
        </w:rPr>
        <w:t xml:space="preserve">- </w:t>
      </w:r>
      <w:r w:rsidR="00CF597E" w:rsidRPr="00CF597E">
        <w:rPr>
          <w:b/>
          <w:sz w:val="24"/>
          <w:lang w:val="en-US"/>
        </w:rPr>
        <w:t>R</w:t>
      </w:r>
      <w:r w:rsidR="00CF597E" w:rsidRPr="00CF597E">
        <w:rPr>
          <w:b/>
          <w:sz w:val="24"/>
          <w:lang w:val="en-US"/>
        </w:rPr>
        <w:t>E</w:t>
      </w:r>
      <w:r w:rsidR="00CF597E" w:rsidRPr="00CF597E">
        <w:rPr>
          <w:b/>
          <w:sz w:val="24"/>
          <w:lang w:val="en-US"/>
        </w:rPr>
        <w:t>SPONSE TO CBD NOTIFICATION 2016 – 009</w:t>
      </w:r>
    </w:p>
    <w:p w:rsidR="00012CFD" w:rsidRPr="005450EC" w:rsidRDefault="00012CFD" w:rsidP="00DE3416">
      <w:pPr>
        <w:ind w:left="1276"/>
        <w:rPr>
          <w:sz w:val="24"/>
          <w:lang w:val="en-US"/>
        </w:rPr>
      </w:pPr>
    </w:p>
    <w:p w:rsidR="00CF5A91" w:rsidRPr="005450EC" w:rsidRDefault="00CF5A91" w:rsidP="00DE3416">
      <w:pPr>
        <w:ind w:left="1276"/>
        <w:rPr>
          <w:sz w:val="24"/>
          <w:lang w:val="en-US"/>
        </w:rPr>
      </w:pPr>
    </w:p>
    <w:p w:rsidR="00CF597E" w:rsidRPr="00CF597E" w:rsidRDefault="00CF597E" w:rsidP="00CF597E">
      <w:pPr>
        <w:spacing w:line="276" w:lineRule="auto"/>
        <w:ind w:left="1276"/>
        <w:rPr>
          <w:b/>
          <w:sz w:val="24"/>
          <w:lang w:val="en-US"/>
        </w:rPr>
      </w:pPr>
      <w:r w:rsidRPr="00CF597E">
        <w:rPr>
          <w:b/>
          <w:sz w:val="24"/>
          <w:lang w:val="en-US"/>
        </w:rPr>
        <w:t xml:space="preserve">Submission of information requested in decision on Contained Use (Article 6)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In decision BS-VII/4, the COP-MOP invited Parties and other Governments to submit to the Executive Secretary information, tools, practical experience and guidance rela</w:t>
      </w:r>
      <w:r w:rsidRPr="00CF597E">
        <w:rPr>
          <w:sz w:val="24"/>
          <w:lang w:val="en-US"/>
        </w:rPr>
        <w:t>t</w:t>
      </w:r>
      <w:r w:rsidRPr="00CF597E">
        <w:rPr>
          <w:sz w:val="24"/>
          <w:lang w:val="en-US"/>
        </w:rPr>
        <w:t>ed to their existing mechanisms and requirements regarding the contained use of living modified organisms (LMOs, hereafter referred to as genetically modified organisms, GMOs), including any specific requirement relating to the type and level of contai</w:t>
      </w:r>
      <w:r w:rsidRPr="00CF597E">
        <w:rPr>
          <w:sz w:val="24"/>
          <w:lang w:val="en-US"/>
        </w:rPr>
        <w:t>n</w:t>
      </w:r>
      <w:r w:rsidRPr="00CF597E">
        <w:rPr>
          <w:sz w:val="24"/>
          <w:lang w:val="en-US"/>
        </w:rPr>
        <w:t xml:space="preserve">ment.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Board for Gene Technology, which is the national competent authority of Finland for the Biosafety Clearing House, provides the following information on contained use of genetically modified organisms (GMO) as a response to CBD Notification 2016 – 009:</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b/>
          <w:sz w:val="24"/>
          <w:lang w:val="en-US"/>
        </w:rPr>
      </w:pPr>
      <w:r w:rsidRPr="00CF597E">
        <w:rPr>
          <w:b/>
          <w:sz w:val="24"/>
          <w:lang w:val="en-US"/>
        </w:rPr>
        <w:t xml:space="preserve">Finnish national authorities for the contained use of </w:t>
      </w:r>
      <w:r>
        <w:rPr>
          <w:b/>
          <w:sz w:val="24"/>
          <w:lang w:val="en-US"/>
        </w:rPr>
        <w:t>GMOs</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Board for Gene Technology is responsible for the authorization of the contained use of GMOs Finland in Finland. It is also functioning as a national Competent A</w:t>
      </w:r>
      <w:r w:rsidRPr="00CF597E">
        <w:rPr>
          <w:sz w:val="24"/>
          <w:lang w:val="en-US"/>
        </w:rPr>
        <w:t>u</w:t>
      </w:r>
      <w:r w:rsidRPr="00CF597E">
        <w:rPr>
          <w:sz w:val="24"/>
          <w:lang w:val="en-US"/>
        </w:rPr>
        <w:t>thority for the EU directive 2009/41/EC on the contained use of genetically modified micro-organisms. The supervision and inspection of contained use of GMOs is pe</w:t>
      </w:r>
      <w:r w:rsidRPr="00CF597E">
        <w:rPr>
          <w:sz w:val="24"/>
          <w:lang w:val="en-US"/>
        </w:rPr>
        <w:t>r</w:t>
      </w:r>
      <w:r w:rsidRPr="00CF597E">
        <w:rPr>
          <w:sz w:val="24"/>
          <w:lang w:val="en-US"/>
        </w:rPr>
        <w:t>formed by another authority: the National Supervisory Authority for Welfare and Health (Valvira). Both authorities have their own internet sites (</w:t>
      </w:r>
      <w:hyperlink r:id="rId9" w:history="1">
        <w:r w:rsidRPr="00CF597E">
          <w:rPr>
            <w:rStyle w:val="Hyperlinkki"/>
            <w:sz w:val="24"/>
            <w:lang w:val="en-US"/>
          </w:rPr>
          <w:t>http://geenitekniikanlautakunta.fi</w:t>
        </w:r>
      </w:hyperlink>
      <w:r w:rsidRPr="00CF597E">
        <w:rPr>
          <w:sz w:val="24"/>
          <w:lang w:val="en-US"/>
        </w:rPr>
        <w:t xml:space="preserve"> and </w:t>
      </w:r>
      <w:hyperlink r:id="rId10" w:history="1">
        <w:r w:rsidRPr="00CF597E">
          <w:rPr>
            <w:rStyle w:val="Hyperlinkki"/>
            <w:sz w:val="24"/>
            <w:lang w:val="en-US"/>
          </w:rPr>
          <w:t>http://valvira.fi</w:t>
        </w:r>
      </w:hyperlink>
      <w:r w:rsidRPr="00CF597E">
        <w:rPr>
          <w:sz w:val="24"/>
          <w:lang w:val="en-US"/>
        </w:rPr>
        <w:t>, respectively) which contain i</w:t>
      </w:r>
      <w:r w:rsidRPr="00CF597E">
        <w:rPr>
          <w:sz w:val="24"/>
          <w:lang w:val="en-US"/>
        </w:rPr>
        <w:t>n</w:t>
      </w:r>
      <w:r w:rsidRPr="00CF597E">
        <w:rPr>
          <w:sz w:val="24"/>
          <w:lang w:val="en-US"/>
        </w:rPr>
        <w:t>formation on the legislation, authorizing procedures, supervision and guidance on va</w:t>
      </w:r>
      <w:r w:rsidRPr="00CF597E">
        <w:rPr>
          <w:sz w:val="24"/>
          <w:lang w:val="en-US"/>
        </w:rPr>
        <w:t>r</w:t>
      </w:r>
      <w:r w:rsidRPr="00CF597E">
        <w:rPr>
          <w:sz w:val="24"/>
          <w:lang w:val="en-US"/>
        </w:rPr>
        <w:t xml:space="preserve">ious GMO-related topics.   </w:t>
      </w:r>
    </w:p>
    <w:p w:rsidR="00CF597E" w:rsidRPr="00CF597E" w:rsidRDefault="00CF597E" w:rsidP="00CF597E">
      <w:pPr>
        <w:spacing w:line="276" w:lineRule="auto"/>
        <w:ind w:left="1276"/>
        <w:rPr>
          <w:sz w:val="24"/>
          <w:lang w:val="en-US"/>
        </w:rPr>
      </w:pPr>
    </w:p>
    <w:p w:rsidR="00CF597E" w:rsidRDefault="00CF597E">
      <w:pPr>
        <w:rPr>
          <w:b/>
          <w:sz w:val="24"/>
          <w:lang w:val="en-US"/>
        </w:rPr>
      </w:pPr>
      <w:r>
        <w:rPr>
          <w:b/>
          <w:sz w:val="24"/>
          <w:lang w:val="en-US"/>
        </w:rPr>
        <w:br w:type="page"/>
      </w:r>
    </w:p>
    <w:p w:rsidR="00CF597E" w:rsidRPr="00CF597E" w:rsidRDefault="00CF597E" w:rsidP="00CF597E">
      <w:pPr>
        <w:spacing w:line="276" w:lineRule="auto"/>
        <w:ind w:left="1276"/>
        <w:rPr>
          <w:b/>
          <w:sz w:val="24"/>
          <w:lang w:val="en-US"/>
        </w:rPr>
      </w:pPr>
      <w:r w:rsidRPr="00CF597E">
        <w:rPr>
          <w:b/>
          <w:sz w:val="24"/>
          <w:lang w:val="en-US"/>
        </w:rPr>
        <w:lastRenderedPageBreak/>
        <w:t>European Union and national legislation on the contained use of GMOs</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 xml:space="preserve">The requirements in the Directive 2009/41/EG of the European Parliament and of the Council of 6 May 2009 on the contained use of genetically modified micro-organisms are minimum requirements that are to be implemented through the legislation of the EU Member States. Hence, the Member States may have stricter regulations than those specified in the directive. This is the situation in Finland, where in addition to the GM micro-organisms (GMMs), provisions of the use of genetically modified (GM) plants and animals are included in the national Gene Technology Act (377/1995) and various Decrees.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legal provisions for enabling the supervisory authorities to inspect and control contained use of GMOs are included in the Gene Technology Act. There are also add</w:t>
      </w:r>
      <w:r w:rsidRPr="00CF597E">
        <w:rPr>
          <w:sz w:val="24"/>
          <w:lang w:val="en-US"/>
        </w:rPr>
        <w:t>i</w:t>
      </w:r>
      <w:r w:rsidRPr="00CF597E">
        <w:rPr>
          <w:sz w:val="24"/>
          <w:lang w:val="en-US"/>
        </w:rPr>
        <w:t xml:space="preserve">tional provisions for the supervision in the Decree of the Ministry of Social Affairs and Health on Inspection Procedures under the Gene Technology Act (198/2007).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 xml:space="preserve">Any animal welfare or test animal regulations apply for GM animals in contained use. The same situation applies for the occupational safety regulations, </w:t>
      </w:r>
      <w:proofErr w:type="spellStart"/>
      <w:r w:rsidRPr="00CF597E">
        <w:rPr>
          <w:sz w:val="24"/>
          <w:lang w:val="en-US"/>
        </w:rPr>
        <w:t>eg</w:t>
      </w:r>
      <w:proofErr w:type="spellEnd"/>
      <w:r w:rsidRPr="00CF597E">
        <w:rPr>
          <w:sz w:val="24"/>
          <w:lang w:val="en-US"/>
        </w:rPr>
        <w:t xml:space="preserve">. </w:t>
      </w:r>
      <w:proofErr w:type="gramStart"/>
      <w:r w:rsidRPr="00CF597E">
        <w:rPr>
          <w:sz w:val="24"/>
          <w:lang w:val="en-US"/>
        </w:rPr>
        <w:t>on</w:t>
      </w:r>
      <w:proofErr w:type="gramEnd"/>
      <w:r w:rsidRPr="00CF597E">
        <w:rPr>
          <w:sz w:val="24"/>
          <w:lang w:val="en-US"/>
        </w:rPr>
        <w:t xml:space="preserve"> the prote</w:t>
      </w:r>
      <w:r w:rsidRPr="00CF597E">
        <w:rPr>
          <w:sz w:val="24"/>
          <w:lang w:val="en-US"/>
        </w:rPr>
        <w:t>c</w:t>
      </w:r>
      <w:r w:rsidRPr="00CF597E">
        <w:rPr>
          <w:sz w:val="24"/>
          <w:lang w:val="en-US"/>
        </w:rPr>
        <w:t>tion of workers of the hazards caused by exposure to biological agents at work.</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Board for Gene Technology is required to report its experiences with implemen</w:t>
      </w:r>
      <w:r w:rsidRPr="00CF597E">
        <w:rPr>
          <w:sz w:val="24"/>
          <w:lang w:val="en-US"/>
        </w:rPr>
        <w:t>t</w:t>
      </w:r>
      <w:r w:rsidRPr="00CF597E">
        <w:rPr>
          <w:sz w:val="24"/>
          <w:lang w:val="en-US"/>
        </w:rPr>
        <w:t>ing Directive 2009/41/EC every third year to the European Commission, which co</w:t>
      </w:r>
      <w:r w:rsidRPr="00CF597E">
        <w:rPr>
          <w:sz w:val="24"/>
          <w:lang w:val="en-US"/>
        </w:rPr>
        <w:t>m</w:t>
      </w:r>
      <w:r w:rsidRPr="00CF597E">
        <w:rPr>
          <w:sz w:val="24"/>
          <w:lang w:val="en-US"/>
        </w:rPr>
        <w:t xml:space="preserve">piles the Member State reports.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b/>
          <w:sz w:val="24"/>
          <w:lang w:val="en-US"/>
        </w:rPr>
      </w:pPr>
      <w:r w:rsidRPr="00CF597E">
        <w:rPr>
          <w:b/>
          <w:sz w:val="24"/>
          <w:lang w:val="en-US"/>
        </w:rPr>
        <w:t>Classification of GMOs in contained use</w:t>
      </w:r>
    </w:p>
    <w:p w:rsidR="00CF597E" w:rsidRPr="00CF597E" w:rsidRDefault="00CF597E" w:rsidP="00CF597E">
      <w:pPr>
        <w:spacing w:line="276" w:lineRule="auto"/>
        <w:ind w:left="1276"/>
        <w:rPr>
          <w:sz w:val="24"/>
          <w:lang w:val="en-US"/>
        </w:rPr>
      </w:pPr>
      <w:r w:rsidRPr="00CF597E">
        <w:rPr>
          <w:sz w:val="24"/>
          <w:lang w:val="en-US"/>
        </w:rPr>
        <w:t xml:space="preserve"> </w:t>
      </w:r>
    </w:p>
    <w:p w:rsidR="00CF597E" w:rsidRDefault="00CF597E" w:rsidP="00CF597E">
      <w:pPr>
        <w:spacing w:line="276" w:lineRule="auto"/>
        <w:ind w:left="1276"/>
        <w:rPr>
          <w:sz w:val="24"/>
          <w:lang w:val="en-US"/>
        </w:rPr>
      </w:pPr>
      <w:r w:rsidRPr="00CF597E">
        <w:rPr>
          <w:sz w:val="24"/>
          <w:lang w:val="en-US"/>
        </w:rPr>
        <w:t>Directive 2009/41/EC specifies in its Article 4.3 the risk classes for contained use of GMMs as well as required level of protection. Th</w:t>
      </w:r>
      <w:r>
        <w:rPr>
          <w:sz w:val="24"/>
          <w:lang w:val="en-US"/>
        </w:rPr>
        <w:t xml:space="preserve">is Directive </w:t>
      </w:r>
      <w:r w:rsidRPr="00CF597E">
        <w:rPr>
          <w:sz w:val="24"/>
          <w:lang w:val="en-US"/>
        </w:rPr>
        <w:t xml:space="preserve">does not apply to the contained use of GM animals and plants, but </w:t>
      </w:r>
      <w:r>
        <w:rPr>
          <w:sz w:val="24"/>
          <w:lang w:val="en-US"/>
        </w:rPr>
        <w:t xml:space="preserve">its </w:t>
      </w:r>
      <w:r w:rsidRPr="00CF597E">
        <w:rPr>
          <w:sz w:val="24"/>
          <w:lang w:val="en-US"/>
        </w:rPr>
        <w:t xml:space="preserve">classification </w:t>
      </w:r>
      <w:r>
        <w:rPr>
          <w:sz w:val="24"/>
          <w:lang w:val="en-US"/>
        </w:rPr>
        <w:t xml:space="preserve">system </w:t>
      </w:r>
      <w:r w:rsidRPr="00CF597E">
        <w:rPr>
          <w:sz w:val="24"/>
          <w:lang w:val="en-US"/>
        </w:rPr>
        <w:t>is applied in Fi</w:t>
      </w:r>
      <w:r w:rsidRPr="00CF597E">
        <w:rPr>
          <w:sz w:val="24"/>
          <w:lang w:val="en-US"/>
        </w:rPr>
        <w:t>n</w:t>
      </w:r>
      <w:r w:rsidRPr="00CF597E">
        <w:rPr>
          <w:sz w:val="24"/>
          <w:lang w:val="en-US"/>
        </w:rPr>
        <w:t>land also for such GM plant and animal cell cultures that can be considered as GM m</w:t>
      </w:r>
      <w:r w:rsidRPr="00CF597E">
        <w:rPr>
          <w:sz w:val="24"/>
          <w:lang w:val="en-US"/>
        </w:rPr>
        <w:t>i</w:t>
      </w:r>
      <w:r w:rsidRPr="00CF597E">
        <w:rPr>
          <w:sz w:val="24"/>
          <w:lang w:val="en-US"/>
        </w:rPr>
        <w:t>cro-organisms. The class</w:t>
      </w:r>
      <w:r>
        <w:rPr>
          <w:sz w:val="24"/>
          <w:lang w:val="en-US"/>
        </w:rPr>
        <w:t>ification is as follows</w:t>
      </w:r>
      <w:r w:rsidRPr="00CF597E">
        <w:rPr>
          <w:sz w:val="24"/>
          <w:lang w:val="en-US"/>
        </w:rPr>
        <w:t>:</w:t>
      </w:r>
    </w:p>
    <w:p w:rsidR="00CF597E" w:rsidRPr="00CF597E" w:rsidRDefault="00CF597E" w:rsidP="00CF597E">
      <w:pPr>
        <w:spacing w:line="276" w:lineRule="auto"/>
        <w:ind w:left="1276"/>
        <w:rPr>
          <w:sz w:val="24"/>
          <w:lang w:val="en-US"/>
        </w:rPr>
      </w:pPr>
    </w:p>
    <w:p w:rsidR="00CF597E" w:rsidRPr="00CF597E" w:rsidRDefault="00CF597E" w:rsidP="00CF597E">
      <w:pPr>
        <w:numPr>
          <w:ilvl w:val="0"/>
          <w:numId w:val="9"/>
        </w:numPr>
        <w:spacing w:line="276" w:lineRule="auto"/>
        <w:rPr>
          <w:sz w:val="24"/>
          <w:lang w:val="en-US"/>
        </w:rPr>
      </w:pPr>
      <w:r w:rsidRPr="00CF597E">
        <w:rPr>
          <w:b/>
          <w:sz w:val="24"/>
          <w:lang w:val="en-US"/>
        </w:rPr>
        <w:t>Class 1</w:t>
      </w:r>
      <w:r w:rsidRPr="00CF597E">
        <w:rPr>
          <w:sz w:val="24"/>
          <w:lang w:val="en-US"/>
        </w:rPr>
        <w:t xml:space="preserve"> covers activities with no risk or negligible risk. A notification on class 1 GMO use must be made before the activity may start. The notification includes the premises where the activity takes place. Unless changes later take place, class 1 activity may be carried out without further notification to authorities until the user notifies that the a</w:t>
      </w:r>
      <w:r w:rsidRPr="00CF597E">
        <w:rPr>
          <w:sz w:val="24"/>
          <w:lang w:val="en-US"/>
        </w:rPr>
        <w:t>c</w:t>
      </w:r>
      <w:r w:rsidRPr="00CF597E">
        <w:rPr>
          <w:sz w:val="24"/>
          <w:lang w:val="en-US"/>
        </w:rPr>
        <w:t xml:space="preserve">tivity has been terminated. </w:t>
      </w:r>
    </w:p>
    <w:p w:rsidR="00CF597E" w:rsidRPr="00CF597E" w:rsidRDefault="00CF597E" w:rsidP="00CF597E">
      <w:pPr>
        <w:numPr>
          <w:ilvl w:val="0"/>
          <w:numId w:val="9"/>
        </w:numPr>
        <w:spacing w:line="276" w:lineRule="auto"/>
        <w:rPr>
          <w:sz w:val="24"/>
          <w:lang w:val="en-US"/>
        </w:rPr>
      </w:pPr>
      <w:r w:rsidRPr="00CF597E">
        <w:rPr>
          <w:b/>
          <w:sz w:val="24"/>
          <w:lang w:val="en-US"/>
        </w:rPr>
        <w:t>Class 2</w:t>
      </w:r>
      <w:r w:rsidRPr="00CF597E">
        <w:rPr>
          <w:sz w:val="24"/>
          <w:lang w:val="en-US"/>
        </w:rPr>
        <w:t xml:space="preserve"> covers activities of low risk. Class 2 activity may only be started 45 days after making a notification, unless isolation level 2 premises to be used have been notified before. A new notification is required for taking into use new class 2 organisms, u</w:t>
      </w:r>
      <w:r w:rsidRPr="00CF597E">
        <w:rPr>
          <w:sz w:val="24"/>
          <w:lang w:val="en-US"/>
        </w:rPr>
        <w:t>n</w:t>
      </w:r>
      <w:r w:rsidRPr="00CF597E">
        <w:rPr>
          <w:sz w:val="24"/>
          <w:lang w:val="en-US"/>
        </w:rPr>
        <w:t xml:space="preserve">less certain conditions are met. Otherwise class 2 activity may be carried out without further notification until the user notifies that the activity has been terminated. </w:t>
      </w:r>
    </w:p>
    <w:p w:rsidR="00CF597E" w:rsidRPr="00CF597E" w:rsidRDefault="00CF597E" w:rsidP="00CF597E">
      <w:pPr>
        <w:numPr>
          <w:ilvl w:val="0"/>
          <w:numId w:val="9"/>
        </w:numPr>
        <w:spacing w:line="276" w:lineRule="auto"/>
        <w:rPr>
          <w:sz w:val="24"/>
          <w:lang w:val="en-US"/>
        </w:rPr>
      </w:pPr>
      <w:r w:rsidRPr="00CF597E">
        <w:rPr>
          <w:b/>
          <w:sz w:val="24"/>
          <w:lang w:val="en-US"/>
        </w:rPr>
        <w:lastRenderedPageBreak/>
        <w:t>Class 3</w:t>
      </w:r>
      <w:r w:rsidRPr="00CF597E">
        <w:rPr>
          <w:sz w:val="24"/>
          <w:lang w:val="en-US"/>
        </w:rPr>
        <w:t xml:space="preserve"> covers activities of moderate risk. Class 3 activity cannot be initiated until the Board for Gene Technology has made a positive decision on the application. Any new use of GMMs may not start either until permission is received. </w:t>
      </w:r>
    </w:p>
    <w:p w:rsidR="00CF597E" w:rsidRPr="00CF597E" w:rsidRDefault="00CF597E" w:rsidP="00CF597E">
      <w:pPr>
        <w:numPr>
          <w:ilvl w:val="0"/>
          <w:numId w:val="9"/>
        </w:numPr>
        <w:spacing w:line="276" w:lineRule="auto"/>
        <w:rPr>
          <w:sz w:val="24"/>
          <w:lang w:val="en-US"/>
        </w:rPr>
      </w:pPr>
      <w:r w:rsidRPr="00CF597E">
        <w:rPr>
          <w:b/>
          <w:sz w:val="24"/>
          <w:lang w:val="en-US"/>
        </w:rPr>
        <w:t xml:space="preserve">Class 4 </w:t>
      </w:r>
      <w:r w:rsidRPr="00CF597E">
        <w:rPr>
          <w:sz w:val="24"/>
          <w:lang w:val="en-US"/>
        </w:rPr>
        <w:t xml:space="preserve">covers activities of high risk. The application procedures are the same as for class 3.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classification and notification/application procedures of GM-plants are similar to those for GMMs</w:t>
      </w:r>
      <w:r>
        <w:rPr>
          <w:sz w:val="24"/>
          <w:lang w:val="en-US"/>
        </w:rPr>
        <w:t xml:space="preserve"> (four risk classes)</w:t>
      </w:r>
      <w:proofErr w:type="gramStart"/>
      <w:r w:rsidRPr="00CF597E">
        <w:rPr>
          <w:sz w:val="24"/>
          <w:lang w:val="en-US"/>
        </w:rPr>
        <w:t>,</w:t>
      </w:r>
      <w:proofErr w:type="gramEnd"/>
      <w:r w:rsidRPr="00CF597E">
        <w:rPr>
          <w:sz w:val="24"/>
          <w:lang w:val="en-US"/>
        </w:rPr>
        <w:t xml:space="preserve"> whereas the GM-animals are classified to two risk classes only. The notification procedures for GM-animal in the lower risk Class 1 are similar to those for Class 1 GMMs. For Class 2 GM-animal use, the same procedures apply as for Class 3 or 4 GMM use.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 xml:space="preserve">Should there be indications of risk to human or animal health or environment, the Board can restrict or prohibit the </w:t>
      </w:r>
      <w:proofErr w:type="spellStart"/>
      <w:r w:rsidRPr="00CF597E">
        <w:rPr>
          <w:sz w:val="24"/>
          <w:lang w:val="en-US"/>
        </w:rPr>
        <w:t>notifier</w:t>
      </w:r>
      <w:proofErr w:type="spellEnd"/>
      <w:r w:rsidRPr="00CF597E">
        <w:rPr>
          <w:sz w:val="24"/>
          <w:lang w:val="en-US"/>
        </w:rPr>
        <w:t xml:space="preserve"> from continuing their </w:t>
      </w:r>
      <w:r>
        <w:rPr>
          <w:sz w:val="24"/>
          <w:lang w:val="en-US"/>
        </w:rPr>
        <w:t xml:space="preserve">GMO </w:t>
      </w:r>
      <w:r w:rsidRPr="00CF597E">
        <w:rPr>
          <w:sz w:val="24"/>
          <w:lang w:val="en-US"/>
        </w:rPr>
        <w:t>activit</w:t>
      </w:r>
      <w:r>
        <w:rPr>
          <w:sz w:val="24"/>
          <w:lang w:val="en-US"/>
        </w:rPr>
        <w:t>ies</w:t>
      </w:r>
      <w:r w:rsidRPr="00CF597E">
        <w:rPr>
          <w:sz w:val="24"/>
          <w:lang w:val="en-US"/>
        </w:rPr>
        <w:t xml:space="preserve"> regar</w:t>
      </w:r>
      <w:r w:rsidRPr="00CF597E">
        <w:rPr>
          <w:sz w:val="24"/>
          <w:lang w:val="en-US"/>
        </w:rPr>
        <w:t>d</w:t>
      </w:r>
      <w:r w:rsidRPr="00CF597E">
        <w:rPr>
          <w:sz w:val="24"/>
          <w:lang w:val="en-US"/>
        </w:rPr>
        <w:t>less of the risk class.</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b/>
          <w:sz w:val="24"/>
          <w:lang w:val="en-US"/>
        </w:rPr>
      </w:pPr>
      <w:r w:rsidRPr="00CF597E">
        <w:rPr>
          <w:b/>
          <w:sz w:val="24"/>
          <w:lang w:val="en-US"/>
        </w:rPr>
        <w:t xml:space="preserve">Gene </w:t>
      </w:r>
      <w:proofErr w:type="gramStart"/>
      <w:r w:rsidRPr="00CF597E">
        <w:rPr>
          <w:b/>
          <w:sz w:val="24"/>
          <w:lang w:val="en-US"/>
        </w:rPr>
        <w:t>technology register</w:t>
      </w:r>
      <w:proofErr w:type="gramEnd"/>
      <w:r w:rsidRPr="00CF597E">
        <w:rPr>
          <w:b/>
          <w:sz w:val="24"/>
          <w:lang w:val="en-US"/>
        </w:rPr>
        <w:t>:</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The notifications and applications of contained use of GMOs as well as any Board d</w:t>
      </w:r>
      <w:r w:rsidRPr="00CF597E">
        <w:rPr>
          <w:sz w:val="24"/>
          <w:lang w:val="en-US"/>
        </w:rPr>
        <w:t>e</w:t>
      </w:r>
      <w:r w:rsidRPr="00CF597E">
        <w:rPr>
          <w:sz w:val="24"/>
          <w:lang w:val="en-US"/>
        </w:rPr>
        <w:t>cisions or supervision documents on them are collected in a national register which is used by the authorities. There are currently approximately 380 contained use operators having valid notifications/applications listed in the gene technology register. The vast majority of these are university research groups doing basic research, with very few biotechnology companies. 80-90 % of the GMO work is made with GMMs, and a m</w:t>
      </w:r>
      <w:r w:rsidRPr="00CF597E">
        <w:rPr>
          <w:sz w:val="24"/>
          <w:lang w:val="en-US"/>
        </w:rPr>
        <w:t>a</w:t>
      </w:r>
      <w:r w:rsidRPr="00CF597E">
        <w:rPr>
          <w:sz w:val="24"/>
          <w:lang w:val="en-US"/>
        </w:rPr>
        <w:t>jority of that work is medical research by nature. Annually the Board handles 30-40 new notifications/applications; minor changes and updates for the notific</w:t>
      </w:r>
      <w:r w:rsidRPr="00CF597E">
        <w:rPr>
          <w:sz w:val="24"/>
          <w:lang w:val="en-US"/>
        </w:rPr>
        <w:t>a</w:t>
      </w:r>
      <w:r w:rsidRPr="00CF597E">
        <w:rPr>
          <w:sz w:val="24"/>
          <w:lang w:val="en-US"/>
        </w:rPr>
        <w:t xml:space="preserve">tions/applications are not included in this number. The number of different recipient organisms in contained use is more than 250, most of them micro-organisms.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b/>
          <w:sz w:val="24"/>
          <w:lang w:val="en-US"/>
        </w:rPr>
      </w:pPr>
      <w:r w:rsidRPr="00CF597E">
        <w:rPr>
          <w:b/>
          <w:sz w:val="24"/>
          <w:lang w:val="en-US"/>
        </w:rPr>
        <w:t xml:space="preserve">Experiences with contained use of genetically modified organisms </w:t>
      </w:r>
    </w:p>
    <w:p w:rsidR="00CF597E" w:rsidRPr="00CF597E" w:rsidRDefault="00CF597E" w:rsidP="00CF597E">
      <w:pPr>
        <w:spacing w:line="276" w:lineRule="auto"/>
        <w:ind w:left="1276"/>
        <w:rPr>
          <w:b/>
          <w:sz w:val="24"/>
          <w:lang w:val="en-US"/>
        </w:rPr>
      </w:pPr>
    </w:p>
    <w:p w:rsidR="00CF597E" w:rsidRPr="00CF597E" w:rsidRDefault="00CF597E" w:rsidP="00CF597E">
      <w:pPr>
        <w:spacing w:line="276" w:lineRule="auto"/>
        <w:ind w:left="1276"/>
        <w:rPr>
          <w:i/>
          <w:sz w:val="24"/>
          <w:lang w:val="en-US"/>
        </w:rPr>
      </w:pPr>
      <w:r w:rsidRPr="00CF597E">
        <w:rPr>
          <w:i/>
          <w:sz w:val="24"/>
          <w:lang w:val="en-US"/>
        </w:rPr>
        <w:t>GM micro-organisms (GMMs):</w:t>
      </w:r>
    </w:p>
    <w:p w:rsidR="00CF597E" w:rsidRPr="00CF597E" w:rsidRDefault="00CF597E" w:rsidP="00CF597E">
      <w:pPr>
        <w:spacing w:line="276" w:lineRule="auto"/>
        <w:ind w:left="1276"/>
        <w:rPr>
          <w:b/>
          <w:sz w:val="24"/>
          <w:lang w:val="en-US"/>
        </w:rPr>
      </w:pPr>
    </w:p>
    <w:p w:rsidR="00CF597E" w:rsidRPr="00CF597E" w:rsidRDefault="00CF597E" w:rsidP="00CF597E">
      <w:pPr>
        <w:spacing w:line="276" w:lineRule="auto"/>
        <w:ind w:left="1276"/>
        <w:rPr>
          <w:sz w:val="24"/>
          <w:lang w:val="en-US"/>
        </w:rPr>
      </w:pPr>
      <w:r w:rsidRPr="00CF597E">
        <w:rPr>
          <w:sz w:val="24"/>
          <w:lang w:val="en-US"/>
        </w:rPr>
        <w:t xml:space="preserve">The licensing process of the contained use of GM plants depends on the risk class as assigned in the risk assessment which the operator must perform </w:t>
      </w:r>
      <w:r w:rsidRPr="00CF597E">
        <w:rPr>
          <w:i/>
          <w:sz w:val="24"/>
          <w:lang w:val="en-US"/>
        </w:rPr>
        <w:t>a priori</w:t>
      </w:r>
      <w:r w:rsidRPr="00CF597E">
        <w:rPr>
          <w:sz w:val="24"/>
          <w:lang w:val="en-US"/>
        </w:rPr>
        <w:t>. In addition to the EU directive 2009/41 /EC, various EU regulations, EFSA guidelines and natio</w:t>
      </w:r>
      <w:r w:rsidRPr="00CF597E">
        <w:rPr>
          <w:sz w:val="24"/>
          <w:lang w:val="en-US"/>
        </w:rPr>
        <w:t>n</w:t>
      </w:r>
      <w:r w:rsidRPr="00CF597E">
        <w:rPr>
          <w:sz w:val="24"/>
          <w:lang w:val="en-US"/>
        </w:rPr>
        <w:t>al regulations on contained use, there is ample international material for both risk a</w:t>
      </w:r>
      <w:r w:rsidRPr="00CF597E">
        <w:rPr>
          <w:sz w:val="24"/>
          <w:lang w:val="en-US"/>
        </w:rPr>
        <w:t>s</w:t>
      </w:r>
      <w:r w:rsidRPr="00CF597E">
        <w:rPr>
          <w:sz w:val="24"/>
          <w:lang w:val="en-US"/>
        </w:rPr>
        <w:t>sessment and risk management procedures of GMMs in contained use. The most cha</w:t>
      </w:r>
      <w:r w:rsidRPr="00CF597E">
        <w:rPr>
          <w:sz w:val="24"/>
          <w:lang w:val="en-US"/>
        </w:rPr>
        <w:t>l</w:t>
      </w:r>
      <w:r w:rsidRPr="00CF597E">
        <w:rPr>
          <w:sz w:val="24"/>
          <w:lang w:val="en-US"/>
        </w:rPr>
        <w:t>lenging issue is often assignment of the appropriate risk class, as the classification may differ from the initial risk classification of the host organism due to the genetic mod</w:t>
      </w:r>
      <w:r w:rsidRPr="00CF597E">
        <w:rPr>
          <w:sz w:val="24"/>
          <w:lang w:val="en-US"/>
        </w:rPr>
        <w:t>i</w:t>
      </w:r>
      <w:r w:rsidRPr="00CF597E">
        <w:rPr>
          <w:sz w:val="24"/>
          <w:lang w:val="en-US"/>
        </w:rPr>
        <w:t xml:space="preserve">fication and/or earlier attenuation of the host strain.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i/>
          <w:sz w:val="24"/>
          <w:lang w:val="en-US"/>
        </w:rPr>
      </w:pPr>
      <w:r w:rsidRPr="00CF597E">
        <w:rPr>
          <w:i/>
          <w:sz w:val="24"/>
          <w:lang w:val="en-US"/>
        </w:rPr>
        <w:lastRenderedPageBreak/>
        <w:t>GM plants:</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As for GMMs, the licensing process of the contained use of GM plants depends on the risk class as assigned in the</w:t>
      </w:r>
      <w:r w:rsidRPr="00CF597E">
        <w:rPr>
          <w:i/>
          <w:sz w:val="24"/>
          <w:lang w:val="en-US"/>
        </w:rPr>
        <w:t xml:space="preserve"> </w:t>
      </w:r>
      <w:r w:rsidRPr="00CF597E">
        <w:rPr>
          <w:sz w:val="24"/>
          <w:lang w:val="en-US"/>
        </w:rPr>
        <w:t xml:space="preserve">risk assessment which the operator must perform </w:t>
      </w:r>
      <w:r w:rsidRPr="00CF597E">
        <w:rPr>
          <w:i/>
          <w:sz w:val="24"/>
          <w:lang w:val="en-US"/>
        </w:rPr>
        <w:t>a priori</w:t>
      </w:r>
      <w:r w:rsidRPr="00CF597E">
        <w:rPr>
          <w:sz w:val="24"/>
          <w:lang w:val="en-US"/>
        </w:rPr>
        <w:t>. The Board provides guidelines for the risk assessment on its internet page, including recommendations for the use or certain plant species or waste management procedures for GM plants. As the final risk class is determined by a combination of different fa</w:t>
      </w:r>
      <w:r w:rsidRPr="00CF597E">
        <w:rPr>
          <w:sz w:val="24"/>
          <w:lang w:val="en-US"/>
        </w:rPr>
        <w:t>c</w:t>
      </w:r>
      <w:r w:rsidRPr="00CF597E">
        <w:rPr>
          <w:sz w:val="24"/>
          <w:lang w:val="en-US"/>
        </w:rPr>
        <w:t>tors (e.g. of the GM plant species, the modified trait, premises to be used, nature of the work, relevant environment, and seasonal variation), the isolation procedures and ot</w:t>
      </w:r>
      <w:r w:rsidRPr="00CF597E">
        <w:rPr>
          <w:sz w:val="24"/>
          <w:lang w:val="en-US"/>
        </w:rPr>
        <w:t>h</w:t>
      </w:r>
      <w:r w:rsidRPr="00CF597E">
        <w:rPr>
          <w:sz w:val="24"/>
          <w:lang w:val="en-US"/>
        </w:rPr>
        <w:t>er requirements for the contained use must often be tailored case-by-case. There have not been any cases of unintended release of GM-plants or their reproductive organs i</w:t>
      </w:r>
      <w:r w:rsidRPr="00CF597E">
        <w:rPr>
          <w:sz w:val="24"/>
          <w:lang w:val="en-US"/>
        </w:rPr>
        <w:t>n</w:t>
      </w:r>
      <w:r w:rsidRPr="00CF597E">
        <w:rPr>
          <w:sz w:val="24"/>
          <w:lang w:val="en-US"/>
        </w:rPr>
        <w:t xml:space="preserve">to the environment from contained use.  </w:t>
      </w:r>
    </w:p>
    <w:p w:rsidR="00CF597E" w:rsidRPr="00CF597E" w:rsidRDefault="00CF597E" w:rsidP="00CF597E">
      <w:pPr>
        <w:spacing w:line="276" w:lineRule="auto"/>
        <w:ind w:left="1276"/>
        <w:rPr>
          <w:i/>
          <w:sz w:val="24"/>
          <w:lang w:val="en-US"/>
        </w:rPr>
      </w:pPr>
    </w:p>
    <w:p w:rsidR="00CF597E" w:rsidRPr="00CF597E" w:rsidRDefault="00CF597E" w:rsidP="00CF597E">
      <w:pPr>
        <w:spacing w:line="276" w:lineRule="auto"/>
        <w:ind w:left="1276"/>
        <w:rPr>
          <w:i/>
          <w:sz w:val="24"/>
          <w:lang w:val="en-US"/>
        </w:rPr>
      </w:pPr>
      <w:r w:rsidRPr="00CF597E">
        <w:rPr>
          <w:i/>
          <w:sz w:val="24"/>
          <w:lang w:val="en-US"/>
        </w:rPr>
        <w:t xml:space="preserve">GM animals: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r w:rsidRPr="00CF597E">
        <w:rPr>
          <w:sz w:val="24"/>
          <w:lang w:val="en-US"/>
        </w:rPr>
        <w:t xml:space="preserve">As for GMMs or GM plants, the licensing process of the contained use of GM animals depends on the risk class as assigned in the risk assessment which the operator must perform a priori. The requirements for the risk assessment are stated in the </w:t>
      </w:r>
      <w:r w:rsidRPr="00CF597E">
        <w:rPr>
          <w:i/>
          <w:sz w:val="24"/>
          <w:lang w:val="en-US"/>
        </w:rPr>
        <w:t>Decree of the Ministry of Social Affairs and Health on principles of risk assessment of the co</w:t>
      </w:r>
      <w:r w:rsidRPr="00CF597E">
        <w:rPr>
          <w:i/>
          <w:sz w:val="24"/>
          <w:lang w:val="en-US"/>
        </w:rPr>
        <w:t>n</w:t>
      </w:r>
      <w:r w:rsidRPr="00CF597E">
        <w:rPr>
          <w:i/>
          <w:sz w:val="24"/>
          <w:lang w:val="en-US"/>
        </w:rPr>
        <w:t>tained use of genetically modified animals, on classification of the contained use, and on containment and other protective measures (771/2014)</w:t>
      </w:r>
      <w:r w:rsidRPr="00CF597E">
        <w:rPr>
          <w:sz w:val="24"/>
          <w:lang w:val="en-US"/>
        </w:rPr>
        <w:t>. Further guidance on GM-animals is being planned, however, providing general rules for the classification of GM-animals or giving detailed recommendations on the isolation measures has proven challenging due to the hugely variable nature of animal kingdom. Test animal regul</w:t>
      </w:r>
      <w:r w:rsidRPr="00CF597E">
        <w:rPr>
          <w:sz w:val="24"/>
          <w:lang w:val="en-US"/>
        </w:rPr>
        <w:t>a</w:t>
      </w:r>
      <w:r w:rsidRPr="00CF597E">
        <w:rPr>
          <w:sz w:val="24"/>
          <w:lang w:val="en-US"/>
        </w:rPr>
        <w:t xml:space="preserve">tions cover also GM-animals, although with a more narrow scope, as GM regulations cover all invertebrates. Almost all GM-animal work in Finland is made with few well-known model organisms, such as mice, zebra fish, </w:t>
      </w:r>
      <w:r w:rsidRPr="00CF597E">
        <w:rPr>
          <w:i/>
          <w:sz w:val="24"/>
          <w:lang w:val="en-US"/>
        </w:rPr>
        <w:t>Caenorhabditis</w:t>
      </w:r>
      <w:r w:rsidRPr="00CF597E">
        <w:rPr>
          <w:sz w:val="24"/>
          <w:lang w:val="en-US"/>
        </w:rPr>
        <w:t xml:space="preserve"> and </w:t>
      </w:r>
      <w:r w:rsidRPr="00CF597E">
        <w:rPr>
          <w:i/>
          <w:sz w:val="24"/>
          <w:lang w:val="en-US"/>
        </w:rPr>
        <w:t>Drosophila</w:t>
      </w:r>
      <w:r w:rsidRPr="00CF597E">
        <w:rPr>
          <w:sz w:val="24"/>
          <w:lang w:val="en-US"/>
        </w:rPr>
        <w:t>. There have not been any cases of unintended release of GM animals or their reprodu</w:t>
      </w:r>
      <w:r w:rsidRPr="00CF597E">
        <w:rPr>
          <w:sz w:val="24"/>
          <w:lang w:val="en-US"/>
        </w:rPr>
        <w:t>c</w:t>
      </w:r>
      <w:r w:rsidRPr="00CF597E">
        <w:rPr>
          <w:sz w:val="24"/>
          <w:lang w:val="en-US"/>
        </w:rPr>
        <w:t xml:space="preserve">tive tissues into the environment from contained use.  </w:t>
      </w: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p>
    <w:p w:rsidR="00CF597E" w:rsidRPr="00CF597E" w:rsidRDefault="00CF597E" w:rsidP="00CF597E">
      <w:pPr>
        <w:spacing w:line="276" w:lineRule="auto"/>
        <w:ind w:left="1276"/>
        <w:rPr>
          <w:sz w:val="24"/>
          <w:lang w:val="en-US"/>
        </w:rPr>
      </w:pPr>
    </w:p>
    <w:p w:rsidR="00CF5A91" w:rsidRPr="00CF597E" w:rsidRDefault="00CF5A91" w:rsidP="00BC6CB7">
      <w:pPr>
        <w:spacing w:line="276" w:lineRule="auto"/>
        <w:ind w:left="1276"/>
        <w:rPr>
          <w:sz w:val="24"/>
          <w:lang w:val="en-US"/>
        </w:rPr>
      </w:pPr>
    </w:p>
    <w:p w:rsidR="006D4105" w:rsidRDefault="005450EC" w:rsidP="00BC6CB7">
      <w:pPr>
        <w:spacing w:line="276" w:lineRule="auto"/>
        <w:ind w:left="1276"/>
        <w:rPr>
          <w:sz w:val="24"/>
        </w:rPr>
      </w:pPr>
      <w:proofErr w:type="spellStart"/>
      <w:r>
        <w:rPr>
          <w:sz w:val="24"/>
        </w:rPr>
        <w:t>Secretary</w:t>
      </w:r>
      <w:proofErr w:type="spellEnd"/>
      <w:r>
        <w:rPr>
          <w:sz w:val="24"/>
        </w:rPr>
        <w:t xml:space="preserve"> General </w:t>
      </w:r>
      <w:r w:rsidR="006D4105">
        <w:rPr>
          <w:sz w:val="24"/>
        </w:rPr>
        <w:tab/>
      </w:r>
      <w:r w:rsidR="006D4105">
        <w:rPr>
          <w:sz w:val="24"/>
        </w:rPr>
        <w:tab/>
        <w:t>Kirsi Törmäka</w:t>
      </w:r>
      <w:r w:rsidR="006D4105">
        <w:rPr>
          <w:sz w:val="24"/>
        </w:rPr>
        <w:t>n</w:t>
      </w:r>
      <w:r w:rsidR="006D4105">
        <w:rPr>
          <w:sz w:val="24"/>
        </w:rPr>
        <w:t>gas</w:t>
      </w:r>
    </w:p>
    <w:p w:rsidR="000A0135" w:rsidRDefault="000A0135" w:rsidP="00BC6CB7">
      <w:pPr>
        <w:spacing w:line="276" w:lineRule="auto"/>
        <w:ind w:left="1276"/>
        <w:rPr>
          <w:sz w:val="24"/>
        </w:rPr>
      </w:pPr>
      <w:bookmarkStart w:id="0" w:name="_GoBack"/>
      <w:bookmarkEnd w:id="0"/>
    </w:p>
    <w:p w:rsidR="000A0135" w:rsidRDefault="000A0135" w:rsidP="00BC6CB7">
      <w:pPr>
        <w:spacing w:line="276" w:lineRule="auto"/>
        <w:ind w:left="1276"/>
        <w:rPr>
          <w:sz w:val="24"/>
        </w:rPr>
      </w:pPr>
    </w:p>
    <w:p w:rsidR="000A0135" w:rsidRDefault="000A0135" w:rsidP="00BC6CB7">
      <w:pPr>
        <w:spacing w:line="276" w:lineRule="auto"/>
        <w:ind w:left="1276"/>
        <w:rPr>
          <w:sz w:val="24"/>
        </w:rPr>
      </w:pPr>
    </w:p>
    <w:p w:rsidR="000A0135" w:rsidRDefault="000A0135" w:rsidP="00BC6CB7">
      <w:pPr>
        <w:spacing w:line="276" w:lineRule="auto"/>
        <w:ind w:left="1276"/>
        <w:rPr>
          <w:sz w:val="24"/>
        </w:rPr>
      </w:pPr>
    </w:p>
    <w:p w:rsidR="000A0135" w:rsidRDefault="000A0135" w:rsidP="00BC6CB7">
      <w:pPr>
        <w:spacing w:line="276" w:lineRule="auto"/>
        <w:ind w:left="1276"/>
        <w:rPr>
          <w:sz w:val="24"/>
        </w:rPr>
      </w:pPr>
    </w:p>
    <w:p w:rsidR="00186AC4" w:rsidRPr="00616098" w:rsidRDefault="00186AC4" w:rsidP="00BC6CB7">
      <w:pPr>
        <w:pStyle w:val="STMriippuva2"/>
        <w:spacing w:line="276" w:lineRule="auto"/>
        <w:rPr>
          <w:lang w:val="fi-FI"/>
        </w:rPr>
      </w:pPr>
    </w:p>
    <w:sectPr w:rsidR="00186AC4" w:rsidRPr="00616098">
      <w:headerReference w:type="default" r:id="rId11"/>
      <w:footerReference w:type="default" r:id="rId12"/>
      <w:headerReference w:type="first" r:id="rId13"/>
      <w:footerReference w:type="first" r:id="rId14"/>
      <w:pgSz w:w="11906" w:h="16838" w:code="9"/>
      <w:pgMar w:top="567" w:right="1134" w:bottom="1701" w:left="1134"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F7" w:rsidRDefault="000723F7">
      <w:r>
        <w:separator/>
      </w:r>
    </w:p>
    <w:p w:rsidR="000723F7" w:rsidRDefault="000723F7"/>
  </w:endnote>
  <w:endnote w:type="continuationSeparator" w:id="0">
    <w:p w:rsidR="000723F7" w:rsidRDefault="000723F7">
      <w:r>
        <w:continuationSeparator/>
      </w:r>
    </w:p>
    <w:p w:rsidR="000723F7" w:rsidRDefault="000723F7"/>
  </w:endnote>
  <w:endnote w:type="continuationNotice" w:id="1">
    <w:p w:rsidR="00C12200" w:rsidRDefault="00C1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0F" w:rsidRDefault="00012CFD">
    <w:pPr>
      <w:pStyle w:val="Alatunniste"/>
      <w:spacing w:line="240" w:lineRule="auto"/>
      <w:rPr>
        <w:sz w:val="2"/>
        <w:szCs w:val="2"/>
      </w:rPr>
    </w:pPr>
    <w:r>
      <w:rPr>
        <w:noProof/>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10" name="Kuva 10"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1E0" w:firstRow="1" w:lastRow="1" w:firstColumn="1" w:lastColumn="1" w:noHBand="0" w:noVBand="0"/>
    </w:tblPr>
    <w:tblGrid>
      <w:gridCol w:w="2988"/>
      <w:gridCol w:w="2286"/>
      <w:gridCol w:w="2268"/>
    </w:tblGrid>
    <w:tr w:rsidR="00AE77E2" w:rsidTr="00887D88">
      <w:tc>
        <w:tcPr>
          <w:tcW w:w="2988" w:type="dxa"/>
        </w:tcPr>
        <w:p w:rsidR="00AE77E2" w:rsidRDefault="00AE77E2" w:rsidP="00887D88">
          <w:pPr>
            <w:pStyle w:val="Alatunniste"/>
          </w:pPr>
          <w:r>
            <w:t>Kirkkokatu 14, Helsinki</w:t>
          </w:r>
        </w:p>
        <w:p w:rsidR="00AE77E2" w:rsidRDefault="00AE77E2" w:rsidP="00887D88">
          <w:pPr>
            <w:pStyle w:val="Alatunniste"/>
          </w:pPr>
          <w:r>
            <w:t>PL 33, 00023 VALTIONEUVOSTO</w:t>
          </w:r>
        </w:p>
        <w:p w:rsidR="00AE77E2" w:rsidRDefault="00ED3571" w:rsidP="00887D88">
          <w:pPr>
            <w:pStyle w:val="Alatunniste"/>
          </w:pPr>
          <w:hyperlink r:id="rId2" w:history="1">
            <w:r w:rsidR="00AE77E2">
              <w:rPr>
                <w:rStyle w:val="Hyperlinkki"/>
              </w:rPr>
              <w:t>www.geenitekniikanlautakunta.fi</w:t>
            </w:r>
          </w:hyperlink>
        </w:p>
        <w:p w:rsidR="00AE77E2" w:rsidRDefault="00AE77E2" w:rsidP="00887D88">
          <w:pPr>
            <w:pStyle w:val="Alatunniste"/>
          </w:pPr>
        </w:p>
      </w:tc>
      <w:tc>
        <w:tcPr>
          <w:tcW w:w="2286" w:type="dxa"/>
        </w:tcPr>
        <w:p w:rsidR="00AE77E2" w:rsidRDefault="00AE77E2" w:rsidP="00887D88">
          <w:pPr>
            <w:pStyle w:val="Alatunniste"/>
            <w:tabs>
              <w:tab w:val="left" w:pos="759"/>
            </w:tabs>
          </w:pPr>
          <w:r>
            <w:t>Puhelin</w:t>
          </w:r>
          <w:r>
            <w:tab/>
          </w:r>
          <w:r w:rsidRPr="003D2677">
            <w:t>0295</w:t>
          </w:r>
          <w:r>
            <w:t xml:space="preserve"> 16001</w:t>
          </w:r>
        </w:p>
        <w:p w:rsidR="00AE77E2" w:rsidRDefault="00AE77E2" w:rsidP="00887D88">
          <w:pPr>
            <w:pStyle w:val="Alatunniste"/>
            <w:tabs>
              <w:tab w:val="left" w:pos="759"/>
            </w:tabs>
            <w:rPr>
              <w:lang w:val="de-DE"/>
            </w:rPr>
          </w:pPr>
        </w:p>
      </w:tc>
      <w:tc>
        <w:tcPr>
          <w:tcW w:w="2268" w:type="dxa"/>
        </w:tcPr>
        <w:p w:rsidR="00AE77E2" w:rsidRPr="004E3ECB" w:rsidRDefault="00AE77E2" w:rsidP="00887D88">
          <w:pPr>
            <w:pStyle w:val="Alatunniste"/>
            <w:rPr>
              <w:lang w:val="en-US"/>
            </w:rPr>
          </w:pPr>
          <w:r w:rsidRPr="004E3ECB">
            <w:rPr>
              <w:lang w:val="en-US"/>
            </w:rPr>
            <w:t>e-mail: gtlk.stm@stm.fi</w:t>
          </w:r>
        </w:p>
        <w:p w:rsidR="00AE77E2" w:rsidRDefault="00AE77E2" w:rsidP="00887D88">
          <w:pPr>
            <w:pStyle w:val="Alatunniste"/>
          </w:pPr>
          <w:r>
            <w:t>etunimi.sukunimi@stm.fi</w:t>
          </w:r>
        </w:p>
        <w:p w:rsidR="00AE77E2" w:rsidRDefault="00AE77E2" w:rsidP="00887D88">
          <w:pPr>
            <w:pStyle w:val="Alatunniste"/>
          </w:pPr>
        </w:p>
      </w:tc>
    </w:tr>
  </w:tbl>
  <w:p w:rsidR="00D93E0F" w:rsidRDefault="00D93E0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988"/>
      <w:gridCol w:w="2286"/>
      <w:gridCol w:w="2268"/>
    </w:tblGrid>
    <w:tr w:rsidR="00D93E0F">
      <w:tc>
        <w:tcPr>
          <w:tcW w:w="2988" w:type="dxa"/>
        </w:tcPr>
        <w:p w:rsidR="00D93E0F" w:rsidRDefault="00D93E0F">
          <w:pPr>
            <w:pStyle w:val="Alatunniste"/>
          </w:pPr>
          <w:r>
            <w:t>Kirkkokatu 14, Helsinki</w:t>
          </w:r>
        </w:p>
        <w:p w:rsidR="00D93E0F" w:rsidRDefault="00D93E0F">
          <w:pPr>
            <w:pStyle w:val="Alatunniste"/>
          </w:pPr>
          <w:r>
            <w:t>PL 33, 00023 VALTIONEUVOSTO</w:t>
          </w:r>
        </w:p>
        <w:p w:rsidR="00CF5A91" w:rsidRDefault="00CF5A91">
          <w:pPr>
            <w:pStyle w:val="Alatunniste"/>
          </w:pPr>
          <w:r>
            <w:t xml:space="preserve">geenitekniikanlautakunta.fi </w:t>
          </w:r>
        </w:p>
        <w:p w:rsidR="00D93E0F" w:rsidRDefault="00D93E0F">
          <w:pPr>
            <w:pStyle w:val="Alatunniste"/>
          </w:pPr>
        </w:p>
      </w:tc>
      <w:tc>
        <w:tcPr>
          <w:tcW w:w="2286" w:type="dxa"/>
        </w:tcPr>
        <w:p w:rsidR="00D93E0F" w:rsidRDefault="003D2677">
          <w:pPr>
            <w:pStyle w:val="Alatunniste"/>
            <w:tabs>
              <w:tab w:val="left" w:pos="759"/>
            </w:tabs>
          </w:pPr>
          <w:r>
            <w:t>Puhelin</w:t>
          </w:r>
          <w:r>
            <w:tab/>
          </w:r>
          <w:r w:rsidRPr="003D2677">
            <w:t>0295</w:t>
          </w:r>
          <w:r>
            <w:t xml:space="preserve"> </w:t>
          </w:r>
          <w:r w:rsidR="00D93E0F">
            <w:t>16001</w:t>
          </w:r>
        </w:p>
        <w:p w:rsidR="00D93E0F" w:rsidRDefault="00D93E0F" w:rsidP="0015422E">
          <w:pPr>
            <w:pStyle w:val="Alatunniste"/>
            <w:tabs>
              <w:tab w:val="left" w:pos="759"/>
            </w:tabs>
            <w:rPr>
              <w:lang w:val="de-DE"/>
            </w:rPr>
          </w:pPr>
        </w:p>
      </w:tc>
      <w:tc>
        <w:tcPr>
          <w:tcW w:w="2268" w:type="dxa"/>
        </w:tcPr>
        <w:p w:rsidR="00D93E0F" w:rsidRPr="004E3ECB" w:rsidRDefault="00D93E0F">
          <w:pPr>
            <w:pStyle w:val="Alatunniste"/>
            <w:rPr>
              <w:lang w:val="en-US"/>
            </w:rPr>
          </w:pPr>
          <w:r w:rsidRPr="004E3ECB">
            <w:rPr>
              <w:lang w:val="en-US"/>
            </w:rPr>
            <w:t>e-mail: gtlk.stm@stm.fi</w:t>
          </w:r>
        </w:p>
        <w:p w:rsidR="00D93E0F" w:rsidRDefault="00D93E0F">
          <w:pPr>
            <w:pStyle w:val="Alatunniste"/>
          </w:pPr>
          <w:r>
            <w:t>etunimi.sukunimi@stm.fi</w:t>
          </w:r>
        </w:p>
        <w:p w:rsidR="00D93E0F" w:rsidRDefault="00D93E0F">
          <w:pPr>
            <w:pStyle w:val="Alatunniste"/>
          </w:pPr>
        </w:p>
      </w:tc>
    </w:tr>
  </w:tbl>
  <w:p w:rsidR="00D93E0F" w:rsidRDefault="00012CFD">
    <w:pPr>
      <w:pStyle w:val="Alatunniste"/>
      <w:spacing w:line="240" w:lineRule="auto"/>
      <w:rPr>
        <w:sz w:val="2"/>
        <w:szCs w:val="2"/>
      </w:rPr>
    </w:pPr>
    <w:r>
      <w:rPr>
        <w:noProof/>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0" t="0" r="0" b="0"/>
          <wp:wrapNone/>
          <wp:docPr id="9" name="Kuva 9"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F7" w:rsidRDefault="000723F7">
      <w:r>
        <w:separator/>
      </w:r>
    </w:p>
    <w:p w:rsidR="000723F7" w:rsidRDefault="000723F7"/>
  </w:footnote>
  <w:footnote w:type="continuationSeparator" w:id="0">
    <w:p w:rsidR="000723F7" w:rsidRDefault="000723F7">
      <w:r>
        <w:continuationSeparator/>
      </w:r>
    </w:p>
    <w:p w:rsidR="000723F7" w:rsidRDefault="000723F7"/>
  </w:footnote>
  <w:footnote w:type="continuationNotice" w:id="1">
    <w:p w:rsidR="00C12200" w:rsidRDefault="00C12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0F" w:rsidRDefault="00D93E0F">
    <w:pPr>
      <w:tabs>
        <w:tab w:val="left" w:pos="5216"/>
        <w:tab w:val="left" w:pos="7825"/>
        <w:tab w:val="left" w:pos="9129"/>
      </w:tabs>
      <w:ind w:right="-555"/>
      <w:rPr>
        <w:rStyle w:val="Sivunumero"/>
        <w:lang w:eastAsia="fi-FI"/>
      </w:rPr>
    </w:pPr>
    <w:r>
      <w:tab/>
    </w:r>
    <w:r>
      <w:tab/>
    </w:r>
    <w:r>
      <w:tab/>
    </w: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ED3571">
      <w:rPr>
        <w:rStyle w:val="Sivunumero"/>
        <w:noProof/>
        <w:lang w:eastAsia="fi-FI"/>
      </w:rPr>
      <w:t>4</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ED3571">
      <w:rPr>
        <w:rStyle w:val="Sivunumero"/>
        <w:noProof/>
        <w:lang w:eastAsia="fi-FI"/>
      </w:rPr>
      <w:t>4</w:t>
    </w:r>
    <w:r>
      <w:rPr>
        <w:rStyle w:val="Sivunumero"/>
        <w:lang w:eastAsia="fi-FI"/>
      </w:rPr>
      <w:fldChar w:fldCharType="end"/>
    </w:r>
    <w:r>
      <w:rPr>
        <w:rStyle w:val="Sivunumero"/>
        <w:lang w:eastAsia="fi-FI"/>
      </w:rPr>
      <w:t>)</w:t>
    </w:r>
  </w:p>
  <w:p w:rsidR="00D93E0F" w:rsidRDefault="00D93E0F">
    <w:pPr>
      <w:tabs>
        <w:tab w:val="left" w:pos="5216"/>
        <w:tab w:val="left" w:pos="7825"/>
        <w:tab w:val="left" w:pos="9129"/>
      </w:tabs>
      <w:ind w:right="-555"/>
      <w:rPr>
        <w:rStyle w:val="Sivunumero"/>
        <w:lang w:eastAsia="fi-FI"/>
      </w:rPr>
    </w:pPr>
  </w:p>
  <w:p w:rsidR="00D93E0F" w:rsidRDefault="00D93E0F">
    <w:pPr>
      <w:tabs>
        <w:tab w:val="left" w:pos="5216"/>
        <w:tab w:val="left" w:pos="7825"/>
        <w:tab w:val="left" w:pos="9129"/>
      </w:tabs>
      <w:ind w:right="-555"/>
      <w:rPr>
        <w:rStyle w:val="Sivunumero"/>
        <w:lang w:eastAsia="fi-FI"/>
      </w:rPr>
    </w:pPr>
  </w:p>
  <w:p w:rsidR="00D93E0F" w:rsidRDefault="00D93E0F">
    <w:pPr>
      <w:pStyle w:val="Yltunniste"/>
      <w:tabs>
        <w:tab w:val="clear" w:pos="4819"/>
        <w:tab w:val="clear" w:pos="9638"/>
        <w:tab w:val="left" w:pos="5216"/>
        <w:tab w:val="left" w:pos="7825"/>
        <w:tab w:val="left" w:pos="9129"/>
      </w:tabs>
      <w:ind w:right="-555"/>
      <w:rPr>
        <w:sz w:val="20"/>
        <w:lang w:eastAsia="en-US"/>
      </w:rPr>
    </w:pPr>
  </w:p>
  <w:p w:rsidR="00D93E0F" w:rsidRDefault="00D93E0F">
    <w:pPr>
      <w:ind w:right="-555"/>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tblLayout w:type="fixed"/>
      <w:tblCellMar>
        <w:left w:w="0" w:type="dxa"/>
        <w:right w:w="0" w:type="dxa"/>
      </w:tblCellMar>
      <w:tblLook w:val="0000" w:firstRow="0" w:lastRow="0" w:firstColumn="0" w:lastColumn="0" w:noHBand="0" w:noVBand="0"/>
    </w:tblPr>
    <w:tblGrid>
      <w:gridCol w:w="4255"/>
      <w:gridCol w:w="3683"/>
      <w:gridCol w:w="1247"/>
      <w:gridCol w:w="998"/>
    </w:tblGrid>
    <w:tr w:rsidR="00D93E0F" w:rsidTr="00BC6CB7">
      <w:trPr>
        <w:cantSplit/>
      </w:trPr>
      <w:tc>
        <w:tcPr>
          <w:tcW w:w="4255" w:type="dxa"/>
          <w:vMerge w:val="restart"/>
        </w:tcPr>
        <w:p w:rsidR="00D93E0F" w:rsidRDefault="00012CFD">
          <w:pPr>
            <w:pStyle w:val="STMnormaali"/>
          </w:pPr>
          <w:r>
            <w:rPr>
              <w:noProof/>
              <w:lang w:eastAsia="fi-FI"/>
            </w:rPr>
            <w:drawing>
              <wp:anchor distT="0" distB="0" distL="114300" distR="114300" simplePos="0" relativeHeight="251656704" behindDoc="0" locked="1" layoutInCell="1" allowOverlap="1" wp14:anchorId="31A64CFE" wp14:editId="53E47BD9">
                <wp:simplePos x="0" y="0"/>
                <wp:positionH relativeFrom="page">
                  <wp:posOffset>-102870</wp:posOffset>
                </wp:positionH>
                <wp:positionV relativeFrom="page">
                  <wp:posOffset>-107950</wp:posOffset>
                </wp:positionV>
                <wp:extent cx="1362075" cy="361950"/>
                <wp:effectExtent l="0" t="0" r="0" b="0"/>
                <wp:wrapNone/>
                <wp:docPr id="8" name="Kuva 8"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3" w:type="dxa"/>
          <w:tcMar>
            <w:right w:w="284" w:type="dxa"/>
          </w:tcMar>
        </w:tcPr>
        <w:p w:rsidR="00D93E0F" w:rsidRDefault="00D93E0F">
          <w:pPr>
            <w:pStyle w:val="STMnormaali"/>
            <w:rPr>
              <w:bCs/>
            </w:rPr>
          </w:pPr>
        </w:p>
      </w:tc>
      <w:tc>
        <w:tcPr>
          <w:tcW w:w="1247" w:type="dxa"/>
        </w:tcPr>
        <w:p w:rsidR="00D93E0F" w:rsidRDefault="00D93E0F">
          <w:pPr>
            <w:pStyle w:val="STMnormaali"/>
          </w:pPr>
        </w:p>
      </w:tc>
      <w:tc>
        <w:tcPr>
          <w:tcW w:w="998" w:type="dxa"/>
        </w:tcPr>
        <w:p w:rsidR="00D93E0F" w:rsidRDefault="00D93E0F">
          <w:pPr>
            <w:pStyle w:val="STMnormaali"/>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995DA1">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995DA1">
            <w:rPr>
              <w:rStyle w:val="Sivunumero"/>
              <w:noProof/>
              <w:lang w:eastAsia="fi-FI"/>
            </w:rPr>
            <w:t>5</w:t>
          </w:r>
          <w:r>
            <w:rPr>
              <w:rStyle w:val="Sivunumero"/>
              <w:lang w:eastAsia="fi-FI"/>
            </w:rPr>
            <w:fldChar w:fldCharType="end"/>
          </w:r>
          <w:r>
            <w:rPr>
              <w:rStyle w:val="Sivunumero"/>
              <w:lang w:eastAsia="fi-FI"/>
            </w:rPr>
            <w:t>)</w:t>
          </w:r>
        </w:p>
      </w:tc>
    </w:tr>
    <w:tr w:rsidR="00D93E0F" w:rsidTr="00BC6CB7">
      <w:trPr>
        <w:cantSplit/>
      </w:trPr>
      <w:tc>
        <w:tcPr>
          <w:tcW w:w="4255" w:type="dxa"/>
          <w:vMerge/>
        </w:tcPr>
        <w:p w:rsidR="00D93E0F" w:rsidRDefault="00D93E0F">
          <w:pPr>
            <w:pStyle w:val="STMnormaali"/>
            <w:rPr>
              <w:rStyle w:val="Sivunumero"/>
              <w:lang w:eastAsia="fi-FI"/>
            </w:rPr>
          </w:pPr>
        </w:p>
      </w:tc>
      <w:tc>
        <w:tcPr>
          <w:tcW w:w="3683" w:type="dxa"/>
          <w:tcMar>
            <w:right w:w="284" w:type="dxa"/>
          </w:tcMar>
        </w:tcPr>
        <w:p w:rsidR="00D93E0F" w:rsidRDefault="00D93E0F">
          <w:pPr>
            <w:pStyle w:val="STMnormaali"/>
            <w:rPr>
              <w:rStyle w:val="Sivunumero"/>
              <w:lang w:eastAsia="fi-FI"/>
            </w:rPr>
          </w:pPr>
        </w:p>
      </w:tc>
      <w:tc>
        <w:tcPr>
          <w:tcW w:w="1247" w:type="dxa"/>
        </w:tcPr>
        <w:p w:rsidR="00D93E0F" w:rsidRDefault="00D93E0F">
          <w:pPr>
            <w:pStyle w:val="STMnormaali"/>
            <w:rPr>
              <w:rStyle w:val="Sivunumero"/>
              <w:lang w:eastAsia="fi-FI"/>
            </w:rPr>
          </w:pPr>
        </w:p>
      </w:tc>
      <w:tc>
        <w:tcPr>
          <w:tcW w:w="998" w:type="dxa"/>
        </w:tcPr>
        <w:p w:rsidR="00D93E0F" w:rsidRDefault="00D93E0F">
          <w:pPr>
            <w:pStyle w:val="STMnormaali"/>
            <w:rPr>
              <w:rStyle w:val="Sivunumero"/>
              <w:lang w:eastAsia="fi-FI"/>
            </w:rPr>
          </w:pPr>
        </w:p>
      </w:tc>
    </w:tr>
    <w:tr w:rsidR="00D93E0F" w:rsidTr="00BC6CB7">
      <w:tc>
        <w:tcPr>
          <w:tcW w:w="4255" w:type="dxa"/>
        </w:tcPr>
        <w:p w:rsidR="00D93E0F" w:rsidRDefault="005450EC" w:rsidP="005450EC">
          <w:pPr>
            <w:pStyle w:val="STMnormaali"/>
            <w:rPr>
              <w:rStyle w:val="Sivunumero"/>
              <w:lang w:eastAsia="fi-FI"/>
            </w:rPr>
          </w:pPr>
          <w:r>
            <w:rPr>
              <w:rStyle w:val="Sivunumero"/>
              <w:lang w:eastAsia="fi-FI"/>
            </w:rPr>
            <w:t xml:space="preserve">Board for </w:t>
          </w:r>
          <w:proofErr w:type="spellStart"/>
          <w:r>
            <w:rPr>
              <w:rStyle w:val="Sivunumero"/>
              <w:lang w:eastAsia="fi-FI"/>
            </w:rPr>
            <w:t>Gene</w:t>
          </w:r>
          <w:proofErr w:type="spellEnd"/>
          <w:r>
            <w:rPr>
              <w:rStyle w:val="Sivunumero"/>
              <w:lang w:eastAsia="fi-FI"/>
            </w:rPr>
            <w:t xml:space="preserve"> Technology</w:t>
          </w:r>
        </w:p>
      </w:tc>
      <w:tc>
        <w:tcPr>
          <w:tcW w:w="3683" w:type="dxa"/>
          <w:tcMar>
            <w:right w:w="284" w:type="dxa"/>
          </w:tcMar>
        </w:tcPr>
        <w:p w:rsidR="00D93E0F" w:rsidRDefault="00D93E0F">
          <w:pPr>
            <w:pStyle w:val="STMnormaali"/>
            <w:rPr>
              <w:rStyle w:val="Sivunumero"/>
              <w:lang w:eastAsia="fi-FI"/>
            </w:rPr>
          </w:pPr>
        </w:p>
      </w:tc>
      <w:tc>
        <w:tcPr>
          <w:tcW w:w="2245" w:type="dxa"/>
          <w:gridSpan w:val="2"/>
        </w:tcPr>
        <w:p w:rsidR="00D93E0F" w:rsidRDefault="00D93E0F" w:rsidP="00B92F48">
          <w:pPr>
            <w:pStyle w:val="STMnormaali"/>
            <w:rPr>
              <w:rStyle w:val="Sivunumero"/>
              <w:lang w:eastAsia="fi-FI"/>
            </w:rPr>
          </w:pPr>
        </w:p>
      </w:tc>
    </w:tr>
    <w:tr w:rsidR="00D93E0F" w:rsidTr="00BC6CB7">
      <w:tc>
        <w:tcPr>
          <w:tcW w:w="4255" w:type="dxa"/>
        </w:tcPr>
        <w:p w:rsidR="00D93E0F" w:rsidRDefault="00D93E0F">
          <w:pPr>
            <w:pStyle w:val="STMnormaali"/>
            <w:rPr>
              <w:rStyle w:val="Sivunumero"/>
              <w:lang w:eastAsia="fi-FI"/>
            </w:rPr>
          </w:pPr>
        </w:p>
      </w:tc>
      <w:tc>
        <w:tcPr>
          <w:tcW w:w="3683" w:type="dxa"/>
          <w:tcMar>
            <w:right w:w="284" w:type="dxa"/>
          </w:tcMar>
        </w:tcPr>
        <w:p w:rsidR="00D93E0F" w:rsidRPr="00A4519C" w:rsidRDefault="00BC6CB7" w:rsidP="005450EC">
          <w:pPr>
            <w:pStyle w:val="STMnormaali"/>
            <w:rPr>
              <w:rStyle w:val="Sivunumero"/>
              <w:b/>
              <w:lang w:eastAsia="fi-FI"/>
            </w:rPr>
          </w:pPr>
          <w:r>
            <w:rPr>
              <w:rStyle w:val="Sivunumero"/>
              <w:lang w:eastAsia="fi-FI"/>
            </w:rPr>
            <w:t>2</w:t>
          </w:r>
          <w:r w:rsidR="005450EC">
            <w:rPr>
              <w:rStyle w:val="Sivunumero"/>
              <w:lang w:eastAsia="fi-FI"/>
            </w:rPr>
            <w:t>5</w:t>
          </w:r>
          <w:r>
            <w:rPr>
              <w:rStyle w:val="Sivunumero"/>
              <w:lang w:eastAsia="fi-FI"/>
            </w:rPr>
            <w:t>.5</w:t>
          </w:r>
          <w:r w:rsidR="00CF5A91">
            <w:rPr>
              <w:rStyle w:val="Sivunumero"/>
              <w:lang w:eastAsia="fi-FI"/>
            </w:rPr>
            <w:t>.201</w:t>
          </w:r>
          <w:r w:rsidR="000D720A">
            <w:rPr>
              <w:rStyle w:val="Sivunumero"/>
              <w:lang w:eastAsia="fi-FI"/>
            </w:rPr>
            <w:t>6</w:t>
          </w:r>
        </w:p>
      </w:tc>
      <w:tc>
        <w:tcPr>
          <w:tcW w:w="1247" w:type="dxa"/>
        </w:tcPr>
        <w:p w:rsidR="00DE3416" w:rsidRPr="0015422E" w:rsidRDefault="00DE3416" w:rsidP="00995DA1">
          <w:pPr>
            <w:pStyle w:val="STMnormaali"/>
            <w:rPr>
              <w:rStyle w:val="Sivunumero"/>
              <w:b/>
              <w:lang w:eastAsia="fi-FI"/>
            </w:rPr>
          </w:pPr>
        </w:p>
      </w:tc>
      <w:tc>
        <w:tcPr>
          <w:tcW w:w="998" w:type="dxa"/>
        </w:tcPr>
        <w:p w:rsidR="00D93E0F" w:rsidRDefault="00D93E0F">
          <w:pPr>
            <w:pStyle w:val="STMnormaali"/>
            <w:rPr>
              <w:rStyle w:val="Sivunumero"/>
              <w:lang w:eastAsia="fi-FI"/>
            </w:rPr>
          </w:pPr>
        </w:p>
      </w:tc>
    </w:tr>
    <w:tr w:rsidR="00D87EDB" w:rsidTr="00BC6CB7">
      <w:tc>
        <w:tcPr>
          <w:tcW w:w="4255" w:type="dxa"/>
        </w:tcPr>
        <w:p w:rsidR="00D87EDB" w:rsidRDefault="00D87EDB">
          <w:pPr>
            <w:pStyle w:val="STMnormaali"/>
            <w:rPr>
              <w:rStyle w:val="Sivunumero"/>
              <w:lang w:eastAsia="fi-FI"/>
            </w:rPr>
          </w:pPr>
        </w:p>
      </w:tc>
      <w:tc>
        <w:tcPr>
          <w:tcW w:w="3683" w:type="dxa"/>
          <w:tcMar>
            <w:right w:w="284" w:type="dxa"/>
          </w:tcMar>
        </w:tcPr>
        <w:p w:rsidR="00D87EDB" w:rsidRDefault="00D87EDB">
          <w:pPr>
            <w:pStyle w:val="STMnormaali"/>
            <w:rPr>
              <w:rStyle w:val="Sivunumero"/>
              <w:lang w:eastAsia="fi-FI"/>
            </w:rPr>
          </w:pPr>
        </w:p>
      </w:tc>
      <w:tc>
        <w:tcPr>
          <w:tcW w:w="1247" w:type="dxa"/>
        </w:tcPr>
        <w:p w:rsidR="00D87EDB" w:rsidRDefault="00D87EDB" w:rsidP="00D87EDB">
          <w:pPr>
            <w:pStyle w:val="STMnormaali"/>
            <w:rPr>
              <w:rStyle w:val="Sivunumero"/>
              <w:lang w:eastAsia="fi-FI"/>
            </w:rPr>
          </w:pPr>
        </w:p>
      </w:tc>
      <w:tc>
        <w:tcPr>
          <w:tcW w:w="998" w:type="dxa"/>
        </w:tcPr>
        <w:p w:rsidR="00D87EDB" w:rsidRDefault="00D87EDB">
          <w:pPr>
            <w:pStyle w:val="STMnormaali"/>
            <w:rPr>
              <w:rStyle w:val="Sivunumero"/>
              <w:lang w:eastAsia="fi-FI"/>
            </w:rPr>
          </w:pPr>
        </w:p>
      </w:tc>
    </w:tr>
  </w:tbl>
  <w:p w:rsidR="00D93E0F" w:rsidRPr="00A4519C" w:rsidRDefault="00D93E0F">
    <w:pPr>
      <w:pStyle w:val="STMnormaali"/>
      <w:rPr>
        <w:b/>
      </w:rPr>
    </w:pPr>
  </w:p>
  <w:p w:rsidR="00D93E0F" w:rsidRDefault="00D93E0F">
    <w:pPr>
      <w:pStyle w:val="STMnormaal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1">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2">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3">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4">
    <w:nsid w:val="46852D45"/>
    <w:multiLevelType w:val="hybridMultilevel"/>
    <w:tmpl w:val="941A5108"/>
    <w:lvl w:ilvl="0" w:tplc="D0C49FF2">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5">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6">
    <w:nsid w:val="57DA7DB6"/>
    <w:multiLevelType w:val="hybridMultilevel"/>
    <w:tmpl w:val="19867F86"/>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7">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8">
    <w:nsid w:val="645D16DD"/>
    <w:multiLevelType w:val="hybridMultilevel"/>
    <w:tmpl w:val="588E9420"/>
    <w:lvl w:ilvl="0" w:tplc="CC10FAA0">
      <w:numFmt w:val="bullet"/>
      <w:lvlText w:val="•"/>
      <w:lvlJc w:val="left"/>
      <w:pPr>
        <w:ind w:left="1305" w:hanging="1305"/>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autoHyphenation/>
  <w:hyphenationZone w:val="357"/>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C"/>
    <w:rsid w:val="0001164F"/>
    <w:rsid w:val="00012CFD"/>
    <w:rsid w:val="00032F9D"/>
    <w:rsid w:val="0004774A"/>
    <w:rsid w:val="000723F7"/>
    <w:rsid w:val="000777AA"/>
    <w:rsid w:val="00087722"/>
    <w:rsid w:val="000A0135"/>
    <w:rsid w:val="000D720A"/>
    <w:rsid w:val="000F0AE2"/>
    <w:rsid w:val="0013527F"/>
    <w:rsid w:val="00140370"/>
    <w:rsid w:val="0015422E"/>
    <w:rsid w:val="0015741F"/>
    <w:rsid w:val="00186AC4"/>
    <w:rsid w:val="001B60BD"/>
    <w:rsid w:val="001D0877"/>
    <w:rsid w:val="001D262C"/>
    <w:rsid w:val="002051AA"/>
    <w:rsid w:val="002321AA"/>
    <w:rsid w:val="00243BEB"/>
    <w:rsid w:val="002601EF"/>
    <w:rsid w:val="0029102F"/>
    <w:rsid w:val="0029142D"/>
    <w:rsid w:val="002E617E"/>
    <w:rsid w:val="002E71C9"/>
    <w:rsid w:val="002F3FC4"/>
    <w:rsid w:val="003037AD"/>
    <w:rsid w:val="00326222"/>
    <w:rsid w:val="00346F84"/>
    <w:rsid w:val="0037074A"/>
    <w:rsid w:val="00380804"/>
    <w:rsid w:val="00390E9B"/>
    <w:rsid w:val="003B172D"/>
    <w:rsid w:val="003D2677"/>
    <w:rsid w:val="003F6D49"/>
    <w:rsid w:val="00432196"/>
    <w:rsid w:val="004613E3"/>
    <w:rsid w:val="00481C99"/>
    <w:rsid w:val="004A055E"/>
    <w:rsid w:val="004D0E4A"/>
    <w:rsid w:val="004E3ECB"/>
    <w:rsid w:val="004E4EC7"/>
    <w:rsid w:val="004E782C"/>
    <w:rsid w:val="00525A9D"/>
    <w:rsid w:val="00526C0B"/>
    <w:rsid w:val="0054101B"/>
    <w:rsid w:val="00541D67"/>
    <w:rsid w:val="005450EC"/>
    <w:rsid w:val="005679AC"/>
    <w:rsid w:val="005964A2"/>
    <w:rsid w:val="005A62DE"/>
    <w:rsid w:val="005C2783"/>
    <w:rsid w:val="005E7DA3"/>
    <w:rsid w:val="00616098"/>
    <w:rsid w:val="006261EB"/>
    <w:rsid w:val="00630C86"/>
    <w:rsid w:val="00673206"/>
    <w:rsid w:val="006C060D"/>
    <w:rsid w:val="006D27FC"/>
    <w:rsid w:val="006D2938"/>
    <w:rsid w:val="006D4105"/>
    <w:rsid w:val="006E11B3"/>
    <w:rsid w:val="006E2375"/>
    <w:rsid w:val="00720626"/>
    <w:rsid w:val="00731A1D"/>
    <w:rsid w:val="0076537A"/>
    <w:rsid w:val="007868F7"/>
    <w:rsid w:val="007A643B"/>
    <w:rsid w:val="007B06CC"/>
    <w:rsid w:val="007C0C04"/>
    <w:rsid w:val="007C4E0F"/>
    <w:rsid w:val="008046D4"/>
    <w:rsid w:val="008062F8"/>
    <w:rsid w:val="00830F99"/>
    <w:rsid w:val="0083454E"/>
    <w:rsid w:val="008363F0"/>
    <w:rsid w:val="00877FEA"/>
    <w:rsid w:val="008838FF"/>
    <w:rsid w:val="00887D88"/>
    <w:rsid w:val="008F1DFE"/>
    <w:rsid w:val="00940748"/>
    <w:rsid w:val="009738BC"/>
    <w:rsid w:val="00995DA1"/>
    <w:rsid w:val="0099633B"/>
    <w:rsid w:val="00A120DF"/>
    <w:rsid w:val="00A4519C"/>
    <w:rsid w:val="00A5499F"/>
    <w:rsid w:val="00AD69BA"/>
    <w:rsid w:val="00AE091D"/>
    <w:rsid w:val="00AE77E2"/>
    <w:rsid w:val="00AE7FEE"/>
    <w:rsid w:val="00AF277D"/>
    <w:rsid w:val="00B329BF"/>
    <w:rsid w:val="00B4504D"/>
    <w:rsid w:val="00B73746"/>
    <w:rsid w:val="00B92F48"/>
    <w:rsid w:val="00BA1F93"/>
    <w:rsid w:val="00BB1A48"/>
    <w:rsid w:val="00BC6888"/>
    <w:rsid w:val="00BC6CB7"/>
    <w:rsid w:val="00BD5E71"/>
    <w:rsid w:val="00BE0BD2"/>
    <w:rsid w:val="00BE31ED"/>
    <w:rsid w:val="00BF4B8D"/>
    <w:rsid w:val="00C12200"/>
    <w:rsid w:val="00C23900"/>
    <w:rsid w:val="00C25D57"/>
    <w:rsid w:val="00C507D8"/>
    <w:rsid w:val="00C72F7A"/>
    <w:rsid w:val="00CA3793"/>
    <w:rsid w:val="00CB23A7"/>
    <w:rsid w:val="00CC022A"/>
    <w:rsid w:val="00CE54B1"/>
    <w:rsid w:val="00CF37BD"/>
    <w:rsid w:val="00CF597E"/>
    <w:rsid w:val="00CF5A91"/>
    <w:rsid w:val="00D23CF9"/>
    <w:rsid w:val="00D76ED2"/>
    <w:rsid w:val="00D82212"/>
    <w:rsid w:val="00D84AB8"/>
    <w:rsid w:val="00D87EDB"/>
    <w:rsid w:val="00D93E0F"/>
    <w:rsid w:val="00DA2543"/>
    <w:rsid w:val="00DC5314"/>
    <w:rsid w:val="00DD2811"/>
    <w:rsid w:val="00DE3416"/>
    <w:rsid w:val="00E0695C"/>
    <w:rsid w:val="00E23989"/>
    <w:rsid w:val="00E27BDA"/>
    <w:rsid w:val="00E55499"/>
    <w:rsid w:val="00E55DD5"/>
    <w:rsid w:val="00E72DAD"/>
    <w:rsid w:val="00E778EB"/>
    <w:rsid w:val="00E92D00"/>
    <w:rsid w:val="00EB6685"/>
    <w:rsid w:val="00EC0F58"/>
    <w:rsid w:val="00ED237D"/>
    <w:rsid w:val="00ED3571"/>
    <w:rsid w:val="00EE20BB"/>
    <w:rsid w:val="00EF0EEA"/>
    <w:rsid w:val="00EF23AB"/>
    <w:rsid w:val="00EF293F"/>
    <w:rsid w:val="00F15465"/>
    <w:rsid w:val="00F42762"/>
    <w:rsid w:val="00F516CE"/>
    <w:rsid w:val="00F57733"/>
    <w:rsid w:val="00FC1FA1"/>
    <w:rsid w:val="00FF0A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2"/>
      <w:szCs w:val="24"/>
      <w:lang w:eastAsia="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lang w:eastAsia="fi-FI"/>
    </w:rPr>
  </w:style>
  <w:style w:type="paragraph" w:styleId="Alatunniste">
    <w:name w:val="footer"/>
    <w:basedOn w:val="Normaali"/>
    <w:link w:val="AlatunnisteChar"/>
    <w:semiHidden/>
    <w:pPr>
      <w:widowControl w:val="0"/>
      <w:tabs>
        <w:tab w:val="center" w:pos="4819"/>
        <w:tab w:val="right" w:pos="9638"/>
      </w:tabs>
      <w:spacing w:line="200" w:lineRule="atLeast"/>
    </w:pPr>
    <w:rPr>
      <w:rFonts w:ascii="Arial" w:hAnsi="Arial"/>
      <w:sz w:val="16"/>
      <w:lang w:eastAsia="fi-FI"/>
    </w:rPr>
  </w:style>
  <w:style w:type="character" w:styleId="Sivunumero">
    <w:name w:val="page number"/>
    <w:basedOn w:val="Kappaleenoletusfontti"/>
    <w:semiHidden/>
  </w:style>
  <w:style w:type="character" w:customStyle="1" w:styleId="allekirjoittaja2c">
    <w:name w:val="allekirjoittaja2c"/>
    <w:rPr>
      <w:rFonts w:ascii="Times New Roman" w:hAnsi="Times New Roman"/>
      <w:sz w:val="24"/>
    </w:rPr>
  </w:style>
  <w:style w:type="paragraph" w:customStyle="1" w:styleId="STMasia">
    <w:name w:val="STMasia"/>
    <w:rPr>
      <w:b/>
      <w:caps/>
      <w:sz w:val="24"/>
    </w:rPr>
  </w:style>
  <w:style w:type="paragraph" w:customStyle="1" w:styleId="logoe">
    <w:name w:val="logoe"/>
    <w:rPr>
      <w:noProof/>
      <w:sz w:val="24"/>
      <w:lang w:val="en-GB" w:eastAsia="en-US"/>
    </w:rPr>
  </w:style>
  <w:style w:type="paragraph" w:customStyle="1" w:styleId="STMalatunniste">
    <w:name w:val="STM alatunniste"/>
    <w:rPr>
      <w:noProof/>
      <w:lang w:val="en-GB" w:eastAsia="en-US"/>
    </w:rPr>
  </w:style>
  <w:style w:type="paragraph" w:customStyle="1" w:styleId="STMesityslista0">
    <w:name w:val="STM esityslista"/>
    <w:pPr>
      <w:numPr>
        <w:numId w:val="1"/>
      </w:numPr>
      <w:spacing w:after="240"/>
      <w:ind w:left="2608" w:hanging="1304"/>
    </w:pPr>
    <w:rPr>
      <w:noProof/>
      <w:sz w:val="24"/>
      <w:lang w:val="en-GB" w:eastAsia="en-US"/>
    </w:rPr>
  </w:style>
  <w:style w:type="paragraph" w:customStyle="1" w:styleId="STMfaxteksti">
    <w:name w:val="STM faxteksti"/>
    <w:pPr>
      <w:ind w:left="1304"/>
    </w:pPr>
    <w:rPr>
      <w:noProof/>
      <w:sz w:val="24"/>
      <w:lang w:val="en-GB" w:eastAsia="en-US"/>
    </w:rPr>
  </w:style>
  <w:style w:type="paragraph" w:customStyle="1" w:styleId="STMleipteksti">
    <w:name w:val="STM leipäteksti"/>
    <w:pPr>
      <w:ind w:left="2608"/>
    </w:pPr>
    <w:rPr>
      <w:sz w:val="22"/>
      <w:lang w:eastAsia="en-US"/>
    </w:rPr>
  </w:style>
  <w:style w:type="paragraph" w:customStyle="1" w:styleId="STMliite">
    <w:name w:val="STM liite"/>
    <w:pPr>
      <w:ind w:left="2608" w:hanging="2608"/>
    </w:pPr>
    <w:rPr>
      <w:noProof/>
      <w:sz w:val="24"/>
      <w:lang w:val="en-GB" w:eastAsia="en-US"/>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eastAsia="en-US"/>
    </w:rPr>
  </w:style>
  <w:style w:type="paragraph" w:customStyle="1" w:styleId="STMotsikko">
    <w:name w:val="STM otsikko"/>
    <w:next w:val="STMleipteksti"/>
    <w:pPr>
      <w:spacing w:after="240"/>
    </w:pPr>
    <w:rPr>
      <w:b/>
      <w:noProof/>
      <w:sz w:val="24"/>
      <w:lang w:val="en-GB" w:eastAsia="en-US"/>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eastAsia="en-US"/>
    </w:rPr>
  </w:style>
  <w:style w:type="paragraph" w:customStyle="1" w:styleId="STMvliotsikko">
    <w:name w:val="STM väliotsikko"/>
    <w:next w:val="STMleipteksti"/>
    <w:pPr>
      <w:ind w:left="1304"/>
    </w:pPr>
    <w:rPr>
      <w:noProof/>
      <w:sz w:val="24"/>
      <w:lang w:val="en-GB" w:eastAsia="en-US"/>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rPr>
      <w:b/>
      <w:caps/>
      <w:noProof/>
      <w:color w:val="000080"/>
      <w:sz w:val="24"/>
      <w:lang w:val="en-GB" w:eastAsia="en-US"/>
    </w:rPr>
  </w:style>
  <w:style w:type="paragraph" w:customStyle="1" w:styleId="stmasia2">
    <w:name w:val="stmasia2"/>
    <w:pPr>
      <w:ind w:left="2608" w:hanging="2608"/>
    </w:pPr>
    <w:rPr>
      <w:b/>
      <w:caps/>
      <w:noProof/>
      <w:color w:val="000080"/>
      <w:sz w:val="24"/>
      <w:lang w:val="en-GB" w:eastAsia="en-US"/>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eastAsia="en-US"/>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Pr>
      <w:noProof/>
      <w:sz w:val="24"/>
      <w:lang w:val="en-GB" w:eastAsia="en-US"/>
    </w:rPr>
  </w:style>
  <w:style w:type="paragraph" w:customStyle="1" w:styleId="stmleipa1">
    <w:name w:val="stmleipa1"/>
    <w:autoRedefine/>
    <w:pPr>
      <w:ind w:left="2608"/>
    </w:pPr>
    <w:rPr>
      <w:noProof/>
      <w:sz w:val="24"/>
      <w:lang w:val="en-GB" w:eastAsia="en-US"/>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eastAsia="en-US"/>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eastAsia="en-US"/>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eastAsia="en-US"/>
    </w:rPr>
  </w:style>
  <w:style w:type="character" w:customStyle="1" w:styleId="stmviiteots">
    <w:name w:val="stmviiteots"/>
    <w:rPr>
      <w:sz w:val="24"/>
    </w:rPr>
  </w:style>
  <w:style w:type="paragraph" w:customStyle="1" w:styleId="stmyksikko">
    <w:name w:val="stmyksikko"/>
    <w:rPr>
      <w:noProof/>
      <w:sz w:val="24"/>
      <w:lang w:val="en-GB" w:eastAsia="en-US"/>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TwebTeksti">
    <w:name w:val="TwebTeksti"/>
    <w:rPr>
      <w:sz w:val="24"/>
    </w:rPr>
  </w:style>
  <w:style w:type="paragraph" w:customStyle="1" w:styleId="STMISO">
    <w:name w:val="STMISO"/>
    <w:rPr>
      <w:caps/>
      <w:sz w:val="24"/>
    </w:rPr>
  </w:style>
  <w:style w:type="paragraph" w:customStyle="1" w:styleId="TwebOtsikko">
    <w:name w:val="TwebOtsikko"/>
    <w:basedOn w:val="TwebTeksti"/>
    <w:next w:val="TwebAsiateksti1"/>
    <w:rPr>
      <w:caps/>
      <w:lang w:eastAsia="en-US"/>
    </w:rPr>
  </w:style>
  <w:style w:type="paragraph" w:customStyle="1" w:styleId="TwebAsiateksti1">
    <w:name w:val="TwebAsiateksti1"/>
    <w:basedOn w:val="TwebTeksti"/>
    <w:pPr>
      <w:ind w:left="2608"/>
    </w:pPr>
    <w:rPr>
      <w:lang w:eastAsia="en-US"/>
    </w:rPr>
  </w:style>
  <w:style w:type="paragraph" w:customStyle="1" w:styleId="TwebLuettelo">
    <w:name w:val="TwebLuettelo"/>
    <w:basedOn w:val="TwebTeksti"/>
    <w:pPr>
      <w:ind w:left="3895" w:hanging="1304"/>
    </w:pPr>
    <w:rPr>
      <w:lang w:eastAsia="en-US"/>
    </w:rPr>
  </w:style>
  <w:style w:type="paragraph" w:customStyle="1" w:styleId="TwebAsiateksti2">
    <w:name w:val="TwebAsiateksti2"/>
    <w:basedOn w:val="TwebTeksti"/>
    <w:pPr>
      <w:ind w:left="2608" w:hanging="2608"/>
    </w:pPr>
    <w:rPr>
      <w:lang w:eastAsia="en-US"/>
    </w:rPr>
  </w:style>
  <w:style w:type="paragraph" w:customStyle="1" w:styleId="TwebYltunniste">
    <w:name w:val="TwebYlätunniste"/>
    <w:basedOn w:val="TwebTeksti"/>
    <w:rPr>
      <w:sz w:val="20"/>
      <w:lang w:eastAsia="en-US"/>
    </w:rPr>
  </w:style>
  <w:style w:type="paragraph" w:customStyle="1" w:styleId="TwebAlatunniste">
    <w:name w:val="TwebAlatunniste"/>
    <w:basedOn w:val="TwebTeksti"/>
    <w:rPr>
      <w:sz w:val="20"/>
      <w:lang w:eastAsia="en-US"/>
    </w:rPr>
  </w:style>
  <w:style w:type="paragraph" w:customStyle="1" w:styleId="TwebTallennustieto">
    <w:name w:val="TwebTallennustieto"/>
    <w:basedOn w:val="TwebTeksti"/>
    <w:rPr>
      <w:sz w:val="18"/>
      <w:lang w:eastAsia="en-US"/>
    </w:rPr>
  </w:style>
  <w:style w:type="paragraph" w:customStyle="1" w:styleId="KuntaToimistoTeksti">
    <w:name w:val="KuntaToimistoTeksti"/>
    <w:rPr>
      <w:sz w:val="24"/>
    </w:rPr>
  </w:style>
  <w:style w:type="paragraph" w:customStyle="1" w:styleId="Asialuettelo">
    <w:name w:val="Asialuettelo"/>
    <w:basedOn w:val="KuntaToimistoTeksti"/>
    <w:pPr>
      <w:ind w:left="3912" w:hanging="1304"/>
    </w:pPr>
  </w:style>
  <w:style w:type="paragraph" w:customStyle="1" w:styleId="Asiaotsikko">
    <w:name w:val="Asiaotsikko"/>
    <w:basedOn w:val="Normaali"/>
    <w:next w:val="Normaali"/>
    <w:pPr>
      <w:tabs>
        <w:tab w:val="left" w:pos="1304"/>
      </w:tabs>
      <w:ind w:left="1304" w:hanging="1304"/>
    </w:pPr>
    <w:rPr>
      <w:b/>
      <w:szCs w:val="20"/>
      <w:lang w:eastAsia="fi-FI"/>
    </w:rPr>
  </w:style>
  <w:style w:type="paragraph" w:customStyle="1" w:styleId="Asiateksti">
    <w:name w:val="Asiateksti"/>
    <w:basedOn w:val="Normaali"/>
    <w:pPr>
      <w:ind w:left="1304" w:hanging="1304"/>
    </w:pPr>
    <w:rPr>
      <w:szCs w:val="20"/>
      <w:lang w:eastAsia="fi-FI"/>
    </w:rPr>
  </w:style>
  <w:style w:type="paragraph" w:styleId="Sisluet1">
    <w:name w:val="toc 1"/>
    <w:basedOn w:val="KuntaToimistoTeksti"/>
    <w:autoRedefine/>
    <w:semiHidden/>
    <w:pPr>
      <w:tabs>
        <w:tab w:val="left" w:pos="1985"/>
        <w:tab w:val="right" w:leader="dot" w:pos="9923"/>
      </w:tabs>
      <w:spacing w:after="240"/>
      <w:ind w:left="1984" w:right="851" w:hanging="680"/>
    </w:pPr>
  </w:style>
  <w:style w:type="paragraph" w:customStyle="1" w:styleId="stmviite1">
    <w:name w:val="stmviite1"/>
    <w:basedOn w:val="stmviite"/>
    <w:next w:val="stmnormaali0"/>
  </w:style>
  <w:style w:type="paragraph" w:styleId="Seliteteksti">
    <w:name w:val="Balloon Text"/>
    <w:basedOn w:val="Normaali"/>
    <w:semiHidden/>
    <w:rPr>
      <w:rFonts w:ascii="Tahoma" w:hAnsi="Tahoma" w:cs="Tahoma"/>
      <w:sz w:val="16"/>
      <w:szCs w:val="16"/>
    </w:rPr>
  </w:style>
  <w:style w:type="character" w:styleId="Hyperlinkki">
    <w:name w:val="Hyperlink"/>
    <w:semiHidden/>
    <w:rPr>
      <w:color w:val="0000FF"/>
      <w:u w:val="single"/>
    </w:rPr>
  </w:style>
  <w:style w:type="paragraph" w:customStyle="1" w:styleId="Sisennys1">
    <w:name w:val="Sisennys1"/>
    <w:basedOn w:val="Normaali"/>
    <w:pPr>
      <w:ind w:left="1304"/>
    </w:pPr>
    <w:rPr>
      <w:sz w:val="24"/>
      <w:szCs w:val="20"/>
      <w:lang w:eastAsia="fi-FI"/>
    </w:rPr>
  </w:style>
  <w:style w:type="character" w:customStyle="1" w:styleId="AlatunnisteChar">
    <w:name w:val="Alatunniste Char"/>
    <w:link w:val="Alatunniste"/>
    <w:semiHidden/>
    <w:rsid w:val="00AE77E2"/>
    <w:rPr>
      <w:rFonts w:ascii="Arial" w:hAnsi="Arial"/>
      <w:sz w:val="16"/>
      <w:szCs w:val="24"/>
    </w:rPr>
  </w:style>
  <w:style w:type="paragraph" w:styleId="Alaviitteenteksti">
    <w:name w:val="footnote text"/>
    <w:basedOn w:val="Normaali"/>
    <w:link w:val="AlaviitteentekstiChar"/>
    <w:uiPriority w:val="99"/>
    <w:semiHidden/>
    <w:unhideWhenUsed/>
    <w:rsid w:val="0054101B"/>
    <w:rPr>
      <w:sz w:val="20"/>
      <w:szCs w:val="20"/>
    </w:rPr>
  </w:style>
  <w:style w:type="character" w:customStyle="1" w:styleId="AlaviitteentekstiChar">
    <w:name w:val="Alaviitteen teksti Char"/>
    <w:basedOn w:val="Kappaleenoletusfontti"/>
    <w:link w:val="Alaviitteenteksti"/>
    <w:uiPriority w:val="99"/>
    <w:semiHidden/>
    <w:rsid w:val="0054101B"/>
    <w:rPr>
      <w:lang w:eastAsia="en-US"/>
    </w:rPr>
  </w:style>
  <w:style w:type="character" w:styleId="Alaviitteenviite">
    <w:name w:val="footnote reference"/>
    <w:basedOn w:val="Kappaleenoletusfontti"/>
    <w:uiPriority w:val="99"/>
    <w:semiHidden/>
    <w:unhideWhenUsed/>
    <w:rsid w:val="0054101B"/>
    <w:rPr>
      <w:vertAlign w:val="superscript"/>
    </w:rPr>
  </w:style>
  <w:style w:type="paragraph" w:styleId="Luettelokappale">
    <w:name w:val="List Paragraph"/>
    <w:basedOn w:val="Normaali"/>
    <w:uiPriority w:val="34"/>
    <w:qFormat/>
    <w:rsid w:val="00BD5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2"/>
      <w:szCs w:val="24"/>
      <w:lang w:eastAsia="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lang w:eastAsia="fi-FI"/>
    </w:rPr>
  </w:style>
  <w:style w:type="paragraph" w:styleId="Alatunniste">
    <w:name w:val="footer"/>
    <w:basedOn w:val="Normaali"/>
    <w:link w:val="AlatunnisteChar"/>
    <w:semiHidden/>
    <w:pPr>
      <w:widowControl w:val="0"/>
      <w:tabs>
        <w:tab w:val="center" w:pos="4819"/>
        <w:tab w:val="right" w:pos="9638"/>
      </w:tabs>
      <w:spacing w:line="200" w:lineRule="atLeast"/>
    </w:pPr>
    <w:rPr>
      <w:rFonts w:ascii="Arial" w:hAnsi="Arial"/>
      <w:sz w:val="16"/>
      <w:lang w:eastAsia="fi-FI"/>
    </w:rPr>
  </w:style>
  <w:style w:type="character" w:styleId="Sivunumero">
    <w:name w:val="page number"/>
    <w:basedOn w:val="Kappaleenoletusfontti"/>
    <w:semiHidden/>
  </w:style>
  <w:style w:type="character" w:customStyle="1" w:styleId="allekirjoittaja2c">
    <w:name w:val="allekirjoittaja2c"/>
    <w:rPr>
      <w:rFonts w:ascii="Times New Roman" w:hAnsi="Times New Roman"/>
      <w:sz w:val="24"/>
    </w:rPr>
  </w:style>
  <w:style w:type="paragraph" w:customStyle="1" w:styleId="STMasia">
    <w:name w:val="STMasia"/>
    <w:rPr>
      <w:b/>
      <w:caps/>
      <w:sz w:val="24"/>
    </w:rPr>
  </w:style>
  <w:style w:type="paragraph" w:customStyle="1" w:styleId="logoe">
    <w:name w:val="logoe"/>
    <w:rPr>
      <w:noProof/>
      <w:sz w:val="24"/>
      <w:lang w:val="en-GB" w:eastAsia="en-US"/>
    </w:rPr>
  </w:style>
  <w:style w:type="paragraph" w:customStyle="1" w:styleId="STMalatunniste">
    <w:name w:val="STM alatunniste"/>
    <w:rPr>
      <w:noProof/>
      <w:lang w:val="en-GB" w:eastAsia="en-US"/>
    </w:rPr>
  </w:style>
  <w:style w:type="paragraph" w:customStyle="1" w:styleId="STMesityslista0">
    <w:name w:val="STM esityslista"/>
    <w:pPr>
      <w:numPr>
        <w:numId w:val="1"/>
      </w:numPr>
      <w:spacing w:after="240"/>
      <w:ind w:left="2608" w:hanging="1304"/>
    </w:pPr>
    <w:rPr>
      <w:noProof/>
      <w:sz w:val="24"/>
      <w:lang w:val="en-GB" w:eastAsia="en-US"/>
    </w:rPr>
  </w:style>
  <w:style w:type="paragraph" w:customStyle="1" w:styleId="STMfaxteksti">
    <w:name w:val="STM faxteksti"/>
    <w:pPr>
      <w:ind w:left="1304"/>
    </w:pPr>
    <w:rPr>
      <w:noProof/>
      <w:sz w:val="24"/>
      <w:lang w:val="en-GB" w:eastAsia="en-US"/>
    </w:rPr>
  </w:style>
  <w:style w:type="paragraph" w:customStyle="1" w:styleId="STMleipteksti">
    <w:name w:val="STM leipäteksti"/>
    <w:pPr>
      <w:ind w:left="2608"/>
    </w:pPr>
    <w:rPr>
      <w:sz w:val="22"/>
      <w:lang w:eastAsia="en-US"/>
    </w:rPr>
  </w:style>
  <w:style w:type="paragraph" w:customStyle="1" w:styleId="STMliite">
    <w:name w:val="STM liite"/>
    <w:pPr>
      <w:ind w:left="2608" w:hanging="2608"/>
    </w:pPr>
    <w:rPr>
      <w:noProof/>
      <w:sz w:val="24"/>
      <w:lang w:val="en-GB" w:eastAsia="en-US"/>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eastAsia="en-US"/>
    </w:rPr>
  </w:style>
  <w:style w:type="paragraph" w:customStyle="1" w:styleId="STMotsikko">
    <w:name w:val="STM otsikko"/>
    <w:next w:val="STMleipteksti"/>
    <w:pPr>
      <w:spacing w:after="240"/>
    </w:pPr>
    <w:rPr>
      <w:b/>
      <w:noProof/>
      <w:sz w:val="24"/>
      <w:lang w:val="en-GB" w:eastAsia="en-US"/>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eastAsia="en-US"/>
    </w:rPr>
  </w:style>
  <w:style w:type="paragraph" w:customStyle="1" w:styleId="STMvliotsikko">
    <w:name w:val="STM väliotsikko"/>
    <w:next w:val="STMleipteksti"/>
    <w:pPr>
      <w:ind w:left="1304"/>
    </w:pPr>
    <w:rPr>
      <w:noProof/>
      <w:sz w:val="24"/>
      <w:lang w:val="en-GB" w:eastAsia="en-US"/>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eastAsia="en-US"/>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rPr>
      <w:b/>
      <w:caps/>
      <w:noProof/>
      <w:color w:val="000080"/>
      <w:sz w:val="24"/>
      <w:lang w:val="en-GB" w:eastAsia="en-US"/>
    </w:rPr>
  </w:style>
  <w:style w:type="paragraph" w:customStyle="1" w:styleId="stmasia2">
    <w:name w:val="stmasia2"/>
    <w:pPr>
      <w:ind w:left="2608" w:hanging="2608"/>
    </w:pPr>
    <w:rPr>
      <w:b/>
      <w:caps/>
      <w:noProof/>
      <w:color w:val="000080"/>
      <w:sz w:val="24"/>
      <w:lang w:val="en-GB" w:eastAsia="en-US"/>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eastAsia="en-US"/>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stmlaatija">
    <w:name w:val="stmlaatija"/>
    <w:rPr>
      <w:noProof/>
      <w:sz w:val="24"/>
      <w:lang w:val="en-GB" w:eastAsia="en-US"/>
    </w:rPr>
  </w:style>
  <w:style w:type="paragraph" w:customStyle="1" w:styleId="stmleipa1">
    <w:name w:val="stmleipa1"/>
    <w:autoRedefine/>
    <w:pPr>
      <w:ind w:left="2608"/>
    </w:pPr>
    <w:rPr>
      <w:noProof/>
      <w:sz w:val="24"/>
      <w:lang w:val="en-GB" w:eastAsia="en-US"/>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eastAsia="en-US"/>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eastAsia="en-US"/>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eastAsia="en-US"/>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eastAsia="en-US"/>
    </w:rPr>
  </w:style>
  <w:style w:type="character" w:customStyle="1" w:styleId="stmviiteots">
    <w:name w:val="stmviiteots"/>
    <w:rPr>
      <w:sz w:val="24"/>
    </w:rPr>
  </w:style>
  <w:style w:type="paragraph" w:customStyle="1" w:styleId="stmyksikko">
    <w:name w:val="stmyksikko"/>
    <w:rPr>
      <w:noProof/>
      <w:sz w:val="24"/>
      <w:lang w:val="en-GB" w:eastAsia="en-US"/>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TwebTeksti">
    <w:name w:val="TwebTeksti"/>
    <w:rPr>
      <w:sz w:val="24"/>
    </w:rPr>
  </w:style>
  <w:style w:type="paragraph" w:customStyle="1" w:styleId="STMISO">
    <w:name w:val="STMISO"/>
    <w:rPr>
      <w:caps/>
      <w:sz w:val="24"/>
    </w:rPr>
  </w:style>
  <w:style w:type="paragraph" w:customStyle="1" w:styleId="TwebOtsikko">
    <w:name w:val="TwebOtsikko"/>
    <w:basedOn w:val="TwebTeksti"/>
    <w:next w:val="TwebAsiateksti1"/>
    <w:rPr>
      <w:caps/>
      <w:lang w:eastAsia="en-US"/>
    </w:rPr>
  </w:style>
  <w:style w:type="paragraph" w:customStyle="1" w:styleId="TwebAsiateksti1">
    <w:name w:val="TwebAsiateksti1"/>
    <w:basedOn w:val="TwebTeksti"/>
    <w:pPr>
      <w:ind w:left="2608"/>
    </w:pPr>
    <w:rPr>
      <w:lang w:eastAsia="en-US"/>
    </w:rPr>
  </w:style>
  <w:style w:type="paragraph" w:customStyle="1" w:styleId="TwebLuettelo">
    <w:name w:val="TwebLuettelo"/>
    <w:basedOn w:val="TwebTeksti"/>
    <w:pPr>
      <w:ind w:left="3895" w:hanging="1304"/>
    </w:pPr>
    <w:rPr>
      <w:lang w:eastAsia="en-US"/>
    </w:rPr>
  </w:style>
  <w:style w:type="paragraph" w:customStyle="1" w:styleId="TwebAsiateksti2">
    <w:name w:val="TwebAsiateksti2"/>
    <w:basedOn w:val="TwebTeksti"/>
    <w:pPr>
      <w:ind w:left="2608" w:hanging="2608"/>
    </w:pPr>
    <w:rPr>
      <w:lang w:eastAsia="en-US"/>
    </w:rPr>
  </w:style>
  <w:style w:type="paragraph" w:customStyle="1" w:styleId="TwebYltunniste">
    <w:name w:val="TwebYlätunniste"/>
    <w:basedOn w:val="TwebTeksti"/>
    <w:rPr>
      <w:sz w:val="20"/>
      <w:lang w:eastAsia="en-US"/>
    </w:rPr>
  </w:style>
  <w:style w:type="paragraph" w:customStyle="1" w:styleId="TwebAlatunniste">
    <w:name w:val="TwebAlatunniste"/>
    <w:basedOn w:val="TwebTeksti"/>
    <w:rPr>
      <w:sz w:val="20"/>
      <w:lang w:eastAsia="en-US"/>
    </w:rPr>
  </w:style>
  <w:style w:type="paragraph" w:customStyle="1" w:styleId="TwebTallennustieto">
    <w:name w:val="TwebTallennustieto"/>
    <w:basedOn w:val="TwebTeksti"/>
    <w:rPr>
      <w:sz w:val="18"/>
      <w:lang w:eastAsia="en-US"/>
    </w:rPr>
  </w:style>
  <w:style w:type="paragraph" w:customStyle="1" w:styleId="KuntaToimistoTeksti">
    <w:name w:val="KuntaToimistoTeksti"/>
    <w:rPr>
      <w:sz w:val="24"/>
    </w:rPr>
  </w:style>
  <w:style w:type="paragraph" w:customStyle="1" w:styleId="Asialuettelo">
    <w:name w:val="Asialuettelo"/>
    <w:basedOn w:val="KuntaToimistoTeksti"/>
    <w:pPr>
      <w:ind w:left="3912" w:hanging="1304"/>
    </w:pPr>
  </w:style>
  <w:style w:type="paragraph" w:customStyle="1" w:styleId="Asiaotsikko">
    <w:name w:val="Asiaotsikko"/>
    <w:basedOn w:val="Normaali"/>
    <w:next w:val="Normaali"/>
    <w:pPr>
      <w:tabs>
        <w:tab w:val="left" w:pos="1304"/>
      </w:tabs>
      <w:ind w:left="1304" w:hanging="1304"/>
    </w:pPr>
    <w:rPr>
      <w:b/>
      <w:szCs w:val="20"/>
      <w:lang w:eastAsia="fi-FI"/>
    </w:rPr>
  </w:style>
  <w:style w:type="paragraph" w:customStyle="1" w:styleId="Asiateksti">
    <w:name w:val="Asiateksti"/>
    <w:basedOn w:val="Normaali"/>
    <w:pPr>
      <w:ind w:left="1304" w:hanging="1304"/>
    </w:pPr>
    <w:rPr>
      <w:szCs w:val="20"/>
      <w:lang w:eastAsia="fi-FI"/>
    </w:rPr>
  </w:style>
  <w:style w:type="paragraph" w:styleId="Sisluet1">
    <w:name w:val="toc 1"/>
    <w:basedOn w:val="KuntaToimistoTeksti"/>
    <w:autoRedefine/>
    <w:semiHidden/>
    <w:pPr>
      <w:tabs>
        <w:tab w:val="left" w:pos="1985"/>
        <w:tab w:val="right" w:leader="dot" w:pos="9923"/>
      </w:tabs>
      <w:spacing w:after="240"/>
      <w:ind w:left="1984" w:right="851" w:hanging="680"/>
    </w:pPr>
  </w:style>
  <w:style w:type="paragraph" w:customStyle="1" w:styleId="stmviite1">
    <w:name w:val="stmviite1"/>
    <w:basedOn w:val="stmviite"/>
    <w:next w:val="stmnormaali0"/>
  </w:style>
  <w:style w:type="paragraph" w:styleId="Seliteteksti">
    <w:name w:val="Balloon Text"/>
    <w:basedOn w:val="Normaali"/>
    <w:semiHidden/>
    <w:rPr>
      <w:rFonts w:ascii="Tahoma" w:hAnsi="Tahoma" w:cs="Tahoma"/>
      <w:sz w:val="16"/>
      <w:szCs w:val="16"/>
    </w:rPr>
  </w:style>
  <w:style w:type="character" w:styleId="Hyperlinkki">
    <w:name w:val="Hyperlink"/>
    <w:semiHidden/>
    <w:rPr>
      <w:color w:val="0000FF"/>
      <w:u w:val="single"/>
    </w:rPr>
  </w:style>
  <w:style w:type="paragraph" w:customStyle="1" w:styleId="Sisennys1">
    <w:name w:val="Sisennys1"/>
    <w:basedOn w:val="Normaali"/>
    <w:pPr>
      <w:ind w:left="1304"/>
    </w:pPr>
    <w:rPr>
      <w:sz w:val="24"/>
      <w:szCs w:val="20"/>
      <w:lang w:eastAsia="fi-FI"/>
    </w:rPr>
  </w:style>
  <w:style w:type="character" w:customStyle="1" w:styleId="AlatunnisteChar">
    <w:name w:val="Alatunniste Char"/>
    <w:link w:val="Alatunniste"/>
    <w:semiHidden/>
    <w:rsid w:val="00AE77E2"/>
    <w:rPr>
      <w:rFonts w:ascii="Arial" w:hAnsi="Arial"/>
      <w:sz w:val="16"/>
      <w:szCs w:val="24"/>
    </w:rPr>
  </w:style>
  <w:style w:type="paragraph" w:styleId="Alaviitteenteksti">
    <w:name w:val="footnote text"/>
    <w:basedOn w:val="Normaali"/>
    <w:link w:val="AlaviitteentekstiChar"/>
    <w:uiPriority w:val="99"/>
    <w:semiHidden/>
    <w:unhideWhenUsed/>
    <w:rsid w:val="0054101B"/>
    <w:rPr>
      <w:sz w:val="20"/>
      <w:szCs w:val="20"/>
    </w:rPr>
  </w:style>
  <w:style w:type="character" w:customStyle="1" w:styleId="AlaviitteentekstiChar">
    <w:name w:val="Alaviitteen teksti Char"/>
    <w:basedOn w:val="Kappaleenoletusfontti"/>
    <w:link w:val="Alaviitteenteksti"/>
    <w:uiPriority w:val="99"/>
    <w:semiHidden/>
    <w:rsid w:val="0054101B"/>
    <w:rPr>
      <w:lang w:eastAsia="en-US"/>
    </w:rPr>
  </w:style>
  <w:style w:type="character" w:styleId="Alaviitteenviite">
    <w:name w:val="footnote reference"/>
    <w:basedOn w:val="Kappaleenoletusfontti"/>
    <w:uiPriority w:val="99"/>
    <w:semiHidden/>
    <w:unhideWhenUsed/>
    <w:rsid w:val="0054101B"/>
    <w:rPr>
      <w:vertAlign w:val="superscript"/>
    </w:rPr>
  </w:style>
  <w:style w:type="paragraph" w:styleId="Luettelokappale">
    <w:name w:val="List Paragraph"/>
    <w:basedOn w:val="Normaali"/>
    <w:uiPriority w:val="34"/>
    <w:qFormat/>
    <w:rsid w:val="00BD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vira.fi" TargetMode="External"/><Relationship Id="rId4" Type="http://schemas.microsoft.com/office/2007/relationships/stylesWithEffects" Target="stylesWithEffects.xml"/><Relationship Id="rId9" Type="http://schemas.openxmlformats.org/officeDocument/2006/relationships/hyperlink" Target="http://geenitekniikanlautakunta.f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geenitekniikanlautakunta.fi"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39B4-AA2A-4818-9809-EFD5956D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8044</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9018</CharactersWithSpaces>
  <SharedDoc>false</SharedDoc>
  <HLinks>
    <vt:vector size="18" baseType="variant">
      <vt:variant>
        <vt:i4>3080269</vt:i4>
      </vt:variant>
      <vt:variant>
        <vt:i4>0</vt:i4>
      </vt:variant>
      <vt:variant>
        <vt:i4>0</vt:i4>
      </vt:variant>
      <vt:variant>
        <vt:i4>5</vt:i4>
      </vt:variant>
      <vt:variant>
        <vt:lpwstr>mailto:laura.ahtiainen@helsinki.fi</vt:lpwstr>
      </vt:variant>
      <vt:variant>
        <vt:lpwstr/>
      </vt:variant>
      <vt:variant>
        <vt:i4>8192063</vt:i4>
      </vt:variant>
      <vt:variant>
        <vt:i4>17</vt:i4>
      </vt:variant>
      <vt:variant>
        <vt:i4>0</vt:i4>
      </vt:variant>
      <vt:variant>
        <vt:i4>5</vt:i4>
      </vt:variant>
      <vt:variant>
        <vt:lpwstr>http://www.geenitekniikanlautakunta.fi/</vt:lpwstr>
      </vt:variant>
      <vt:variant>
        <vt:lpwstr/>
      </vt:variant>
      <vt:variant>
        <vt:i4>8192063</vt:i4>
      </vt:variant>
      <vt:variant>
        <vt:i4>6</vt:i4>
      </vt:variant>
      <vt:variant>
        <vt:i4>0</vt:i4>
      </vt:variant>
      <vt:variant>
        <vt:i4>5</vt:i4>
      </vt:variant>
      <vt:variant>
        <vt:lpwstr>http://www.geenitekniikanlautakunta.fi/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2016-05-25T07:27:00Z</dcterms:created>
  <dcterms:modified xsi:type="dcterms:W3CDTF">2016-05-25T07:44:00Z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-144018338</vt:i4>
  </property>
  <property fmtid="{D5CDD505-2E9C-101B-9397-08002B2CF9AE}" pid="3" name="_NewReviewCycle">
    <vt:lpwstr/>
  </property>
</Properties>
</file>