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B0" w:rsidRPr="004240FD" w:rsidRDefault="00073AB0" w:rsidP="005B38CF">
      <w:pPr>
        <w:spacing w:after="0"/>
        <w:jc w:val="both"/>
        <w:rPr>
          <w:rFonts w:ascii="Arial" w:hAnsi="Arial" w:cs="Arial"/>
          <w:b/>
          <w:sz w:val="24"/>
          <w:szCs w:val="24"/>
        </w:rPr>
      </w:pPr>
      <w:r w:rsidRPr="004240FD">
        <w:rPr>
          <w:rFonts w:ascii="Arial" w:hAnsi="Arial" w:cs="Arial"/>
          <w:b/>
          <w:sz w:val="24"/>
          <w:szCs w:val="24"/>
        </w:rPr>
        <w:t xml:space="preserve">Notificación </w:t>
      </w:r>
      <w:r w:rsidR="008E2531" w:rsidRPr="004240FD">
        <w:rPr>
          <w:rFonts w:ascii="Arial" w:hAnsi="Arial" w:cs="Arial"/>
          <w:b/>
          <w:sz w:val="24"/>
          <w:szCs w:val="24"/>
        </w:rPr>
        <w:t>SCBD/SPS/DC/MW/86375</w:t>
      </w:r>
    </w:p>
    <w:p w:rsidR="000D742B" w:rsidRPr="004240FD" w:rsidRDefault="00672157" w:rsidP="005B38CF">
      <w:pPr>
        <w:spacing w:after="0"/>
        <w:jc w:val="both"/>
        <w:rPr>
          <w:rFonts w:ascii="Arial" w:hAnsi="Arial" w:cs="Arial"/>
          <w:b/>
          <w:sz w:val="24"/>
          <w:szCs w:val="24"/>
        </w:rPr>
      </w:pPr>
      <w:r w:rsidRPr="004240FD">
        <w:rPr>
          <w:rFonts w:ascii="Arial" w:hAnsi="Arial" w:cs="Arial"/>
          <w:b/>
          <w:sz w:val="24"/>
          <w:szCs w:val="24"/>
        </w:rPr>
        <w:t>Aportación de información de uso en</w:t>
      </w:r>
      <w:r w:rsidR="00073AB0" w:rsidRPr="004240FD">
        <w:rPr>
          <w:rFonts w:ascii="Arial" w:hAnsi="Arial" w:cs="Arial"/>
          <w:b/>
          <w:sz w:val="24"/>
          <w:szCs w:val="24"/>
        </w:rPr>
        <w:t xml:space="preserve"> México</w:t>
      </w:r>
    </w:p>
    <w:p w:rsidR="0069664F" w:rsidRPr="004240FD" w:rsidRDefault="0069664F" w:rsidP="005B38CF">
      <w:pPr>
        <w:spacing w:after="0"/>
        <w:jc w:val="both"/>
        <w:rPr>
          <w:rFonts w:ascii="Arial" w:hAnsi="Arial" w:cs="Arial"/>
          <w:sz w:val="24"/>
          <w:szCs w:val="24"/>
        </w:rPr>
      </w:pPr>
    </w:p>
    <w:p w:rsidR="00FE23ED" w:rsidRPr="004240FD" w:rsidRDefault="00A33ED3" w:rsidP="005B38CF">
      <w:pPr>
        <w:pStyle w:val="Prrafodelista"/>
        <w:numPr>
          <w:ilvl w:val="0"/>
          <w:numId w:val="9"/>
        </w:numPr>
        <w:spacing w:after="0"/>
        <w:jc w:val="both"/>
        <w:rPr>
          <w:rFonts w:ascii="Arial" w:hAnsi="Arial" w:cs="Arial"/>
          <w:b/>
          <w:sz w:val="24"/>
          <w:szCs w:val="24"/>
          <w:lang w:val="es-ES"/>
        </w:rPr>
      </w:pPr>
      <w:r w:rsidRPr="004240FD">
        <w:rPr>
          <w:rFonts w:ascii="Arial" w:hAnsi="Arial" w:cs="Arial"/>
          <w:b/>
          <w:sz w:val="24"/>
          <w:szCs w:val="24"/>
          <w:lang w:val="es-ES"/>
        </w:rPr>
        <w:t xml:space="preserve">Investigaciones, cooperación y actividades, según lo indicado en el párrafo 9 de la </w:t>
      </w:r>
      <w:r w:rsidR="00396708" w:rsidRPr="004240FD">
        <w:rPr>
          <w:rFonts w:ascii="Arial" w:hAnsi="Arial" w:cs="Arial"/>
          <w:b/>
          <w:sz w:val="24"/>
          <w:szCs w:val="24"/>
          <w:lang w:val="es-ES"/>
        </w:rPr>
        <w:t>decisión XIII/</w:t>
      </w:r>
      <w:r w:rsidR="00624472" w:rsidRPr="004240FD">
        <w:rPr>
          <w:rFonts w:ascii="Arial" w:hAnsi="Arial" w:cs="Arial"/>
          <w:b/>
          <w:sz w:val="24"/>
          <w:szCs w:val="24"/>
          <w:lang w:val="es-ES"/>
        </w:rPr>
        <w:t>1</w:t>
      </w:r>
      <w:r w:rsidR="00396708" w:rsidRPr="004240FD">
        <w:rPr>
          <w:rFonts w:ascii="Arial" w:hAnsi="Arial" w:cs="Arial"/>
          <w:b/>
          <w:sz w:val="24"/>
          <w:szCs w:val="24"/>
          <w:lang w:val="es-ES"/>
        </w:rPr>
        <w:t xml:space="preserve">7 </w:t>
      </w:r>
    </w:p>
    <w:p w:rsidR="00FE23ED" w:rsidRDefault="00FE23ED" w:rsidP="00A75621">
      <w:pPr>
        <w:spacing w:after="0"/>
        <w:jc w:val="both"/>
        <w:rPr>
          <w:rFonts w:ascii="Arial" w:hAnsi="Arial" w:cs="Arial"/>
          <w:sz w:val="24"/>
          <w:szCs w:val="24"/>
          <w:lang w:val="es-ES"/>
        </w:rPr>
      </w:pPr>
    </w:p>
    <w:p w:rsidR="00A75621" w:rsidRDefault="00A75621" w:rsidP="00A75621">
      <w:pPr>
        <w:spacing w:after="0"/>
        <w:jc w:val="both"/>
        <w:rPr>
          <w:rFonts w:ascii="Arial" w:hAnsi="Arial" w:cs="Arial"/>
          <w:sz w:val="24"/>
          <w:szCs w:val="24"/>
          <w:lang w:val="es-ES"/>
        </w:rPr>
      </w:pPr>
      <w:r>
        <w:rPr>
          <w:rFonts w:ascii="Arial" w:hAnsi="Arial" w:cs="Arial"/>
          <w:sz w:val="24"/>
          <w:szCs w:val="24"/>
          <w:lang w:val="es-ES"/>
        </w:rPr>
        <w:t>A continuación</w:t>
      </w:r>
      <w:r w:rsidR="007F4456">
        <w:rPr>
          <w:rFonts w:ascii="Arial" w:hAnsi="Arial" w:cs="Arial"/>
          <w:sz w:val="24"/>
          <w:szCs w:val="24"/>
          <w:lang w:val="es-ES"/>
        </w:rPr>
        <w:t>,</w:t>
      </w:r>
      <w:r>
        <w:rPr>
          <w:rFonts w:ascii="Arial" w:hAnsi="Arial" w:cs="Arial"/>
          <w:sz w:val="24"/>
          <w:szCs w:val="24"/>
          <w:lang w:val="es-ES"/>
        </w:rPr>
        <w:t xml:space="preserve"> se hace referencia de las fuentes de información utilizadas en México para la realización de actividades relacionadas con la Biología Sintética.</w:t>
      </w:r>
    </w:p>
    <w:p w:rsidR="00A75621" w:rsidRPr="00A75621" w:rsidRDefault="00A75621" w:rsidP="00A75621">
      <w:pPr>
        <w:spacing w:after="0"/>
        <w:jc w:val="both"/>
        <w:rPr>
          <w:rFonts w:ascii="Arial" w:hAnsi="Arial" w:cs="Arial"/>
          <w:sz w:val="24"/>
          <w:szCs w:val="24"/>
          <w:lang w:val="es-ES"/>
        </w:rPr>
      </w:pPr>
    </w:p>
    <w:p w:rsidR="003B54B6" w:rsidRPr="004240FD" w:rsidRDefault="003B54B6" w:rsidP="004240FD">
      <w:pPr>
        <w:pStyle w:val="Prrafodelista"/>
        <w:numPr>
          <w:ilvl w:val="0"/>
          <w:numId w:val="10"/>
        </w:numPr>
        <w:spacing w:after="0"/>
        <w:ind w:left="426"/>
        <w:jc w:val="both"/>
        <w:rPr>
          <w:rFonts w:ascii="Arial" w:hAnsi="Arial" w:cs="Arial"/>
          <w:sz w:val="24"/>
          <w:szCs w:val="24"/>
          <w:lang w:val="en-US"/>
        </w:rPr>
      </w:pPr>
      <w:proofErr w:type="spellStart"/>
      <w:r w:rsidRPr="004240FD">
        <w:rPr>
          <w:rFonts w:ascii="Arial" w:hAnsi="Arial" w:cs="Arial"/>
          <w:color w:val="222222"/>
          <w:sz w:val="24"/>
          <w:szCs w:val="24"/>
          <w:shd w:val="clear" w:color="auto" w:fill="FFFFFF"/>
          <w:lang w:val="en-US"/>
        </w:rPr>
        <w:t>Barrangou</w:t>
      </w:r>
      <w:proofErr w:type="spellEnd"/>
      <w:r w:rsidRPr="004240FD">
        <w:rPr>
          <w:rFonts w:ascii="Arial" w:hAnsi="Arial" w:cs="Arial"/>
          <w:color w:val="222222"/>
          <w:sz w:val="24"/>
          <w:szCs w:val="24"/>
          <w:shd w:val="clear" w:color="auto" w:fill="FFFFFF"/>
          <w:lang w:val="en-US"/>
        </w:rPr>
        <w:t>, R., &amp; Horvath, P. (2017). A decade of discovery: CRISPR functions and applications.</w:t>
      </w:r>
      <w:r w:rsidRPr="004240FD">
        <w:rPr>
          <w:rStyle w:val="apple-converted-space"/>
          <w:rFonts w:ascii="Arial" w:hAnsi="Arial" w:cs="Arial"/>
          <w:color w:val="222222"/>
          <w:sz w:val="24"/>
          <w:szCs w:val="24"/>
          <w:shd w:val="clear" w:color="auto" w:fill="FFFFFF"/>
          <w:lang w:val="en-US"/>
        </w:rPr>
        <w:t> </w:t>
      </w:r>
      <w:proofErr w:type="spellStart"/>
      <w:r w:rsidRPr="004240FD">
        <w:rPr>
          <w:rFonts w:ascii="Arial" w:hAnsi="Arial" w:cs="Arial"/>
          <w:i/>
          <w:iCs/>
          <w:color w:val="222222"/>
          <w:sz w:val="24"/>
          <w:szCs w:val="24"/>
          <w:shd w:val="clear" w:color="auto" w:fill="FFFFFF"/>
        </w:rPr>
        <w:t>Nature</w:t>
      </w:r>
      <w:proofErr w:type="spellEnd"/>
      <w:r w:rsidRPr="004240FD">
        <w:rPr>
          <w:rFonts w:ascii="Arial" w:hAnsi="Arial" w:cs="Arial"/>
          <w:i/>
          <w:iCs/>
          <w:color w:val="222222"/>
          <w:sz w:val="24"/>
          <w:szCs w:val="24"/>
          <w:shd w:val="clear" w:color="auto" w:fill="FFFFFF"/>
        </w:rPr>
        <w:t xml:space="preserve"> </w:t>
      </w:r>
      <w:proofErr w:type="spellStart"/>
      <w:r w:rsidRPr="004240FD">
        <w:rPr>
          <w:rFonts w:ascii="Arial" w:hAnsi="Arial" w:cs="Arial"/>
          <w:i/>
          <w:iCs/>
          <w:color w:val="222222"/>
          <w:sz w:val="24"/>
          <w:szCs w:val="24"/>
          <w:shd w:val="clear" w:color="auto" w:fill="FFFFFF"/>
        </w:rPr>
        <w:t>microbiology</w:t>
      </w:r>
      <w:proofErr w:type="spellEnd"/>
      <w:r w:rsidRPr="004240FD">
        <w:rPr>
          <w:rFonts w:ascii="Arial" w:hAnsi="Arial" w:cs="Arial"/>
          <w:color w:val="222222"/>
          <w:sz w:val="24"/>
          <w:szCs w:val="24"/>
          <w:shd w:val="clear" w:color="auto" w:fill="FFFFFF"/>
        </w:rPr>
        <w:t>,</w:t>
      </w:r>
      <w:r w:rsidRPr="004240FD">
        <w:rPr>
          <w:rStyle w:val="apple-converted-space"/>
          <w:rFonts w:ascii="Arial" w:hAnsi="Arial" w:cs="Arial"/>
          <w:color w:val="222222"/>
          <w:sz w:val="24"/>
          <w:szCs w:val="24"/>
          <w:shd w:val="clear" w:color="auto" w:fill="FFFFFF"/>
        </w:rPr>
        <w:t> </w:t>
      </w:r>
      <w:r w:rsidRPr="004240FD">
        <w:rPr>
          <w:rFonts w:ascii="Arial" w:hAnsi="Arial" w:cs="Arial"/>
          <w:i/>
          <w:iCs/>
          <w:color w:val="222222"/>
          <w:sz w:val="24"/>
          <w:szCs w:val="24"/>
          <w:shd w:val="clear" w:color="auto" w:fill="FFFFFF"/>
        </w:rPr>
        <w:t>2</w:t>
      </w:r>
      <w:r w:rsidRPr="004240FD">
        <w:rPr>
          <w:rFonts w:ascii="Arial" w:hAnsi="Arial" w:cs="Arial"/>
          <w:color w:val="222222"/>
          <w:sz w:val="24"/>
          <w:szCs w:val="24"/>
          <w:shd w:val="clear" w:color="auto" w:fill="FFFFFF"/>
        </w:rPr>
        <w:t>, 17092.</w:t>
      </w:r>
    </w:p>
    <w:p w:rsidR="006959C9" w:rsidRPr="004240FD" w:rsidRDefault="006959C9"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Beets, R. 2016. Governing CRISPR:</w:t>
      </w:r>
      <w:r w:rsidR="00CE2A69" w:rsidRPr="004240FD">
        <w:rPr>
          <w:rFonts w:ascii="Arial" w:hAnsi="Arial" w:cs="Arial"/>
          <w:sz w:val="24"/>
          <w:szCs w:val="24"/>
          <w:lang w:val="en-US"/>
        </w:rPr>
        <w:t xml:space="preserve"> </w:t>
      </w:r>
      <w:r w:rsidRPr="004240FD">
        <w:rPr>
          <w:rFonts w:ascii="Arial" w:hAnsi="Arial" w:cs="Arial"/>
          <w:sz w:val="24"/>
          <w:szCs w:val="24"/>
          <w:lang w:val="en-US"/>
        </w:rPr>
        <w:t xml:space="preserve">Evaluating Ethics, Risk, and Regulation in </w:t>
      </w:r>
      <w:r w:rsidR="00524950" w:rsidRPr="004240FD">
        <w:rPr>
          <w:rFonts w:ascii="Arial" w:hAnsi="Arial" w:cs="Arial"/>
          <w:sz w:val="24"/>
          <w:szCs w:val="24"/>
          <w:lang w:val="en-US"/>
        </w:rPr>
        <w:t>G</w:t>
      </w:r>
      <w:r w:rsidRPr="004240FD">
        <w:rPr>
          <w:rFonts w:ascii="Arial" w:hAnsi="Arial" w:cs="Arial"/>
          <w:sz w:val="24"/>
          <w:szCs w:val="24"/>
          <w:lang w:val="en-US"/>
        </w:rPr>
        <w:t>ene Drive Research</w:t>
      </w:r>
      <w:r w:rsidR="00524950" w:rsidRPr="004240FD">
        <w:rPr>
          <w:rFonts w:ascii="Arial" w:hAnsi="Arial" w:cs="Arial"/>
          <w:sz w:val="24"/>
          <w:szCs w:val="24"/>
          <w:lang w:val="en-US"/>
        </w:rPr>
        <w:t xml:space="preserve">. </w:t>
      </w:r>
      <w:r w:rsidRPr="004240FD">
        <w:rPr>
          <w:rFonts w:ascii="Arial" w:hAnsi="Arial" w:cs="Arial"/>
          <w:sz w:val="24"/>
          <w:szCs w:val="24"/>
          <w:lang w:val="en-US"/>
        </w:rPr>
        <w:t>A Plan B Paper</w:t>
      </w:r>
      <w:r w:rsidR="00524950" w:rsidRPr="004240FD">
        <w:rPr>
          <w:rFonts w:ascii="Arial" w:hAnsi="Arial" w:cs="Arial"/>
          <w:sz w:val="24"/>
          <w:szCs w:val="24"/>
          <w:lang w:val="en-US"/>
        </w:rPr>
        <w:t xml:space="preserve">. </w:t>
      </w:r>
      <w:r w:rsidRPr="004240FD">
        <w:rPr>
          <w:rFonts w:ascii="Arial" w:hAnsi="Arial" w:cs="Arial"/>
          <w:sz w:val="24"/>
          <w:szCs w:val="24"/>
          <w:lang w:val="en-US"/>
        </w:rPr>
        <w:t>In Partial Fulfillment of the</w:t>
      </w:r>
      <w:r w:rsidR="00524950" w:rsidRPr="004240FD">
        <w:rPr>
          <w:rFonts w:ascii="Arial" w:hAnsi="Arial" w:cs="Arial"/>
          <w:sz w:val="24"/>
          <w:szCs w:val="24"/>
          <w:lang w:val="en-US"/>
        </w:rPr>
        <w:t xml:space="preserve"> </w:t>
      </w:r>
      <w:r w:rsidRPr="004240FD">
        <w:rPr>
          <w:rFonts w:ascii="Arial" w:hAnsi="Arial" w:cs="Arial"/>
          <w:sz w:val="24"/>
          <w:szCs w:val="24"/>
          <w:lang w:val="en-US"/>
        </w:rPr>
        <w:t>Master of Science in Science, Technology and Environmental Policy</w:t>
      </w:r>
      <w:r w:rsidR="00524950" w:rsidRPr="004240FD">
        <w:rPr>
          <w:rFonts w:ascii="Arial" w:hAnsi="Arial" w:cs="Arial"/>
          <w:sz w:val="24"/>
          <w:szCs w:val="24"/>
          <w:lang w:val="en-US"/>
        </w:rPr>
        <w:t xml:space="preserve"> </w:t>
      </w:r>
      <w:r w:rsidRPr="004240FD">
        <w:rPr>
          <w:rFonts w:ascii="Arial" w:hAnsi="Arial" w:cs="Arial"/>
          <w:sz w:val="24"/>
          <w:szCs w:val="24"/>
          <w:lang w:val="en-US"/>
        </w:rPr>
        <w:t>Degree Requirements</w:t>
      </w:r>
      <w:r w:rsidR="00524950" w:rsidRPr="004240FD">
        <w:rPr>
          <w:rFonts w:ascii="Arial" w:hAnsi="Arial" w:cs="Arial"/>
          <w:sz w:val="24"/>
          <w:szCs w:val="24"/>
          <w:lang w:val="en-US"/>
        </w:rPr>
        <w:t xml:space="preserve"> </w:t>
      </w:r>
      <w:r w:rsidRPr="004240FD">
        <w:rPr>
          <w:rFonts w:ascii="Arial" w:hAnsi="Arial" w:cs="Arial"/>
          <w:sz w:val="24"/>
          <w:szCs w:val="24"/>
          <w:lang w:val="en-US"/>
        </w:rPr>
        <w:t>The Hubert H. Humphrey School of Public Affairs</w:t>
      </w:r>
      <w:r w:rsidR="00524950" w:rsidRPr="004240FD">
        <w:rPr>
          <w:rFonts w:ascii="Arial" w:hAnsi="Arial" w:cs="Arial"/>
          <w:sz w:val="24"/>
          <w:szCs w:val="24"/>
          <w:lang w:val="en-US"/>
        </w:rPr>
        <w:t xml:space="preserve">. </w:t>
      </w:r>
      <w:r w:rsidRPr="004240FD">
        <w:rPr>
          <w:rFonts w:ascii="Arial" w:hAnsi="Arial" w:cs="Arial"/>
          <w:sz w:val="24"/>
          <w:szCs w:val="24"/>
          <w:lang w:val="en-US"/>
        </w:rPr>
        <w:t>The University of Minnesota</w:t>
      </w:r>
    </w:p>
    <w:p w:rsidR="00E93D31" w:rsidRPr="004240FD" w:rsidRDefault="0042522A"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rPr>
        <w:t xml:space="preserve">Caballero-Hernandez, D., Rodríguez-Padilla, C., &amp; Lozano-Muñiz, S. (2017). </w:t>
      </w:r>
      <w:r w:rsidRPr="004240FD">
        <w:rPr>
          <w:rFonts w:ascii="Arial" w:hAnsi="Arial" w:cs="Arial"/>
          <w:sz w:val="24"/>
          <w:szCs w:val="24"/>
          <w:lang w:val="en-US"/>
        </w:rPr>
        <w:t xml:space="preserve">Bioethics for Biotechnologists: From Dolly to CRISPR. Open Agriculture, 2(1), 160-165. DOI 10.1515/opag-2017-0016 </w:t>
      </w:r>
    </w:p>
    <w:p w:rsidR="003B54B6" w:rsidRPr="004240FD" w:rsidRDefault="003B54B6"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 xml:space="preserve">Drury, D. W., Dapper, A. L., </w:t>
      </w:r>
      <w:proofErr w:type="spellStart"/>
      <w:r w:rsidRPr="004240FD">
        <w:rPr>
          <w:rFonts w:ascii="Arial" w:hAnsi="Arial" w:cs="Arial"/>
          <w:sz w:val="24"/>
          <w:szCs w:val="24"/>
          <w:lang w:val="en-US"/>
        </w:rPr>
        <w:t>Siniard</w:t>
      </w:r>
      <w:proofErr w:type="spellEnd"/>
      <w:r w:rsidRPr="004240FD">
        <w:rPr>
          <w:rFonts w:ascii="Arial" w:hAnsi="Arial" w:cs="Arial"/>
          <w:sz w:val="24"/>
          <w:szCs w:val="24"/>
          <w:lang w:val="en-US"/>
        </w:rPr>
        <w:t xml:space="preserve">, D. J., </w:t>
      </w:r>
      <w:proofErr w:type="spellStart"/>
      <w:r w:rsidRPr="004240FD">
        <w:rPr>
          <w:rFonts w:ascii="Arial" w:hAnsi="Arial" w:cs="Arial"/>
          <w:sz w:val="24"/>
          <w:szCs w:val="24"/>
          <w:lang w:val="en-US"/>
        </w:rPr>
        <w:t>Zentner</w:t>
      </w:r>
      <w:proofErr w:type="spellEnd"/>
      <w:r w:rsidRPr="004240FD">
        <w:rPr>
          <w:rFonts w:ascii="Arial" w:hAnsi="Arial" w:cs="Arial"/>
          <w:sz w:val="24"/>
          <w:szCs w:val="24"/>
          <w:lang w:val="en-US"/>
        </w:rPr>
        <w:t xml:space="preserve">, G. E., &amp; Wade, M. J. (2017). CRISPR/Cas9 gene drives in genetically variable and nonrandomly mating wild populations. Science Advances, 3(5), e1601910. </w:t>
      </w:r>
    </w:p>
    <w:p w:rsidR="00DD5CDA" w:rsidRPr="004240FD" w:rsidRDefault="00DD5CDA" w:rsidP="004240FD">
      <w:pPr>
        <w:pStyle w:val="Prrafodelista"/>
        <w:numPr>
          <w:ilvl w:val="0"/>
          <w:numId w:val="10"/>
        </w:numPr>
        <w:spacing w:after="0"/>
        <w:ind w:left="426"/>
        <w:jc w:val="both"/>
        <w:rPr>
          <w:rFonts w:ascii="Arial" w:hAnsi="Arial" w:cs="Arial"/>
          <w:sz w:val="24"/>
          <w:szCs w:val="24"/>
        </w:rPr>
      </w:pPr>
      <w:proofErr w:type="spellStart"/>
      <w:r w:rsidRPr="004240FD">
        <w:rPr>
          <w:rFonts w:ascii="Arial" w:hAnsi="Arial" w:cs="Arial"/>
          <w:sz w:val="24"/>
          <w:szCs w:val="24"/>
          <w:lang w:val="en-US"/>
        </w:rPr>
        <w:t>Galin-Corini</w:t>
      </w:r>
      <w:proofErr w:type="spellEnd"/>
      <w:r w:rsidRPr="004240FD">
        <w:rPr>
          <w:rFonts w:ascii="Arial" w:hAnsi="Arial" w:cs="Arial"/>
          <w:sz w:val="24"/>
          <w:szCs w:val="24"/>
          <w:lang w:val="en-US"/>
        </w:rPr>
        <w:t xml:space="preserve">, L. M. (2017). The Relationship Between the Patent-holder and Developing Nations: Overcoming the Consequences of Intellectual Property Rights. </w:t>
      </w:r>
      <w:proofErr w:type="spellStart"/>
      <w:r w:rsidRPr="004240FD">
        <w:rPr>
          <w:rFonts w:ascii="Arial" w:hAnsi="Arial" w:cs="Arial"/>
          <w:sz w:val="24"/>
          <w:szCs w:val="24"/>
          <w:lang w:val="en-US"/>
        </w:rPr>
        <w:t>Glendon</w:t>
      </w:r>
      <w:proofErr w:type="spellEnd"/>
      <w:r w:rsidRPr="004240FD">
        <w:rPr>
          <w:rFonts w:ascii="Arial" w:hAnsi="Arial" w:cs="Arial"/>
          <w:sz w:val="24"/>
          <w:szCs w:val="24"/>
          <w:lang w:val="en-US"/>
        </w:rPr>
        <w:t xml:space="preserve"> Journal of International Studies/Revue </w:t>
      </w:r>
      <w:proofErr w:type="spellStart"/>
      <w:r w:rsidRPr="004240FD">
        <w:rPr>
          <w:rFonts w:ascii="Arial" w:hAnsi="Arial" w:cs="Arial"/>
          <w:sz w:val="24"/>
          <w:szCs w:val="24"/>
          <w:lang w:val="en-US"/>
        </w:rPr>
        <w:t>d'études</w:t>
      </w:r>
      <w:proofErr w:type="spellEnd"/>
      <w:r w:rsidRPr="004240FD">
        <w:rPr>
          <w:rFonts w:ascii="Arial" w:hAnsi="Arial" w:cs="Arial"/>
          <w:sz w:val="24"/>
          <w:szCs w:val="24"/>
          <w:lang w:val="en-US"/>
        </w:rPr>
        <w:t xml:space="preserve"> </w:t>
      </w:r>
      <w:proofErr w:type="spellStart"/>
      <w:r w:rsidRPr="004240FD">
        <w:rPr>
          <w:rFonts w:ascii="Arial" w:hAnsi="Arial" w:cs="Arial"/>
          <w:sz w:val="24"/>
          <w:szCs w:val="24"/>
          <w:lang w:val="en-US"/>
        </w:rPr>
        <w:t>internationales</w:t>
      </w:r>
      <w:proofErr w:type="spellEnd"/>
      <w:r w:rsidRPr="004240FD">
        <w:rPr>
          <w:rFonts w:ascii="Arial" w:hAnsi="Arial" w:cs="Arial"/>
          <w:sz w:val="24"/>
          <w:szCs w:val="24"/>
          <w:lang w:val="en-US"/>
        </w:rPr>
        <w:t xml:space="preserve"> de </w:t>
      </w:r>
      <w:proofErr w:type="spellStart"/>
      <w:r w:rsidRPr="004240FD">
        <w:rPr>
          <w:rFonts w:ascii="Arial" w:hAnsi="Arial" w:cs="Arial"/>
          <w:sz w:val="24"/>
          <w:szCs w:val="24"/>
          <w:lang w:val="en-US"/>
        </w:rPr>
        <w:t>Glendon</w:t>
      </w:r>
      <w:proofErr w:type="spellEnd"/>
      <w:r w:rsidRPr="004240FD">
        <w:rPr>
          <w:rFonts w:ascii="Arial" w:hAnsi="Arial" w:cs="Arial"/>
          <w:sz w:val="24"/>
          <w:szCs w:val="24"/>
          <w:lang w:val="en-US"/>
        </w:rPr>
        <w:t xml:space="preserve">, 10. </w:t>
      </w:r>
      <w:r w:rsidR="004240FD">
        <w:rPr>
          <w:rFonts w:ascii="Arial" w:hAnsi="Arial" w:cs="Arial"/>
          <w:sz w:val="24"/>
          <w:szCs w:val="24"/>
          <w:lang w:val="en-US"/>
        </w:rPr>
        <w:tab/>
      </w:r>
      <w:hyperlink r:id="rId8" w:history="1">
        <w:r w:rsidRPr="004240FD">
          <w:rPr>
            <w:rStyle w:val="Hipervnculo"/>
            <w:rFonts w:ascii="Arial" w:hAnsi="Arial" w:cs="Arial"/>
            <w:sz w:val="24"/>
            <w:szCs w:val="24"/>
          </w:rPr>
          <w:t>http://gjis.journals.yorku.ca/index.php/gjis/article/viewFile/40254/36422</w:t>
        </w:r>
      </w:hyperlink>
      <w:r w:rsidRPr="004240FD">
        <w:rPr>
          <w:rFonts w:ascii="Arial" w:hAnsi="Arial" w:cs="Arial"/>
          <w:sz w:val="24"/>
          <w:szCs w:val="24"/>
        </w:rPr>
        <w:t xml:space="preserve"> </w:t>
      </w:r>
    </w:p>
    <w:p w:rsidR="003B54B6" w:rsidRPr="004240FD" w:rsidRDefault="003B54B6" w:rsidP="004240FD">
      <w:pPr>
        <w:pStyle w:val="Prrafodelista"/>
        <w:numPr>
          <w:ilvl w:val="0"/>
          <w:numId w:val="10"/>
        </w:numPr>
        <w:spacing w:after="0"/>
        <w:ind w:left="426"/>
        <w:jc w:val="both"/>
        <w:rPr>
          <w:rFonts w:ascii="Arial" w:hAnsi="Arial" w:cs="Arial"/>
          <w:sz w:val="24"/>
          <w:szCs w:val="24"/>
          <w:lang w:val="en-US"/>
        </w:rPr>
      </w:pPr>
      <w:proofErr w:type="spellStart"/>
      <w:r w:rsidRPr="004240FD">
        <w:rPr>
          <w:rFonts w:ascii="Arial" w:hAnsi="Arial" w:cs="Arial"/>
          <w:sz w:val="24"/>
          <w:szCs w:val="24"/>
          <w:lang w:val="en-US"/>
        </w:rPr>
        <w:t>Heitman</w:t>
      </w:r>
      <w:proofErr w:type="spellEnd"/>
      <w:r w:rsidRPr="004240FD">
        <w:rPr>
          <w:rFonts w:ascii="Arial" w:hAnsi="Arial" w:cs="Arial"/>
          <w:sz w:val="24"/>
          <w:szCs w:val="24"/>
          <w:lang w:val="en-US"/>
        </w:rPr>
        <w:t>, E., Sawyer, K., &amp; Collins, J. P. (2016). Gene Drives on the Horizon Issues for Biosafety. Applied Biosafety, 1535676016672631.</w:t>
      </w:r>
    </w:p>
    <w:p w:rsidR="0009390A" w:rsidRPr="004240FD" w:rsidRDefault="0009390A" w:rsidP="004240FD">
      <w:pPr>
        <w:pStyle w:val="Prrafodelista"/>
        <w:numPr>
          <w:ilvl w:val="0"/>
          <w:numId w:val="10"/>
        </w:numPr>
        <w:spacing w:after="0"/>
        <w:ind w:left="426"/>
        <w:jc w:val="both"/>
        <w:rPr>
          <w:rFonts w:ascii="Arial" w:hAnsi="Arial" w:cs="Arial"/>
          <w:sz w:val="24"/>
          <w:szCs w:val="24"/>
          <w:lang w:val="en-US"/>
        </w:rPr>
      </w:pPr>
      <w:proofErr w:type="spellStart"/>
      <w:r w:rsidRPr="004240FD">
        <w:rPr>
          <w:rFonts w:ascii="Arial" w:hAnsi="Arial" w:cs="Arial"/>
          <w:sz w:val="24"/>
          <w:szCs w:val="24"/>
          <w:lang w:val="en-US"/>
        </w:rPr>
        <w:t>Kolodziejczyk</w:t>
      </w:r>
      <w:proofErr w:type="spellEnd"/>
      <w:r w:rsidRPr="004240FD">
        <w:rPr>
          <w:rFonts w:ascii="Arial" w:hAnsi="Arial" w:cs="Arial"/>
          <w:sz w:val="24"/>
          <w:szCs w:val="24"/>
          <w:lang w:val="en-US"/>
        </w:rPr>
        <w:t xml:space="preserve"> B., </w:t>
      </w:r>
      <w:proofErr w:type="gramStart"/>
      <w:r w:rsidRPr="004240FD">
        <w:rPr>
          <w:rFonts w:ascii="Arial" w:hAnsi="Arial" w:cs="Arial"/>
          <w:sz w:val="24"/>
          <w:szCs w:val="24"/>
          <w:lang w:val="en-US"/>
        </w:rPr>
        <w:t xml:space="preserve">and  </w:t>
      </w:r>
      <w:proofErr w:type="spellStart"/>
      <w:r w:rsidRPr="004240FD">
        <w:rPr>
          <w:rFonts w:ascii="Arial" w:hAnsi="Arial" w:cs="Arial"/>
          <w:sz w:val="24"/>
          <w:szCs w:val="24"/>
          <w:lang w:val="en-US"/>
        </w:rPr>
        <w:t>Kagansky</w:t>
      </w:r>
      <w:proofErr w:type="spellEnd"/>
      <w:proofErr w:type="gramEnd"/>
      <w:r w:rsidRPr="004240FD">
        <w:rPr>
          <w:rFonts w:ascii="Arial" w:hAnsi="Arial" w:cs="Arial"/>
          <w:sz w:val="24"/>
          <w:szCs w:val="24"/>
          <w:lang w:val="en-US"/>
        </w:rPr>
        <w:t xml:space="preserve"> A. 2017. Consolidated G20 synthetic biology policies and their role in the 2030 Agenda for Sustainable.  POLICY AREA:</w:t>
      </w:r>
      <w:r w:rsidR="006959C9" w:rsidRPr="004240FD">
        <w:rPr>
          <w:rFonts w:ascii="Arial" w:hAnsi="Arial" w:cs="Arial"/>
          <w:sz w:val="24"/>
          <w:szCs w:val="24"/>
          <w:lang w:val="en-US"/>
        </w:rPr>
        <w:t xml:space="preserve"> </w:t>
      </w:r>
      <w:r w:rsidRPr="004240FD">
        <w:rPr>
          <w:rFonts w:ascii="Arial" w:hAnsi="Arial" w:cs="Arial"/>
          <w:sz w:val="24"/>
          <w:szCs w:val="24"/>
          <w:lang w:val="en-US"/>
        </w:rPr>
        <w:t>2030 Agenda for Sustainable Development</w:t>
      </w:r>
      <w:r w:rsidR="006959C9" w:rsidRPr="004240FD">
        <w:rPr>
          <w:rFonts w:ascii="Arial" w:hAnsi="Arial" w:cs="Arial"/>
          <w:sz w:val="24"/>
          <w:szCs w:val="24"/>
          <w:lang w:val="en-US"/>
        </w:rPr>
        <w:t xml:space="preserve">. </w:t>
      </w:r>
      <w:hyperlink r:id="rId9" w:history="1">
        <w:r w:rsidR="006959C9" w:rsidRPr="004240FD">
          <w:rPr>
            <w:rStyle w:val="Hipervnculo"/>
            <w:rFonts w:ascii="Arial" w:hAnsi="Arial" w:cs="Arial"/>
            <w:sz w:val="24"/>
            <w:szCs w:val="24"/>
            <w:lang w:val="en-US"/>
          </w:rPr>
          <w:t>www.G20-insights.org</w:t>
        </w:r>
      </w:hyperlink>
      <w:r w:rsidR="006959C9" w:rsidRPr="004240FD">
        <w:rPr>
          <w:rFonts w:ascii="Arial" w:hAnsi="Arial" w:cs="Arial"/>
          <w:sz w:val="24"/>
          <w:szCs w:val="24"/>
          <w:lang w:val="en-US"/>
        </w:rPr>
        <w:t xml:space="preserve"> </w:t>
      </w:r>
    </w:p>
    <w:p w:rsidR="003342B9" w:rsidRPr="004240FD" w:rsidRDefault="003342B9" w:rsidP="004240FD">
      <w:pPr>
        <w:pStyle w:val="Prrafodelista"/>
        <w:numPr>
          <w:ilvl w:val="0"/>
          <w:numId w:val="10"/>
        </w:numPr>
        <w:spacing w:after="0"/>
        <w:ind w:left="426"/>
        <w:jc w:val="both"/>
        <w:rPr>
          <w:rFonts w:ascii="Arial" w:hAnsi="Arial" w:cs="Arial"/>
          <w:sz w:val="24"/>
          <w:szCs w:val="24"/>
        </w:rPr>
      </w:pPr>
      <w:r w:rsidRPr="00A0709B">
        <w:rPr>
          <w:rFonts w:ascii="Arial" w:hAnsi="Arial" w:cs="Arial"/>
          <w:sz w:val="24"/>
          <w:szCs w:val="24"/>
          <w:shd w:val="clear" w:color="auto" w:fill="FFFFFF"/>
          <w:lang w:val="en-US"/>
        </w:rPr>
        <w:t xml:space="preserve">Manheim, B. S. (2016). Regulation </w:t>
      </w:r>
      <w:r w:rsidRPr="004240FD">
        <w:rPr>
          <w:rFonts w:ascii="Arial" w:hAnsi="Arial" w:cs="Arial"/>
          <w:color w:val="222222"/>
          <w:sz w:val="24"/>
          <w:szCs w:val="24"/>
          <w:shd w:val="clear" w:color="auto" w:fill="FFFFFF"/>
          <w:lang w:val="en-US"/>
        </w:rPr>
        <w:t>of synthetic biology under the Nagoya Protocol.</w:t>
      </w:r>
      <w:r w:rsidRPr="004240FD">
        <w:rPr>
          <w:rStyle w:val="apple-converted-space"/>
          <w:rFonts w:ascii="Arial" w:hAnsi="Arial" w:cs="Arial"/>
          <w:color w:val="222222"/>
          <w:sz w:val="24"/>
          <w:szCs w:val="24"/>
          <w:shd w:val="clear" w:color="auto" w:fill="FFFFFF"/>
          <w:lang w:val="en-US"/>
        </w:rPr>
        <w:t> </w:t>
      </w:r>
      <w:proofErr w:type="spellStart"/>
      <w:r w:rsidRPr="004240FD">
        <w:rPr>
          <w:rFonts w:ascii="Arial" w:hAnsi="Arial" w:cs="Arial"/>
          <w:i/>
          <w:iCs/>
          <w:color w:val="222222"/>
          <w:sz w:val="24"/>
          <w:szCs w:val="24"/>
          <w:shd w:val="clear" w:color="auto" w:fill="FFFFFF"/>
        </w:rPr>
        <w:t>Nature</w:t>
      </w:r>
      <w:proofErr w:type="spellEnd"/>
      <w:r w:rsidRPr="004240FD">
        <w:rPr>
          <w:rFonts w:ascii="Arial" w:hAnsi="Arial" w:cs="Arial"/>
          <w:i/>
          <w:iCs/>
          <w:color w:val="222222"/>
          <w:sz w:val="24"/>
          <w:szCs w:val="24"/>
          <w:shd w:val="clear" w:color="auto" w:fill="FFFFFF"/>
        </w:rPr>
        <w:t xml:space="preserve"> </w:t>
      </w:r>
      <w:proofErr w:type="spellStart"/>
      <w:r w:rsidRPr="004240FD">
        <w:rPr>
          <w:rFonts w:ascii="Arial" w:hAnsi="Arial" w:cs="Arial"/>
          <w:i/>
          <w:iCs/>
          <w:color w:val="222222"/>
          <w:sz w:val="24"/>
          <w:szCs w:val="24"/>
          <w:shd w:val="clear" w:color="auto" w:fill="FFFFFF"/>
        </w:rPr>
        <w:t>biotechnology</w:t>
      </w:r>
      <w:proofErr w:type="spellEnd"/>
      <w:r w:rsidRPr="004240FD">
        <w:rPr>
          <w:rFonts w:ascii="Arial" w:hAnsi="Arial" w:cs="Arial"/>
          <w:color w:val="222222"/>
          <w:sz w:val="24"/>
          <w:szCs w:val="24"/>
          <w:shd w:val="clear" w:color="auto" w:fill="FFFFFF"/>
        </w:rPr>
        <w:t>,</w:t>
      </w:r>
      <w:r w:rsidRPr="004240FD">
        <w:rPr>
          <w:rStyle w:val="apple-converted-space"/>
          <w:rFonts w:ascii="Arial" w:hAnsi="Arial" w:cs="Arial"/>
          <w:color w:val="222222"/>
          <w:sz w:val="24"/>
          <w:szCs w:val="24"/>
          <w:shd w:val="clear" w:color="auto" w:fill="FFFFFF"/>
        </w:rPr>
        <w:t> </w:t>
      </w:r>
      <w:r w:rsidRPr="004240FD">
        <w:rPr>
          <w:rFonts w:ascii="Arial" w:hAnsi="Arial" w:cs="Arial"/>
          <w:i/>
          <w:iCs/>
          <w:color w:val="222222"/>
          <w:sz w:val="24"/>
          <w:szCs w:val="24"/>
          <w:shd w:val="clear" w:color="auto" w:fill="FFFFFF"/>
        </w:rPr>
        <w:t>34</w:t>
      </w:r>
      <w:r w:rsidRPr="004240FD">
        <w:rPr>
          <w:rFonts w:ascii="Arial" w:hAnsi="Arial" w:cs="Arial"/>
          <w:color w:val="222222"/>
          <w:sz w:val="24"/>
          <w:szCs w:val="24"/>
          <w:shd w:val="clear" w:color="auto" w:fill="FFFFFF"/>
        </w:rPr>
        <w:t>(11), 1104-1105.</w:t>
      </w:r>
    </w:p>
    <w:p w:rsidR="00B16E35" w:rsidRPr="004240FD" w:rsidRDefault="0009390A" w:rsidP="004240FD">
      <w:pPr>
        <w:pStyle w:val="Prrafodelista"/>
        <w:numPr>
          <w:ilvl w:val="0"/>
          <w:numId w:val="10"/>
        </w:numPr>
        <w:spacing w:after="0"/>
        <w:ind w:left="426"/>
        <w:jc w:val="both"/>
        <w:rPr>
          <w:rFonts w:ascii="Arial" w:hAnsi="Arial" w:cs="Arial"/>
          <w:sz w:val="24"/>
          <w:szCs w:val="24"/>
        </w:rPr>
      </w:pPr>
      <w:r w:rsidRPr="004240FD">
        <w:rPr>
          <w:rFonts w:ascii="Arial" w:hAnsi="Arial" w:cs="Arial"/>
          <w:sz w:val="24"/>
          <w:szCs w:val="24"/>
          <w:lang w:val="en-US"/>
        </w:rPr>
        <w:t>McGrath P. 2016, Synthetic biology: opportunities and governance</w:t>
      </w:r>
      <w:r w:rsidR="006959C9" w:rsidRPr="004240FD">
        <w:rPr>
          <w:rFonts w:ascii="Arial" w:hAnsi="Arial" w:cs="Arial"/>
          <w:sz w:val="24"/>
          <w:szCs w:val="24"/>
          <w:lang w:val="en-US"/>
        </w:rPr>
        <w:t xml:space="preserve">. Conference Paper · May 2016.  </w:t>
      </w:r>
      <w:hyperlink r:id="rId10" w:history="1">
        <w:r w:rsidR="006959C9" w:rsidRPr="004240FD">
          <w:rPr>
            <w:rStyle w:val="Hipervnculo"/>
            <w:rFonts w:ascii="Arial" w:hAnsi="Arial" w:cs="Arial"/>
            <w:sz w:val="24"/>
            <w:szCs w:val="24"/>
            <w:lang w:val="en-US"/>
          </w:rPr>
          <w:t>https://www.researchgate.net/publication/308669894</w:t>
        </w:r>
      </w:hyperlink>
      <w:r w:rsidR="006959C9" w:rsidRPr="004240FD">
        <w:rPr>
          <w:rFonts w:ascii="Arial" w:hAnsi="Arial" w:cs="Arial"/>
          <w:sz w:val="24"/>
          <w:szCs w:val="24"/>
          <w:lang w:val="en-US"/>
        </w:rPr>
        <w:t xml:space="preserve"> </w:t>
      </w:r>
    </w:p>
    <w:p w:rsidR="004240FD" w:rsidRPr="004240FD" w:rsidRDefault="004240FD" w:rsidP="004240FD">
      <w:pPr>
        <w:pStyle w:val="Prrafodelista"/>
        <w:numPr>
          <w:ilvl w:val="0"/>
          <w:numId w:val="10"/>
        </w:numPr>
        <w:spacing w:after="0"/>
        <w:ind w:left="426"/>
        <w:jc w:val="both"/>
        <w:rPr>
          <w:rFonts w:ascii="Arial" w:hAnsi="Arial" w:cs="Arial"/>
          <w:sz w:val="24"/>
          <w:szCs w:val="24"/>
          <w:lang w:val="es-ES"/>
        </w:rPr>
      </w:pPr>
      <w:r w:rsidRPr="004240FD">
        <w:rPr>
          <w:rFonts w:ascii="Arial" w:hAnsi="Arial" w:cs="Arial"/>
          <w:sz w:val="24"/>
          <w:szCs w:val="24"/>
          <w:lang w:val="en-US"/>
        </w:rPr>
        <w:t xml:space="preserve">National Academies of Sciences, Engineering, and Medicine. 2016. Gene Drives on the Horizon: Advancing Science, Navigating Uncertainty, and Aligning Research with Public Values. </w:t>
      </w:r>
      <w:r w:rsidRPr="004240FD">
        <w:rPr>
          <w:rFonts w:ascii="Arial" w:hAnsi="Arial" w:cs="Arial"/>
          <w:sz w:val="24"/>
          <w:szCs w:val="24"/>
          <w:lang w:val="es-ES"/>
        </w:rPr>
        <w:t xml:space="preserve">Washington, DC: </w:t>
      </w:r>
      <w:proofErr w:type="spellStart"/>
      <w:r w:rsidRPr="004240FD">
        <w:rPr>
          <w:rFonts w:ascii="Arial" w:hAnsi="Arial" w:cs="Arial"/>
          <w:sz w:val="24"/>
          <w:szCs w:val="24"/>
          <w:lang w:val="es-ES"/>
        </w:rPr>
        <w:t>The</w:t>
      </w:r>
      <w:proofErr w:type="spellEnd"/>
      <w:r w:rsidRPr="004240FD">
        <w:rPr>
          <w:rFonts w:ascii="Arial" w:hAnsi="Arial" w:cs="Arial"/>
          <w:sz w:val="24"/>
          <w:szCs w:val="24"/>
          <w:lang w:val="es-ES"/>
        </w:rPr>
        <w:t xml:space="preserve"> </w:t>
      </w:r>
      <w:proofErr w:type="spellStart"/>
      <w:r w:rsidRPr="004240FD">
        <w:rPr>
          <w:rFonts w:ascii="Arial" w:hAnsi="Arial" w:cs="Arial"/>
          <w:sz w:val="24"/>
          <w:szCs w:val="24"/>
          <w:lang w:val="es-ES"/>
        </w:rPr>
        <w:t>National</w:t>
      </w:r>
      <w:proofErr w:type="spellEnd"/>
      <w:r w:rsidRPr="004240FD">
        <w:rPr>
          <w:rFonts w:ascii="Arial" w:hAnsi="Arial" w:cs="Arial"/>
          <w:sz w:val="24"/>
          <w:szCs w:val="24"/>
          <w:lang w:val="es-ES"/>
        </w:rPr>
        <w:t xml:space="preserve"> </w:t>
      </w:r>
      <w:proofErr w:type="spellStart"/>
      <w:r w:rsidRPr="004240FD">
        <w:rPr>
          <w:rFonts w:ascii="Arial" w:hAnsi="Arial" w:cs="Arial"/>
          <w:sz w:val="24"/>
          <w:szCs w:val="24"/>
          <w:lang w:val="es-ES"/>
        </w:rPr>
        <w:t>Academies</w:t>
      </w:r>
      <w:proofErr w:type="spellEnd"/>
      <w:r w:rsidRPr="004240FD">
        <w:rPr>
          <w:rFonts w:ascii="Arial" w:hAnsi="Arial" w:cs="Arial"/>
          <w:sz w:val="24"/>
          <w:szCs w:val="24"/>
          <w:lang w:val="es-ES"/>
        </w:rPr>
        <w:t xml:space="preserve"> </w:t>
      </w:r>
      <w:proofErr w:type="spellStart"/>
      <w:r w:rsidRPr="004240FD">
        <w:rPr>
          <w:rFonts w:ascii="Arial" w:hAnsi="Arial" w:cs="Arial"/>
          <w:sz w:val="24"/>
          <w:szCs w:val="24"/>
          <w:lang w:val="es-ES"/>
        </w:rPr>
        <w:t>Press</w:t>
      </w:r>
      <w:proofErr w:type="spellEnd"/>
      <w:r w:rsidRPr="004240FD">
        <w:rPr>
          <w:rFonts w:ascii="Arial" w:hAnsi="Arial" w:cs="Arial"/>
          <w:sz w:val="24"/>
          <w:szCs w:val="24"/>
          <w:lang w:val="es-ES"/>
        </w:rPr>
        <w:t xml:space="preserve">. </w:t>
      </w:r>
      <w:proofErr w:type="spellStart"/>
      <w:r w:rsidRPr="004240FD">
        <w:rPr>
          <w:rFonts w:ascii="Arial" w:hAnsi="Arial" w:cs="Arial"/>
          <w:sz w:val="24"/>
          <w:szCs w:val="24"/>
          <w:lang w:val="es-ES"/>
        </w:rPr>
        <w:t>doi</w:t>
      </w:r>
      <w:proofErr w:type="spellEnd"/>
      <w:r w:rsidRPr="004240FD">
        <w:rPr>
          <w:rFonts w:ascii="Arial" w:hAnsi="Arial" w:cs="Arial"/>
          <w:sz w:val="24"/>
          <w:szCs w:val="24"/>
          <w:lang w:val="es-ES"/>
        </w:rPr>
        <w:t>: 10.17226/23405.</w:t>
      </w:r>
    </w:p>
    <w:p w:rsidR="0009390A" w:rsidRPr="004240FD" w:rsidRDefault="00B16E35" w:rsidP="004240FD">
      <w:pPr>
        <w:pStyle w:val="Prrafodelista"/>
        <w:numPr>
          <w:ilvl w:val="0"/>
          <w:numId w:val="10"/>
        </w:numPr>
        <w:spacing w:after="0"/>
        <w:ind w:left="426"/>
        <w:jc w:val="both"/>
        <w:rPr>
          <w:rFonts w:ascii="Arial" w:hAnsi="Arial" w:cs="Arial"/>
          <w:sz w:val="24"/>
          <w:szCs w:val="24"/>
        </w:rPr>
      </w:pPr>
      <w:r w:rsidRPr="004240FD">
        <w:rPr>
          <w:rFonts w:ascii="Arial" w:hAnsi="Arial" w:cs="Arial"/>
          <w:sz w:val="24"/>
          <w:szCs w:val="24"/>
          <w:lang w:val="en-US"/>
        </w:rPr>
        <w:lastRenderedPageBreak/>
        <w:t xml:space="preserve">National Academies of Sciences, Engineering, and Medicine. 2016. Gene Drives on the Horizon: Advancing Science, Navigating Uncertainty, and Aligning Research with Public Values. </w:t>
      </w:r>
      <w:r w:rsidRPr="004240FD">
        <w:rPr>
          <w:rFonts w:ascii="Arial" w:hAnsi="Arial" w:cs="Arial"/>
          <w:sz w:val="24"/>
          <w:szCs w:val="24"/>
        </w:rPr>
        <w:t xml:space="preserve">Washington, DC: </w:t>
      </w:r>
      <w:proofErr w:type="spellStart"/>
      <w:r w:rsidRPr="004240FD">
        <w:rPr>
          <w:rFonts w:ascii="Arial" w:hAnsi="Arial" w:cs="Arial"/>
          <w:sz w:val="24"/>
          <w:szCs w:val="24"/>
        </w:rPr>
        <w:t>The</w:t>
      </w:r>
      <w:proofErr w:type="spellEnd"/>
      <w:r w:rsidRPr="004240FD">
        <w:rPr>
          <w:rFonts w:ascii="Arial" w:hAnsi="Arial" w:cs="Arial"/>
          <w:sz w:val="24"/>
          <w:szCs w:val="24"/>
        </w:rPr>
        <w:t xml:space="preserve"> </w:t>
      </w:r>
      <w:proofErr w:type="spellStart"/>
      <w:r w:rsidRPr="004240FD">
        <w:rPr>
          <w:rFonts w:ascii="Arial" w:hAnsi="Arial" w:cs="Arial"/>
          <w:sz w:val="24"/>
          <w:szCs w:val="24"/>
        </w:rPr>
        <w:t>National</w:t>
      </w:r>
      <w:proofErr w:type="spellEnd"/>
      <w:r w:rsidRPr="004240FD">
        <w:rPr>
          <w:rFonts w:ascii="Arial" w:hAnsi="Arial" w:cs="Arial"/>
          <w:sz w:val="24"/>
          <w:szCs w:val="24"/>
        </w:rPr>
        <w:t xml:space="preserve"> </w:t>
      </w:r>
      <w:proofErr w:type="spellStart"/>
      <w:r w:rsidRPr="004240FD">
        <w:rPr>
          <w:rFonts w:ascii="Arial" w:hAnsi="Arial" w:cs="Arial"/>
          <w:sz w:val="24"/>
          <w:szCs w:val="24"/>
        </w:rPr>
        <w:t>Academies</w:t>
      </w:r>
      <w:proofErr w:type="spellEnd"/>
      <w:r w:rsidRPr="004240FD">
        <w:rPr>
          <w:rFonts w:ascii="Arial" w:hAnsi="Arial" w:cs="Arial"/>
          <w:sz w:val="24"/>
          <w:szCs w:val="24"/>
        </w:rPr>
        <w:t xml:space="preserve"> </w:t>
      </w:r>
      <w:proofErr w:type="spellStart"/>
      <w:r w:rsidRPr="004240FD">
        <w:rPr>
          <w:rFonts w:ascii="Arial" w:hAnsi="Arial" w:cs="Arial"/>
          <w:sz w:val="24"/>
          <w:szCs w:val="24"/>
        </w:rPr>
        <w:t>Press</w:t>
      </w:r>
      <w:proofErr w:type="spellEnd"/>
      <w:r w:rsidRPr="004240FD">
        <w:rPr>
          <w:rFonts w:ascii="Arial" w:hAnsi="Arial" w:cs="Arial"/>
          <w:sz w:val="24"/>
          <w:szCs w:val="24"/>
        </w:rPr>
        <w:t xml:space="preserve">. </w:t>
      </w:r>
      <w:proofErr w:type="spellStart"/>
      <w:r w:rsidRPr="004240FD">
        <w:rPr>
          <w:rFonts w:ascii="Arial" w:hAnsi="Arial" w:cs="Arial"/>
          <w:sz w:val="24"/>
          <w:szCs w:val="24"/>
        </w:rPr>
        <w:t>doi</w:t>
      </w:r>
      <w:proofErr w:type="spellEnd"/>
      <w:r w:rsidRPr="004240FD">
        <w:rPr>
          <w:rFonts w:ascii="Arial" w:hAnsi="Arial" w:cs="Arial"/>
          <w:sz w:val="24"/>
          <w:szCs w:val="24"/>
        </w:rPr>
        <w:t>: 10.17226/23405.</w:t>
      </w:r>
    </w:p>
    <w:p w:rsidR="002A08F1" w:rsidRPr="004240FD" w:rsidRDefault="002A08F1"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National Academies of Sciences, National Academies of Sciences, Engineering, and Medicine. 2017. Preparing for Future Products of Biotechnology. Washington, DC: The National Academies Press.</w:t>
      </w:r>
    </w:p>
    <w:p w:rsidR="00AD33B0" w:rsidRPr="00047423" w:rsidRDefault="00AD33B0" w:rsidP="004240FD">
      <w:pPr>
        <w:pStyle w:val="Prrafodelista"/>
        <w:numPr>
          <w:ilvl w:val="0"/>
          <w:numId w:val="10"/>
        </w:numPr>
        <w:spacing w:after="0"/>
        <w:ind w:left="426"/>
        <w:jc w:val="both"/>
        <w:rPr>
          <w:rFonts w:ascii="Arial" w:hAnsi="Arial" w:cs="Arial"/>
          <w:sz w:val="24"/>
          <w:szCs w:val="24"/>
        </w:rPr>
      </w:pPr>
      <w:proofErr w:type="spellStart"/>
      <w:r w:rsidRPr="004240FD">
        <w:rPr>
          <w:rFonts w:ascii="Arial" w:hAnsi="Arial" w:cs="Arial"/>
          <w:sz w:val="24"/>
          <w:szCs w:val="24"/>
          <w:lang w:val="en-US"/>
        </w:rPr>
        <w:t>Peplow</w:t>
      </w:r>
      <w:proofErr w:type="spellEnd"/>
      <w:r w:rsidRPr="004240FD">
        <w:rPr>
          <w:rFonts w:ascii="Arial" w:hAnsi="Arial" w:cs="Arial"/>
          <w:sz w:val="24"/>
          <w:szCs w:val="24"/>
          <w:lang w:val="en-US"/>
        </w:rPr>
        <w:t xml:space="preserve">, M. (2016). Synthetic biology's first malaria drug meets market resistance. Nature, 530, 389-390. </w:t>
      </w:r>
      <w:hyperlink r:id="rId11" w:history="1">
        <w:r w:rsidRPr="00047423">
          <w:rPr>
            <w:rStyle w:val="Hipervnculo"/>
            <w:rFonts w:ascii="Arial" w:hAnsi="Arial" w:cs="Arial"/>
            <w:sz w:val="24"/>
            <w:szCs w:val="24"/>
          </w:rPr>
          <w:t>https://www.nature.com/news/synthetic-biology-s-first-malaria-drug-meets-market-resistance-1.19426</w:t>
        </w:r>
      </w:hyperlink>
      <w:r w:rsidRPr="00047423">
        <w:rPr>
          <w:rFonts w:ascii="Arial" w:hAnsi="Arial" w:cs="Arial"/>
          <w:sz w:val="24"/>
          <w:szCs w:val="24"/>
        </w:rPr>
        <w:t xml:space="preserve"> </w:t>
      </w:r>
    </w:p>
    <w:p w:rsidR="00F61E13" w:rsidRPr="004240FD" w:rsidRDefault="00F61E13"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 xml:space="preserve">Schmidt, M., Torgersen, H., </w:t>
      </w:r>
      <w:proofErr w:type="spellStart"/>
      <w:r w:rsidRPr="004240FD">
        <w:rPr>
          <w:rFonts w:ascii="Arial" w:hAnsi="Arial" w:cs="Arial"/>
          <w:sz w:val="24"/>
          <w:szCs w:val="24"/>
          <w:lang w:val="en-US"/>
        </w:rPr>
        <w:t>Ganguli-Mitra</w:t>
      </w:r>
      <w:proofErr w:type="spellEnd"/>
      <w:r w:rsidRPr="004240FD">
        <w:rPr>
          <w:rFonts w:ascii="Arial" w:hAnsi="Arial" w:cs="Arial"/>
          <w:sz w:val="24"/>
          <w:szCs w:val="24"/>
          <w:lang w:val="en-US"/>
        </w:rPr>
        <w:t xml:space="preserve">, A., Kelle, A., </w:t>
      </w:r>
      <w:proofErr w:type="spellStart"/>
      <w:r w:rsidRPr="004240FD">
        <w:rPr>
          <w:rFonts w:ascii="Arial" w:hAnsi="Arial" w:cs="Arial"/>
          <w:sz w:val="24"/>
          <w:szCs w:val="24"/>
          <w:lang w:val="en-US"/>
        </w:rPr>
        <w:t>Deplazes</w:t>
      </w:r>
      <w:proofErr w:type="spellEnd"/>
      <w:r w:rsidRPr="004240FD">
        <w:rPr>
          <w:rFonts w:ascii="Arial" w:hAnsi="Arial" w:cs="Arial"/>
          <w:sz w:val="24"/>
          <w:szCs w:val="24"/>
          <w:lang w:val="en-US"/>
        </w:rPr>
        <w:t>, A., &amp; Biller-</w:t>
      </w:r>
      <w:proofErr w:type="spellStart"/>
      <w:r w:rsidRPr="004240FD">
        <w:rPr>
          <w:rFonts w:ascii="Arial" w:hAnsi="Arial" w:cs="Arial"/>
          <w:sz w:val="24"/>
          <w:szCs w:val="24"/>
          <w:lang w:val="en-US"/>
        </w:rPr>
        <w:t>Andorno</w:t>
      </w:r>
      <w:proofErr w:type="spellEnd"/>
      <w:r w:rsidRPr="004240FD">
        <w:rPr>
          <w:rFonts w:ascii="Arial" w:hAnsi="Arial" w:cs="Arial"/>
          <w:sz w:val="24"/>
          <w:szCs w:val="24"/>
          <w:lang w:val="en-US"/>
        </w:rPr>
        <w:t xml:space="preserve">, N. (2008). SYNBIOSAFE e-conference: online community discussion on the societal aspects of synthetic biology. Systems and synthetic biology, 2(1-2), 7-17. </w:t>
      </w:r>
      <w:hyperlink r:id="rId12" w:history="1">
        <w:r w:rsidRPr="004240FD">
          <w:rPr>
            <w:rStyle w:val="Hipervnculo"/>
            <w:rFonts w:ascii="Arial" w:hAnsi="Arial" w:cs="Arial"/>
            <w:sz w:val="24"/>
            <w:szCs w:val="24"/>
            <w:lang w:val="en-US"/>
          </w:rPr>
          <w:t>https://link.springer.com/article/10.1007/s11693-008-9019-y</w:t>
        </w:r>
      </w:hyperlink>
      <w:r w:rsidRPr="004240FD">
        <w:rPr>
          <w:rFonts w:ascii="Arial" w:hAnsi="Arial" w:cs="Arial"/>
          <w:sz w:val="24"/>
          <w:szCs w:val="24"/>
          <w:lang w:val="en-US"/>
        </w:rPr>
        <w:t xml:space="preserve"> </w:t>
      </w:r>
    </w:p>
    <w:p w:rsidR="004240FD" w:rsidRPr="004240FD" w:rsidRDefault="004240FD"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 xml:space="preserve">Scott, D., </w:t>
      </w:r>
      <w:proofErr w:type="spellStart"/>
      <w:r w:rsidRPr="004240FD">
        <w:rPr>
          <w:rFonts w:ascii="Arial" w:hAnsi="Arial" w:cs="Arial"/>
          <w:sz w:val="24"/>
          <w:szCs w:val="24"/>
          <w:lang w:val="en-US"/>
        </w:rPr>
        <w:t>Abdelhakim</w:t>
      </w:r>
      <w:proofErr w:type="spellEnd"/>
      <w:r w:rsidRPr="004240FD">
        <w:rPr>
          <w:rFonts w:ascii="Arial" w:hAnsi="Arial" w:cs="Arial"/>
          <w:sz w:val="24"/>
          <w:szCs w:val="24"/>
          <w:lang w:val="en-US"/>
        </w:rPr>
        <w:t xml:space="preserve">, D., Miranda, M., </w:t>
      </w:r>
      <w:proofErr w:type="spellStart"/>
      <w:r w:rsidRPr="004240FD">
        <w:rPr>
          <w:rFonts w:ascii="Arial" w:hAnsi="Arial" w:cs="Arial"/>
          <w:sz w:val="24"/>
          <w:szCs w:val="24"/>
          <w:lang w:val="en-US"/>
        </w:rPr>
        <w:t>Höft</w:t>
      </w:r>
      <w:proofErr w:type="spellEnd"/>
      <w:r w:rsidRPr="004240FD">
        <w:rPr>
          <w:rFonts w:ascii="Arial" w:hAnsi="Arial" w:cs="Arial"/>
          <w:sz w:val="24"/>
          <w:szCs w:val="24"/>
          <w:lang w:val="en-US"/>
        </w:rPr>
        <w:t>, R. and Cooper, H.D. (2015). Potential positive and negative impacts of components, organisms and products resulting from synthetic biology techniques on the conservation and sustainable use of biodiversity, and associated social, economic and cultural considerations. Part I of: Synthetic biology. Secretariat of the Convention on Biological Diversity. Montreal, Technical Series No. 82, 60 pages.</w:t>
      </w:r>
    </w:p>
    <w:p w:rsidR="000646F7" w:rsidRPr="004240FD" w:rsidRDefault="006959C9" w:rsidP="004240FD">
      <w:pPr>
        <w:pStyle w:val="Prrafodelista"/>
        <w:numPr>
          <w:ilvl w:val="0"/>
          <w:numId w:val="10"/>
        </w:numPr>
        <w:spacing w:after="0"/>
        <w:ind w:left="426"/>
        <w:jc w:val="both"/>
        <w:rPr>
          <w:rFonts w:ascii="Arial" w:hAnsi="Arial" w:cs="Arial"/>
          <w:sz w:val="24"/>
          <w:szCs w:val="24"/>
          <w:lang w:val="en-US"/>
        </w:rPr>
      </w:pPr>
      <w:r w:rsidRPr="004240FD">
        <w:rPr>
          <w:rFonts w:ascii="Arial" w:hAnsi="Arial" w:cs="Arial"/>
          <w:sz w:val="24"/>
          <w:szCs w:val="24"/>
          <w:lang w:val="en-US"/>
        </w:rPr>
        <w:t>Simon AJ and Ellington AD. Recent advances in synthetic biosafety [version 1; referees: 2 approved] F1000Research 2016, 5(F1000 Faculty Rev):2118 (</w:t>
      </w:r>
      <w:proofErr w:type="spellStart"/>
      <w:r w:rsidRPr="004240FD">
        <w:rPr>
          <w:rFonts w:ascii="Arial" w:hAnsi="Arial" w:cs="Arial"/>
          <w:sz w:val="24"/>
          <w:szCs w:val="24"/>
          <w:lang w:val="en-US"/>
        </w:rPr>
        <w:t>doi</w:t>
      </w:r>
      <w:proofErr w:type="spellEnd"/>
      <w:r w:rsidR="004240FD">
        <w:rPr>
          <w:rFonts w:ascii="Arial" w:hAnsi="Arial" w:cs="Arial"/>
          <w:sz w:val="24"/>
          <w:szCs w:val="24"/>
          <w:lang w:val="en-US"/>
        </w:rPr>
        <w:t>: 10.12688/f1000research.8365.1</w:t>
      </w:r>
      <w:r w:rsidRPr="004240FD">
        <w:rPr>
          <w:rFonts w:ascii="Arial" w:hAnsi="Arial" w:cs="Arial"/>
          <w:sz w:val="24"/>
          <w:szCs w:val="24"/>
          <w:lang w:val="en-US"/>
        </w:rPr>
        <w:t>)</w:t>
      </w:r>
    </w:p>
    <w:p w:rsidR="00233C7C" w:rsidRPr="004240FD" w:rsidRDefault="00233C7C" w:rsidP="004240FD">
      <w:pPr>
        <w:pStyle w:val="Prrafodelista"/>
        <w:numPr>
          <w:ilvl w:val="0"/>
          <w:numId w:val="10"/>
        </w:numPr>
        <w:spacing w:after="0"/>
        <w:ind w:left="426"/>
        <w:jc w:val="both"/>
        <w:rPr>
          <w:rFonts w:ascii="Arial" w:hAnsi="Arial" w:cs="Arial"/>
          <w:sz w:val="24"/>
          <w:szCs w:val="24"/>
          <w:lang w:val="en-US"/>
        </w:rPr>
      </w:pPr>
      <w:proofErr w:type="spellStart"/>
      <w:r w:rsidRPr="004240FD">
        <w:rPr>
          <w:rFonts w:ascii="Arial" w:hAnsi="Arial" w:cs="Arial"/>
          <w:sz w:val="24"/>
          <w:szCs w:val="24"/>
          <w:lang w:val="en-US"/>
        </w:rPr>
        <w:t>Stemerding</w:t>
      </w:r>
      <w:proofErr w:type="spellEnd"/>
      <w:r w:rsidRPr="004240FD">
        <w:rPr>
          <w:rFonts w:ascii="Arial" w:hAnsi="Arial" w:cs="Arial"/>
          <w:sz w:val="24"/>
          <w:szCs w:val="24"/>
          <w:lang w:val="en-US"/>
        </w:rPr>
        <w:t xml:space="preserve">, D., </w:t>
      </w:r>
      <w:proofErr w:type="spellStart"/>
      <w:r w:rsidRPr="004240FD">
        <w:rPr>
          <w:rFonts w:ascii="Arial" w:hAnsi="Arial" w:cs="Arial"/>
          <w:sz w:val="24"/>
          <w:szCs w:val="24"/>
          <w:lang w:val="en-US"/>
        </w:rPr>
        <w:t>Rerimassie</w:t>
      </w:r>
      <w:proofErr w:type="spellEnd"/>
      <w:r w:rsidRPr="004240FD">
        <w:rPr>
          <w:rFonts w:ascii="Arial" w:hAnsi="Arial" w:cs="Arial"/>
          <w:sz w:val="24"/>
          <w:szCs w:val="24"/>
          <w:lang w:val="en-US"/>
        </w:rPr>
        <w:t xml:space="preserve">, V., &amp; van </w:t>
      </w:r>
      <w:proofErr w:type="spellStart"/>
      <w:r w:rsidRPr="004240FD">
        <w:rPr>
          <w:rFonts w:ascii="Arial" w:hAnsi="Arial" w:cs="Arial"/>
          <w:sz w:val="24"/>
          <w:szCs w:val="24"/>
          <w:lang w:val="en-US"/>
        </w:rPr>
        <w:t>Saksenlaan</w:t>
      </w:r>
      <w:proofErr w:type="spellEnd"/>
      <w:r w:rsidRPr="004240FD">
        <w:rPr>
          <w:rFonts w:ascii="Arial" w:hAnsi="Arial" w:cs="Arial"/>
          <w:sz w:val="24"/>
          <w:szCs w:val="24"/>
          <w:lang w:val="en-US"/>
        </w:rPr>
        <w:t xml:space="preserve">, A. (2013). Discourses on synthetic biology in Europe. </w:t>
      </w:r>
      <w:proofErr w:type="spellStart"/>
      <w:r w:rsidRPr="004240FD">
        <w:rPr>
          <w:rFonts w:ascii="Arial" w:hAnsi="Arial" w:cs="Arial"/>
          <w:sz w:val="24"/>
          <w:szCs w:val="24"/>
          <w:lang w:val="en-US"/>
        </w:rPr>
        <w:t>Rathenau</w:t>
      </w:r>
      <w:proofErr w:type="spellEnd"/>
      <w:r w:rsidRPr="004240FD">
        <w:rPr>
          <w:rFonts w:ascii="Arial" w:hAnsi="Arial" w:cs="Arial"/>
          <w:sz w:val="24"/>
          <w:szCs w:val="24"/>
          <w:lang w:val="en-US"/>
        </w:rPr>
        <w:t xml:space="preserve"> </w:t>
      </w:r>
      <w:proofErr w:type="spellStart"/>
      <w:r w:rsidRPr="004240FD">
        <w:rPr>
          <w:rFonts w:ascii="Arial" w:hAnsi="Arial" w:cs="Arial"/>
          <w:sz w:val="24"/>
          <w:szCs w:val="24"/>
          <w:lang w:val="en-US"/>
        </w:rPr>
        <w:t>Instituut</w:t>
      </w:r>
      <w:proofErr w:type="spellEnd"/>
      <w:r w:rsidRPr="004240FD">
        <w:rPr>
          <w:rFonts w:ascii="Arial" w:hAnsi="Arial" w:cs="Arial"/>
          <w:sz w:val="24"/>
          <w:szCs w:val="24"/>
          <w:lang w:val="en-US"/>
        </w:rPr>
        <w:t xml:space="preserve">, The Hague. </w:t>
      </w:r>
      <w:hyperlink r:id="rId13" w:history="1">
        <w:r w:rsidRPr="004240FD">
          <w:rPr>
            <w:rStyle w:val="Hipervnculo"/>
            <w:rFonts w:ascii="Arial" w:hAnsi="Arial" w:cs="Arial"/>
            <w:sz w:val="24"/>
            <w:szCs w:val="24"/>
            <w:lang w:val="en-US"/>
          </w:rPr>
          <w:t>https://pdfs.semanticscholar.org/fee0/0e41a52a81f5f1a1b4dd2d902d82f5d53788.pdf</w:t>
        </w:r>
      </w:hyperlink>
      <w:r w:rsidRPr="004240FD">
        <w:rPr>
          <w:rFonts w:ascii="Arial" w:hAnsi="Arial" w:cs="Arial"/>
          <w:sz w:val="24"/>
          <w:szCs w:val="24"/>
          <w:lang w:val="en-US"/>
        </w:rPr>
        <w:t xml:space="preserve"> </w:t>
      </w:r>
    </w:p>
    <w:p w:rsidR="006959C9" w:rsidRPr="004240FD" w:rsidRDefault="000646F7" w:rsidP="004240FD">
      <w:pPr>
        <w:pStyle w:val="Prrafodelista"/>
        <w:numPr>
          <w:ilvl w:val="0"/>
          <w:numId w:val="10"/>
        </w:numPr>
        <w:spacing w:after="0"/>
        <w:ind w:left="426"/>
        <w:jc w:val="both"/>
        <w:rPr>
          <w:rStyle w:val="Hipervnculo"/>
          <w:rFonts w:ascii="Arial" w:hAnsi="Arial" w:cs="Arial"/>
          <w:color w:val="auto"/>
          <w:sz w:val="24"/>
          <w:szCs w:val="24"/>
          <w:u w:val="none"/>
          <w:lang w:val="en-US"/>
        </w:rPr>
      </w:pPr>
      <w:proofErr w:type="spellStart"/>
      <w:r w:rsidRPr="004240FD">
        <w:rPr>
          <w:rFonts w:ascii="Arial" w:hAnsi="Arial" w:cs="Arial"/>
          <w:sz w:val="24"/>
          <w:szCs w:val="24"/>
          <w:lang w:val="en-US"/>
        </w:rPr>
        <w:t>Taning</w:t>
      </w:r>
      <w:proofErr w:type="spellEnd"/>
      <w:r w:rsidRPr="004240FD">
        <w:rPr>
          <w:rFonts w:ascii="Arial" w:hAnsi="Arial" w:cs="Arial"/>
          <w:sz w:val="24"/>
          <w:szCs w:val="24"/>
          <w:lang w:val="en-US"/>
        </w:rPr>
        <w:t xml:space="preserve">, C.N.T., Van </w:t>
      </w:r>
      <w:proofErr w:type="spellStart"/>
      <w:r w:rsidRPr="004240FD">
        <w:rPr>
          <w:rFonts w:ascii="Arial" w:hAnsi="Arial" w:cs="Arial"/>
          <w:sz w:val="24"/>
          <w:szCs w:val="24"/>
          <w:lang w:val="en-US"/>
        </w:rPr>
        <w:t>Eynde</w:t>
      </w:r>
      <w:proofErr w:type="spellEnd"/>
      <w:r w:rsidRPr="004240FD">
        <w:rPr>
          <w:rFonts w:ascii="Arial" w:hAnsi="Arial" w:cs="Arial"/>
          <w:sz w:val="24"/>
          <w:szCs w:val="24"/>
          <w:lang w:val="en-US"/>
        </w:rPr>
        <w:t xml:space="preserve">, B., Yu, N., Ma, S., </w:t>
      </w:r>
      <w:proofErr w:type="spellStart"/>
      <w:r w:rsidRPr="004240FD">
        <w:rPr>
          <w:rFonts w:ascii="Arial" w:hAnsi="Arial" w:cs="Arial"/>
          <w:sz w:val="24"/>
          <w:szCs w:val="24"/>
          <w:lang w:val="en-US"/>
        </w:rPr>
        <w:t>Smagghe</w:t>
      </w:r>
      <w:proofErr w:type="spellEnd"/>
      <w:r w:rsidRPr="004240FD">
        <w:rPr>
          <w:rFonts w:ascii="Arial" w:hAnsi="Arial" w:cs="Arial"/>
          <w:sz w:val="24"/>
          <w:szCs w:val="24"/>
          <w:lang w:val="en-US"/>
        </w:rPr>
        <w:t xml:space="preserve">, G., CRISPR/Cas9 in </w:t>
      </w:r>
      <w:proofErr w:type="spellStart"/>
      <w:proofErr w:type="gramStart"/>
      <w:r w:rsidRPr="004240FD">
        <w:rPr>
          <w:rFonts w:ascii="Arial" w:hAnsi="Arial" w:cs="Arial"/>
          <w:sz w:val="24"/>
          <w:szCs w:val="24"/>
          <w:lang w:val="en-US"/>
        </w:rPr>
        <w:t>insects:Applications</w:t>
      </w:r>
      <w:proofErr w:type="spellEnd"/>
      <w:proofErr w:type="gramEnd"/>
      <w:r w:rsidRPr="004240FD">
        <w:rPr>
          <w:rFonts w:ascii="Arial" w:hAnsi="Arial" w:cs="Arial"/>
          <w:sz w:val="24"/>
          <w:szCs w:val="24"/>
          <w:lang w:val="en-US"/>
        </w:rPr>
        <w:t xml:space="preserve">, best practices and biosafety concerns, Journal of Insect Physiology (2017), </w:t>
      </w:r>
      <w:proofErr w:type="spellStart"/>
      <w:r w:rsidRPr="004240FD">
        <w:rPr>
          <w:rFonts w:ascii="Arial" w:hAnsi="Arial" w:cs="Arial"/>
          <w:sz w:val="24"/>
          <w:szCs w:val="24"/>
          <w:lang w:val="en-US"/>
        </w:rPr>
        <w:t>doi</w:t>
      </w:r>
      <w:proofErr w:type="spellEnd"/>
      <w:r w:rsidRPr="004240FD">
        <w:rPr>
          <w:rFonts w:ascii="Arial" w:hAnsi="Arial" w:cs="Arial"/>
          <w:sz w:val="24"/>
          <w:szCs w:val="24"/>
          <w:lang w:val="en-US"/>
        </w:rPr>
        <w:t xml:space="preserve">: </w:t>
      </w:r>
      <w:hyperlink r:id="rId14" w:history="1">
        <w:r w:rsidRPr="004240FD">
          <w:rPr>
            <w:rStyle w:val="Hipervnculo"/>
            <w:rFonts w:ascii="Arial" w:hAnsi="Arial" w:cs="Arial"/>
            <w:sz w:val="24"/>
            <w:szCs w:val="24"/>
            <w:lang w:val="en-US"/>
          </w:rPr>
          <w:t>http://dx.doi.org/10.1016/j.jinsphys.2017.01.007</w:t>
        </w:r>
      </w:hyperlink>
    </w:p>
    <w:p w:rsidR="003B54B6" w:rsidRPr="004240FD" w:rsidRDefault="003B54B6" w:rsidP="004240FD">
      <w:pPr>
        <w:pStyle w:val="Prrafodelista"/>
        <w:numPr>
          <w:ilvl w:val="0"/>
          <w:numId w:val="10"/>
        </w:numPr>
        <w:spacing w:after="0"/>
        <w:ind w:left="426"/>
        <w:jc w:val="both"/>
        <w:rPr>
          <w:rFonts w:ascii="Arial" w:hAnsi="Arial" w:cs="Arial"/>
          <w:sz w:val="24"/>
          <w:szCs w:val="24"/>
          <w:lang w:val="en-US"/>
        </w:rPr>
      </w:pPr>
      <w:proofErr w:type="spellStart"/>
      <w:r w:rsidRPr="004240FD">
        <w:rPr>
          <w:rFonts w:ascii="Arial" w:hAnsi="Arial" w:cs="Arial"/>
          <w:color w:val="222222"/>
          <w:sz w:val="24"/>
          <w:szCs w:val="24"/>
          <w:shd w:val="clear" w:color="auto" w:fill="FFFFFF"/>
          <w:lang w:val="en-US"/>
        </w:rPr>
        <w:t>Unckless</w:t>
      </w:r>
      <w:proofErr w:type="spellEnd"/>
      <w:r w:rsidRPr="004240FD">
        <w:rPr>
          <w:rFonts w:ascii="Arial" w:hAnsi="Arial" w:cs="Arial"/>
          <w:color w:val="222222"/>
          <w:sz w:val="24"/>
          <w:szCs w:val="24"/>
          <w:shd w:val="clear" w:color="auto" w:fill="FFFFFF"/>
          <w:lang w:val="en-US"/>
        </w:rPr>
        <w:t>, R. L., Clark, A. G., &amp; Messer, P. W. (2017). Evolution of resistance against CRISPR/Cas9 gene drive.</w:t>
      </w:r>
      <w:r w:rsidRPr="004240FD">
        <w:rPr>
          <w:rStyle w:val="apple-converted-space"/>
          <w:rFonts w:ascii="Arial" w:hAnsi="Arial" w:cs="Arial"/>
          <w:color w:val="222222"/>
          <w:sz w:val="24"/>
          <w:szCs w:val="24"/>
          <w:shd w:val="clear" w:color="auto" w:fill="FFFFFF"/>
          <w:lang w:val="en-US"/>
        </w:rPr>
        <w:t> </w:t>
      </w:r>
      <w:proofErr w:type="spellStart"/>
      <w:r w:rsidRPr="004240FD">
        <w:rPr>
          <w:rFonts w:ascii="Arial" w:hAnsi="Arial" w:cs="Arial"/>
          <w:i/>
          <w:iCs/>
          <w:color w:val="222222"/>
          <w:sz w:val="24"/>
          <w:szCs w:val="24"/>
          <w:shd w:val="clear" w:color="auto" w:fill="FFFFFF"/>
        </w:rPr>
        <w:t>Genetics</w:t>
      </w:r>
      <w:proofErr w:type="spellEnd"/>
      <w:r w:rsidRPr="004240FD">
        <w:rPr>
          <w:rFonts w:ascii="Arial" w:hAnsi="Arial" w:cs="Arial"/>
          <w:color w:val="222222"/>
          <w:sz w:val="24"/>
          <w:szCs w:val="24"/>
          <w:shd w:val="clear" w:color="auto" w:fill="FFFFFF"/>
        </w:rPr>
        <w:t>,</w:t>
      </w:r>
      <w:r w:rsidRPr="004240FD">
        <w:rPr>
          <w:rStyle w:val="apple-converted-space"/>
          <w:rFonts w:ascii="Arial" w:hAnsi="Arial" w:cs="Arial"/>
          <w:color w:val="222222"/>
          <w:sz w:val="24"/>
          <w:szCs w:val="24"/>
          <w:shd w:val="clear" w:color="auto" w:fill="FFFFFF"/>
        </w:rPr>
        <w:t> </w:t>
      </w:r>
      <w:r w:rsidRPr="004240FD">
        <w:rPr>
          <w:rFonts w:ascii="Arial" w:hAnsi="Arial" w:cs="Arial"/>
          <w:i/>
          <w:iCs/>
          <w:color w:val="222222"/>
          <w:sz w:val="24"/>
          <w:szCs w:val="24"/>
          <w:shd w:val="clear" w:color="auto" w:fill="FFFFFF"/>
        </w:rPr>
        <w:t>205</w:t>
      </w:r>
      <w:r w:rsidRPr="004240FD">
        <w:rPr>
          <w:rFonts w:ascii="Arial" w:hAnsi="Arial" w:cs="Arial"/>
          <w:color w:val="222222"/>
          <w:sz w:val="24"/>
          <w:szCs w:val="24"/>
          <w:shd w:val="clear" w:color="auto" w:fill="FFFFFF"/>
        </w:rPr>
        <w:t>(2), 827-841.</w:t>
      </w:r>
    </w:p>
    <w:p w:rsidR="0009390A" w:rsidRPr="004240FD" w:rsidRDefault="0009390A" w:rsidP="005B38CF">
      <w:pPr>
        <w:pStyle w:val="Prrafodelista"/>
        <w:spacing w:after="0"/>
        <w:ind w:left="705"/>
        <w:jc w:val="both"/>
        <w:rPr>
          <w:rFonts w:ascii="Arial" w:hAnsi="Arial" w:cs="Arial"/>
          <w:sz w:val="24"/>
          <w:szCs w:val="24"/>
          <w:lang w:val="en-US"/>
        </w:rPr>
      </w:pPr>
    </w:p>
    <w:p w:rsidR="00922BAA" w:rsidRPr="00A75621" w:rsidRDefault="00A75621" w:rsidP="00A75621">
      <w:pPr>
        <w:spacing w:after="0"/>
        <w:jc w:val="both"/>
        <w:rPr>
          <w:rFonts w:ascii="Arial" w:hAnsi="Arial" w:cs="Arial"/>
          <w:sz w:val="24"/>
          <w:szCs w:val="24"/>
          <w:lang w:val="es-ES"/>
        </w:rPr>
      </w:pPr>
      <w:r>
        <w:rPr>
          <w:rFonts w:ascii="Arial" w:hAnsi="Arial" w:cs="Arial"/>
          <w:sz w:val="24"/>
          <w:szCs w:val="24"/>
          <w:lang w:val="es-ES"/>
        </w:rPr>
        <w:t>E</w:t>
      </w:r>
      <w:r w:rsidR="00533AA3" w:rsidRPr="00A75621">
        <w:rPr>
          <w:rFonts w:ascii="Arial" w:hAnsi="Arial" w:cs="Arial"/>
          <w:sz w:val="24"/>
          <w:szCs w:val="24"/>
          <w:lang w:val="es-ES"/>
        </w:rPr>
        <w:t xml:space="preserve">l Consejo Nacional de Ciencia y Tecnología </w:t>
      </w:r>
      <w:r w:rsidR="00B30C72" w:rsidRPr="00A75621">
        <w:rPr>
          <w:rFonts w:ascii="Arial" w:hAnsi="Arial" w:cs="Arial"/>
          <w:sz w:val="24"/>
          <w:szCs w:val="24"/>
          <w:lang w:val="es-ES"/>
        </w:rPr>
        <w:t xml:space="preserve">y la Secretaría de Economía </w:t>
      </w:r>
      <w:r>
        <w:rPr>
          <w:rFonts w:ascii="Arial" w:hAnsi="Arial" w:cs="Arial"/>
          <w:sz w:val="24"/>
          <w:szCs w:val="24"/>
          <w:lang w:val="es-ES"/>
        </w:rPr>
        <w:t xml:space="preserve">han coordinado esfuerzos </w:t>
      </w:r>
      <w:r w:rsidR="00B30C72" w:rsidRPr="00A75621">
        <w:rPr>
          <w:rFonts w:ascii="Arial" w:hAnsi="Arial" w:cs="Arial"/>
          <w:sz w:val="24"/>
          <w:szCs w:val="24"/>
          <w:lang w:val="es-ES"/>
        </w:rPr>
        <w:t>para crear una red de vinculación y diálogo e</w:t>
      </w:r>
      <w:r w:rsidR="00922BAA" w:rsidRPr="00A75621">
        <w:rPr>
          <w:rFonts w:ascii="Arial" w:hAnsi="Arial" w:cs="Arial"/>
          <w:sz w:val="24"/>
          <w:szCs w:val="24"/>
          <w:lang w:val="es-ES"/>
        </w:rPr>
        <w:t>ntre la academia y la industria;</w:t>
      </w:r>
      <w:r w:rsidR="00B30C72" w:rsidRPr="00A75621">
        <w:rPr>
          <w:rFonts w:ascii="Arial" w:hAnsi="Arial" w:cs="Arial"/>
          <w:sz w:val="24"/>
          <w:szCs w:val="24"/>
          <w:lang w:val="es-ES"/>
        </w:rPr>
        <w:t xml:space="preserve"> así </w:t>
      </w:r>
      <w:r w:rsidR="00AE0106" w:rsidRPr="00A75621">
        <w:rPr>
          <w:rFonts w:ascii="Arial" w:hAnsi="Arial" w:cs="Arial"/>
          <w:sz w:val="24"/>
          <w:szCs w:val="24"/>
          <w:lang w:val="es-ES"/>
        </w:rPr>
        <w:t>certificaron a la</w:t>
      </w:r>
      <w:r w:rsidR="00AE0106" w:rsidRPr="00A75621">
        <w:rPr>
          <w:rFonts w:ascii="Arial" w:hAnsi="Arial" w:cs="Arial"/>
          <w:sz w:val="24"/>
          <w:szCs w:val="24"/>
        </w:rPr>
        <w:t xml:space="preserve"> </w:t>
      </w:r>
      <w:r w:rsidR="00AE0106" w:rsidRPr="00A75621">
        <w:rPr>
          <w:rFonts w:ascii="Arial" w:hAnsi="Arial" w:cs="Arial"/>
          <w:sz w:val="24"/>
          <w:szCs w:val="24"/>
          <w:lang w:val="es-ES"/>
        </w:rPr>
        <w:t xml:space="preserve">Oficina de Vinculación y Transferencia de Conocimiento denominada </w:t>
      </w:r>
      <w:proofErr w:type="spellStart"/>
      <w:r w:rsidR="00AE0106" w:rsidRPr="00A75621">
        <w:rPr>
          <w:rFonts w:ascii="Arial" w:hAnsi="Arial" w:cs="Arial"/>
          <w:sz w:val="24"/>
          <w:szCs w:val="24"/>
          <w:lang w:val="es-ES"/>
        </w:rPr>
        <w:t>Biosintética</w:t>
      </w:r>
      <w:proofErr w:type="spellEnd"/>
      <w:r w:rsidR="00AD33B0" w:rsidRPr="004240FD">
        <w:rPr>
          <w:rStyle w:val="Refdenotaalpie"/>
          <w:rFonts w:ascii="Arial" w:hAnsi="Arial" w:cs="Arial"/>
          <w:sz w:val="24"/>
          <w:szCs w:val="24"/>
          <w:lang w:val="es-ES"/>
        </w:rPr>
        <w:footnoteReference w:id="1"/>
      </w:r>
      <w:r w:rsidR="003342B9" w:rsidRPr="00A75621">
        <w:rPr>
          <w:rFonts w:ascii="Arial" w:hAnsi="Arial" w:cs="Arial"/>
          <w:sz w:val="24"/>
          <w:szCs w:val="24"/>
          <w:lang w:val="es-ES"/>
        </w:rPr>
        <w:t>,</w:t>
      </w:r>
      <w:r>
        <w:rPr>
          <w:rFonts w:ascii="Arial" w:hAnsi="Arial" w:cs="Arial"/>
          <w:sz w:val="24"/>
          <w:szCs w:val="24"/>
          <w:lang w:val="es-ES"/>
        </w:rPr>
        <w:t>(</w:t>
      </w:r>
      <w:hyperlink r:id="rId15" w:history="1">
        <w:r w:rsidRPr="00266603">
          <w:rPr>
            <w:rStyle w:val="Hipervnculo"/>
            <w:rFonts w:ascii="Arial" w:hAnsi="Arial" w:cs="Arial"/>
            <w:sz w:val="24"/>
            <w:szCs w:val="24"/>
            <w:lang w:val="es-ES"/>
          </w:rPr>
          <w:t>http://w</w:t>
        </w:r>
        <w:r w:rsidRPr="00016678">
          <w:rPr>
            <w:rStyle w:val="Hipervnculo"/>
            <w:rFonts w:ascii="Arial" w:hAnsi="Arial" w:cs="Arial"/>
            <w:sz w:val="24"/>
            <w:szCs w:val="24"/>
            <w:lang w:val="es-ES"/>
          </w:rPr>
          <w:t>ww.biosintetica.mx/</w:t>
        </w:r>
      </w:hyperlink>
      <w:r>
        <w:rPr>
          <w:rFonts w:ascii="Arial" w:hAnsi="Arial" w:cs="Arial"/>
          <w:sz w:val="24"/>
          <w:szCs w:val="24"/>
          <w:lang w:val="es-ES"/>
        </w:rPr>
        <w:t xml:space="preserve">), </w:t>
      </w:r>
      <w:r w:rsidR="00AE0106" w:rsidRPr="00A75621">
        <w:rPr>
          <w:rFonts w:ascii="Arial" w:hAnsi="Arial" w:cs="Arial"/>
          <w:sz w:val="24"/>
          <w:szCs w:val="24"/>
          <w:lang w:val="es-ES"/>
        </w:rPr>
        <w:t>la cua</w:t>
      </w:r>
      <w:r w:rsidR="007C17CC" w:rsidRPr="00A75621">
        <w:rPr>
          <w:rFonts w:ascii="Arial" w:hAnsi="Arial" w:cs="Arial"/>
          <w:sz w:val="24"/>
          <w:szCs w:val="24"/>
          <w:lang w:val="es-ES"/>
        </w:rPr>
        <w:t>l es una Red en la materia y</w:t>
      </w:r>
      <w:r w:rsidR="00922BAA" w:rsidRPr="00A75621">
        <w:rPr>
          <w:rFonts w:ascii="Arial" w:hAnsi="Arial" w:cs="Arial"/>
          <w:sz w:val="24"/>
          <w:szCs w:val="24"/>
          <w:lang w:val="es-ES"/>
        </w:rPr>
        <w:t xml:space="preserve"> que</w:t>
      </w:r>
      <w:r w:rsidR="007C17CC" w:rsidRPr="00A75621">
        <w:rPr>
          <w:rFonts w:ascii="Arial" w:hAnsi="Arial" w:cs="Arial"/>
          <w:sz w:val="24"/>
          <w:szCs w:val="24"/>
          <w:lang w:val="es-ES"/>
        </w:rPr>
        <w:t xml:space="preserve"> </w:t>
      </w:r>
      <w:r w:rsidR="00AE0106" w:rsidRPr="00A75621">
        <w:rPr>
          <w:rFonts w:ascii="Arial" w:hAnsi="Arial" w:cs="Arial"/>
          <w:sz w:val="24"/>
          <w:szCs w:val="24"/>
          <w:lang w:val="es-ES"/>
        </w:rPr>
        <w:t xml:space="preserve">ha emitido algunos documentos que incluyen conclusiones </w:t>
      </w:r>
      <w:r w:rsidR="00AE0106" w:rsidRPr="00A75621">
        <w:rPr>
          <w:rFonts w:ascii="Arial" w:hAnsi="Arial" w:cs="Arial"/>
          <w:sz w:val="24"/>
          <w:szCs w:val="24"/>
          <w:lang w:val="es-ES"/>
        </w:rPr>
        <w:lastRenderedPageBreak/>
        <w:t>y recomendaciones para el caso de México y países en vía</w:t>
      </w:r>
      <w:r w:rsidR="007C17CC" w:rsidRPr="00A75621">
        <w:rPr>
          <w:rFonts w:ascii="Arial" w:hAnsi="Arial" w:cs="Arial"/>
          <w:sz w:val="24"/>
          <w:szCs w:val="24"/>
          <w:lang w:val="es-ES"/>
        </w:rPr>
        <w:t>s</w:t>
      </w:r>
      <w:r w:rsidR="00AE0106" w:rsidRPr="00A75621">
        <w:rPr>
          <w:rFonts w:ascii="Arial" w:hAnsi="Arial" w:cs="Arial"/>
          <w:sz w:val="24"/>
          <w:szCs w:val="24"/>
          <w:lang w:val="es-ES"/>
        </w:rPr>
        <w:t xml:space="preserve"> de desarrollo</w:t>
      </w:r>
      <w:r>
        <w:rPr>
          <w:rFonts w:ascii="Arial" w:hAnsi="Arial" w:cs="Arial"/>
          <w:sz w:val="24"/>
          <w:szCs w:val="24"/>
          <w:lang w:val="es-ES"/>
        </w:rPr>
        <w:t xml:space="preserve"> (</w:t>
      </w:r>
      <w:hyperlink r:id="rId16" w:anchor="v=onepage&amp;q=DILEMAS%20DE%20LA%20INNOVACI%C3%93N%20EN%20M%C3%89XICO&amp;f=false" w:history="1">
        <w:r w:rsidRPr="00016678">
          <w:rPr>
            <w:rStyle w:val="Hipervnculo"/>
            <w:rFonts w:ascii="Arial" w:hAnsi="Arial" w:cs="Arial"/>
            <w:sz w:val="24"/>
            <w:szCs w:val="24"/>
            <w:lang w:val="es-ES"/>
          </w:rPr>
          <w:t>https://books.google.com.mx/books?hl=es&amp;lr=&amp;id=KtDTCQAAQBAJ&amp;oi=fnd&amp;pg=PA9&amp;dq=DILEMAS+DE+LA+INNOVACI%C3%93N+EN+M%C3%89XICO&amp;ots=WKLDp3cLga&amp;sig=mY-Ix-4EsgLyOF8puljXM6Arc6Q&amp;redir_esc=y#v=onepage&amp;q=DILEMAS%20DE%20LA%20INNOVACI%C3%93N%20EN%20M%C3%89XICO&amp;f=false</w:t>
        </w:r>
      </w:hyperlink>
      <w:r>
        <w:rPr>
          <w:rFonts w:ascii="Arial" w:hAnsi="Arial" w:cs="Arial"/>
          <w:sz w:val="24"/>
          <w:szCs w:val="24"/>
          <w:lang w:val="es-ES"/>
        </w:rPr>
        <w:t>)</w:t>
      </w:r>
      <w:r w:rsidR="00AE0106" w:rsidRPr="00A75621">
        <w:rPr>
          <w:rFonts w:ascii="Arial" w:hAnsi="Arial" w:cs="Arial"/>
          <w:sz w:val="24"/>
          <w:szCs w:val="24"/>
          <w:lang w:val="es-ES"/>
        </w:rPr>
        <w:t>.</w:t>
      </w:r>
      <w:r w:rsidR="00B30C72" w:rsidRPr="00A75621">
        <w:rPr>
          <w:rFonts w:ascii="Arial" w:hAnsi="Arial" w:cs="Arial"/>
          <w:sz w:val="24"/>
          <w:szCs w:val="24"/>
          <w:lang w:val="es-ES"/>
        </w:rPr>
        <w:t xml:space="preserve"> </w:t>
      </w:r>
      <w:r w:rsidR="00922BAA" w:rsidRPr="00A75621">
        <w:rPr>
          <w:rFonts w:ascii="Arial" w:hAnsi="Arial" w:cs="Arial"/>
          <w:sz w:val="24"/>
          <w:szCs w:val="24"/>
          <w:lang w:val="es-ES"/>
        </w:rPr>
        <w:t>Cuenta también con una base de datos sobre los proyectos de biología sintética que se llevan a cabo en México o en los que participan investigadores mexicanos con el fin de promover la vinculación entre academia e industria.</w:t>
      </w:r>
    </w:p>
    <w:p w:rsidR="00036F43" w:rsidRDefault="00036F43" w:rsidP="00036F43">
      <w:pPr>
        <w:spacing w:after="0"/>
        <w:jc w:val="both"/>
        <w:rPr>
          <w:rFonts w:ascii="Arial" w:hAnsi="Arial" w:cs="Arial"/>
          <w:sz w:val="24"/>
          <w:szCs w:val="24"/>
          <w:lang w:val="es-ES"/>
        </w:rPr>
      </w:pPr>
    </w:p>
    <w:p w:rsidR="002F35AD" w:rsidRPr="00036F43" w:rsidRDefault="00A37280" w:rsidP="00036F43">
      <w:pPr>
        <w:spacing w:after="0"/>
        <w:jc w:val="both"/>
        <w:rPr>
          <w:rFonts w:ascii="Arial" w:hAnsi="Arial" w:cs="Arial"/>
          <w:sz w:val="24"/>
          <w:szCs w:val="24"/>
          <w:lang w:val="es-ES"/>
        </w:rPr>
      </w:pPr>
      <w:r>
        <w:rPr>
          <w:rFonts w:ascii="Arial" w:hAnsi="Arial" w:cs="Arial"/>
          <w:sz w:val="24"/>
          <w:szCs w:val="24"/>
          <w:lang w:val="es-ES"/>
        </w:rPr>
        <w:t xml:space="preserve">Dado </w:t>
      </w:r>
      <w:r w:rsidR="002F35AD" w:rsidRPr="00036F43">
        <w:rPr>
          <w:rFonts w:ascii="Arial" w:hAnsi="Arial" w:cs="Arial"/>
          <w:sz w:val="24"/>
          <w:szCs w:val="24"/>
          <w:lang w:val="es-ES"/>
        </w:rPr>
        <w:t>que los desarrollos de la Biología Sintética pueden tener objetivo</w:t>
      </w:r>
      <w:r>
        <w:rPr>
          <w:rFonts w:ascii="Arial" w:hAnsi="Arial" w:cs="Arial"/>
          <w:sz w:val="24"/>
          <w:szCs w:val="24"/>
          <w:lang w:val="es-ES"/>
        </w:rPr>
        <w:t>s</w:t>
      </w:r>
      <w:r w:rsidR="002F35AD" w:rsidRPr="00036F43">
        <w:rPr>
          <w:rFonts w:ascii="Arial" w:hAnsi="Arial" w:cs="Arial"/>
          <w:sz w:val="24"/>
          <w:szCs w:val="24"/>
          <w:lang w:val="es-ES"/>
        </w:rPr>
        <w:t xml:space="preserve"> académico</w:t>
      </w:r>
      <w:r>
        <w:rPr>
          <w:rFonts w:ascii="Arial" w:hAnsi="Arial" w:cs="Arial"/>
          <w:sz w:val="24"/>
          <w:szCs w:val="24"/>
          <w:lang w:val="es-ES"/>
        </w:rPr>
        <w:t>s</w:t>
      </w:r>
      <w:r w:rsidR="002F35AD" w:rsidRPr="00036F43">
        <w:rPr>
          <w:rFonts w:ascii="Arial" w:hAnsi="Arial" w:cs="Arial"/>
          <w:sz w:val="24"/>
          <w:szCs w:val="24"/>
          <w:lang w:val="es-ES"/>
        </w:rPr>
        <w:t xml:space="preserve"> </w:t>
      </w:r>
      <w:r>
        <w:rPr>
          <w:rFonts w:ascii="Arial" w:hAnsi="Arial" w:cs="Arial"/>
          <w:sz w:val="24"/>
          <w:szCs w:val="24"/>
          <w:lang w:val="es-ES"/>
        </w:rPr>
        <w:t xml:space="preserve">o </w:t>
      </w:r>
      <w:r w:rsidR="002F35AD" w:rsidRPr="00036F43">
        <w:rPr>
          <w:rFonts w:ascii="Arial" w:hAnsi="Arial" w:cs="Arial"/>
          <w:sz w:val="24"/>
          <w:szCs w:val="24"/>
          <w:lang w:val="es-ES"/>
        </w:rPr>
        <w:t>comercial</w:t>
      </w:r>
      <w:r>
        <w:rPr>
          <w:rFonts w:ascii="Arial" w:hAnsi="Arial" w:cs="Arial"/>
          <w:sz w:val="24"/>
          <w:szCs w:val="24"/>
          <w:lang w:val="es-ES"/>
        </w:rPr>
        <w:t xml:space="preserve">es </w:t>
      </w:r>
      <w:r w:rsidR="002F35AD" w:rsidRPr="00036F43">
        <w:rPr>
          <w:rFonts w:ascii="Arial" w:hAnsi="Arial" w:cs="Arial"/>
          <w:sz w:val="24"/>
          <w:szCs w:val="24"/>
          <w:lang w:val="es-ES"/>
        </w:rPr>
        <w:t xml:space="preserve">no todos </w:t>
      </w:r>
      <w:r>
        <w:rPr>
          <w:rFonts w:ascii="Arial" w:hAnsi="Arial" w:cs="Arial"/>
          <w:sz w:val="24"/>
          <w:szCs w:val="24"/>
          <w:lang w:val="es-ES"/>
        </w:rPr>
        <w:t>se encuentran en los supuestos de</w:t>
      </w:r>
      <w:r w:rsidR="002F35AD" w:rsidRPr="00036F43">
        <w:rPr>
          <w:rFonts w:ascii="Arial" w:hAnsi="Arial" w:cs="Arial"/>
          <w:sz w:val="24"/>
          <w:szCs w:val="24"/>
          <w:lang w:val="es-ES"/>
        </w:rPr>
        <w:t xml:space="preserve"> distribu</w:t>
      </w:r>
      <w:r>
        <w:rPr>
          <w:rFonts w:ascii="Arial" w:hAnsi="Arial" w:cs="Arial"/>
          <w:sz w:val="24"/>
          <w:szCs w:val="24"/>
          <w:lang w:val="es-ES"/>
        </w:rPr>
        <w:t>ción de</w:t>
      </w:r>
      <w:r w:rsidR="002F35AD" w:rsidRPr="00036F43">
        <w:rPr>
          <w:rFonts w:ascii="Arial" w:hAnsi="Arial" w:cs="Arial"/>
          <w:sz w:val="24"/>
          <w:szCs w:val="24"/>
          <w:lang w:val="es-ES"/>
        </w:rPr>
        <w:t xml:space="preserve"> beneficios dentro del</w:t>
      </w:r>
      <w:r>
        <w:rPr>
          <w:rFonts w:ascii="Arial" w:hAnsi="Arial" w:cs="Arial"/>
          <w:sz w:val="24"/>
          <w:szCs w:val="24"/>
          <w:lang w:val="es-ES"/>
        </w:rPr>
        <w:t xml:space="preserve"> ámbito del Protocolo de Nagoya;</w:t>
      </w:r>
      <w:r w:rsidR="002F35AD" w:rsidRPr="00036F43">
        <w:rPr>
          <w:rFonts w:ascii="Arial" w:hAnsi="Arial" w:cs="Arial"/>
          <w:sz w:val="24"/>
          <w:szCs w:val="24"/>
          <w:lang w:val="es-ES"/>
        </w:rPr>
        <w:t xml:space="preserve"> sin embargo, los organismos desarrollados por biología sintética, </w:t>
      </w:r>
      <w:r>
        <w:rPr>
          <w:rFonts w:ascii="Arial" w:hAnsi="Arial" w:cs="Arial"/>
          <w:sz w:val="24"/>
          <w:szCs w:val="24"/>
          <w:lang w:val="es-ES"/>
        </w:rPr>
        <w:t>si</w:t>
      </w:r>
      <w:r w:rsidR="002F35AD" w:rsidRPr="00036F43">
        <w:rPr>
          <w:rFonts w:ascii="Arial" w:hAnsi="Arial" w:cs="Arial"/>
          <w:sz w:val="24"/>
          <w:szCs w:val="24"/>
          <w:lang w:val="es-ES"/>
        </w:rPr>
        <w:t xml:space="preserve"> pueden regula</w:t>
      </w:r>
      <w:r>
        <w:rPr>
          <w:rFonts w:ascii="Arial" w:hAnsi="Arial" w:cs="Arial"/>
          <w:sz w:val="24"/>
          <w:szCs w:val="24"/>
          <w:lang w:val="es-ES"/>
        </w:rPr>
        <w:t>rse</w:t>
      </w:r>
      <w:r w:rsidR="002F35AD" w:rsidRPr="00036F43">
        <w:rPr>
          <w:rFonts w:ascii="Arial" w:hAnsi="Arial" w:cs="Arial"/>
          <w:sz w:val="24"/>
          <w:szCs w:val="24"/>
          <w:lang w:val="es-ES"/>
        </w:rPr>
        <w:t xml:space="preserve"> por el Protocolo de Cartagena en cuanto a su uso y liberación.</w:t>
      </w:r>
    </w:p>
    <w:p w:rsidR="00A33ED3" w:rsidRPr="00A37280" w:rsidRDefault="00A33ED3" w:rsidP="00A37280">
      <w:pPr>
        <w:spacing w:after="0"/>
        <w:jc w:val="both"/>
        <w:rPr>
          <w:rFonts w:ascii="Arial" w:hAnsi="Arial" w:cs="Arial"/>
          <w:sz w:val="24"/>
          <w:szCs w:val="24"/>
          <w:lang w:val="es-ES"/>
        </w:rPr>
      </w:pPr>
    </w:p>
    <w:p w:rsidR="00A33ED3" w:rsidRPr="004240FD" w:rsidRDefault="00A33ED3" w:rsidP="005B38CF">
      <w:pPr>
        <w:pStyle w:val="Prrafodelista"/>
        <w:numPr>
          <w:ilvl w:val="0"/>
          <w:numId w:val="9"/>
        </w:numPr>
        <w:spacing w:after="0"/>
        <w:jc w:val="both"/>
        <w:rPr>
          <w:rFonts w:ascii="Arial" w:hAnsi="Arial" w:cs="Arial"/>
          <w:b/>
          <w:sz w:val="24"/>
          <w:szCs w:val="24"/>
          <w:lang w:val="es-ES"/>
        </w:rPr>
      </w:pPr>
      <w:r w:rsidRPr="004240FD">
        <w:rPr>
          <w:rFonts w:ascii="Arial" w:hAnsi="Arial" w:cs="Arial"/>
          <w:b/>
          <w:sz w:val="24"/>
          <w:szCs w:val="24"/>
          <w:lang w:val="es-ES"/>
        </w:rPr>
        <w:t>Datos empíricos sobre los beneficios y los efectos adversos de la biología sintética en relación con los tres objetivos del Convenio;</w:t>
      </w:r>
    </w:p>
    <w:p w:rsidR="006C6184" w:rsidRPr="004240FD" w:rsidRDefault="006C6184" w:rsidP="005B38CF">
      <w:pPr>
        <w:pStyle w:val="Prrafodelista"/>
        <w:spacing w:after="0"/>
        <w:ind w:left="705"/>
        <w:jc w:val="both"/>
        <w:rPr>
          <w:rFonts w:ascii="Arial" w:hAnsi="Arial" w:cs="Arial"/>
          <w:b/>
          <w:sz w:val="24"/>
          <w:szCs w:val="24"/>
          <w:lang w:val="es-ES"/>
        </w:rPr>
      </w:pPr>
    </w:p>
    <w:p w:rsidR="00EA2B96" w:rsidRPr="004240FD" w:rsidRDefault="00A95C91" w:rsidP="005B38CF">
      <w:pPr>
        <w:jc w:val="both"/>
        <w:rPr>
          <w:rFonts w:ascii="Arial" w:hAnsi="Arial" w:cs="Arial"/>
          <w:sz w:val="24"/>
          <w:szCs w:val="24"/>
          <w:lang w:val="es-ES"/>
        </w:rPr>
      </w:pPr>
      <w:r w:rsidRPr="004240FD">
        <w:rPr>
          <w:rFonts w:ascii="Arial" w:hAnsi="Arial" w:cs="Arial"/>
          <w:sz w:val="24"/>
          <w:szCs w:val="24"/>
          <w:lang w:val="es-ES"/>
        </w:rPr>
        <w:t xml:space="preserve">En el documento publicado por la </w:t>
      </w:r>
      <w:proofErr w:type="spellStart"/>
      <w:r w:rsidR="00EA2B96" w:rsidRPr="004240FD">
        <w:rPr>
          <w:rFonts w:ascii="Arial" w:hAnsi="Arial" w:cs="Arial"/>
          <w:sz w:val="24"/>
          <w:szCs w:val="24"/>
          <w:lang w:val="es-ES"/>
        </w:rPr>
        <w:t>National</w:t>
      </w:r>
      <w:proofErr w:type="spellEnd"/>
      <w:r w:rsidR="00EA2B96" w:rsidRPr="004240FD">
        <w:rPr>
          <w:rFonts w:ascii="Arial" w:hAnsi="Arial" w:cs="Arial"/>
          <w:sz w:val="24"/>
          <w:szCs w:val="24"/>
          <w:lang w:val="es-ES"/>
        </w:rPr>
        <w:t xml:space="preserve"> </w:t>
      </w:r>
      <w:proofErr w:type="spellStart"/>
      <w:r w:rsidR="00EA2B96" w:rsidRPr="004240FD">
        <w:rPr>
          <w:rFonts w:ascii="Arial" w:hAnsi="Arial" w:cs="Arial"/>
          <w:sz w:val="24"/>
          <w:szCs w:val="24"/>
          <w:lang w:val="es-ES"/>
        </w:rPr>
        <w:t>Academies</w:t>
      </w:r>
      <w:proofErr w:type="spellEnd"/>
      <w:r w:rsidR="00EA2B96" w:rsidRPr="004240FD">
        <w:rPr>
          <w:rFonts w:ascii="Arial" w:hAnsi="Arial" w:cs="Arial"/>
          <w:sz w:val="24"/>
          <w:szCs w:val="24"/>
          <w:lang w:val="es-ES"/>
        </w:rPr>
        <w:t xml:space="preserve"> of </w:t>
      </w:r>
      <w:proofErr w:type="spellStart"/>
      <w:r w:rsidR="00EA2B96" w:rsidRPr="004240FD">
        <w:rPr>
          <w:rFonts w:ascii="Arial" w:hAnsi="Arial" w:cs="Arial"/>
          <w:sz w:val="24"/>
          <w:szCs w:val="24"/>
          <w:lang w:val="es-ES"/>
        </w:rPr>
        <w:t>Sciences</w:t>
      </w:r>
      <w:proofErr w:type="spellEnd"/>
      <w:r w:rsidR="00EA2B96" w:rsidRPr="004240FD">
        <w:rPr>
          <w:rFonts w:ascii="Arial" w:hAnsi="Arial" w:cs="Arial"/>
          <w:sz w:val="24"/>
          <w:szCs w:val="24"/>
          <w:lang w:val="es-ES"/>
        </w:rPr>
        <w:t xml:space="preserve">, </w:t>
      </w:r>
      <w:proofErr w:type="spellStart"/>
      <w:r w:rsidR="00EA2B96" w:rsidRPr="004240FD">
        <w:rPr>
          <w:rFonts w:ascii="Arial" w:hAnsi="Arial" w:cs="Arial"/>
          <w:sz w:val="24"/>
          <w:szCs w:val="24"/>
          <w:lang w:val="es-ES"/>
        </w:rPr>
        <w:t>Engineering</w:t>
      </w:r>
      <w:proofErr w:type="spellEnd"/>
      <w:r w:rsidR="00EA2B96" w:rsidRPr="004240FD">
        <w:rPr>
          <w:rFonts w:ascii="Arial" w:hAnsi="Arial" w:cs="Arial"/>
          <w:sz w:val="24"/>
          <w:szCs w:val="24"/>
          <w:lang w:val="es-ES"/>
        </w:rPr>
        <w:t xml:space="preserve">, and Medicine (2016), se presentan siete estudios de caso en los que uno a uno se describen los posibles beneficios y efectos adversos de la utilización de la técnica “gene drives”, </w:t>
      </w:r>
      <w:r w:rsidR="00AD5BA7">
        <w:rPr>
          <w:rFonts w:ascii="Arial" w:hAnsi="Arial" w:cs="Arial"/>
          <w:sz w:val="24"/>
          <w:szCs w:val="24"/>
          <w:lang w:val="es-ES"/>
        </w:rPr>
        <w:t xml:space="preserve">los </w:t>
      </w:r>
      <w:r w:rsidR="00EA2B96" w:rsidRPr="004240FD">
        <w:rPr>
          <w:rFonts w:ascii="Arial" w:hAnsi="Arial" w:cs="Arial"/>
          <w:sz w:val="24"/>
          <w:szCs w:val="24"/>
          <w:lang w:val="es-ES"/>
        </w:rPr>
        <w:t xml:space="preserve">casos son: </w:t>
      </w:r>
    </w:p>
    <w:p w:rsidR="006E7566" w:rsidRPr="004240FD" w:rsidRDefault="00EA2B9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 xml:space="preserve"> </w:t>
      </w:r>
      <w:r w:rsidRPr="004240FD">
        <w:rPr>
          <w:rFonts w:ascii="Arial" w:hAnsi="Arial" w:cs="Arial"/>
          <w:i/>
          <w:sz w:val="24"/>
          <w:szCs w:val="24"/>
          <w:lang w:val="es-ES"/>
        </w:rPr>
        <w:t xml:space="preserve">Aedes </w:t>
      </w:r>
      <w:proofErr w:type="spellStart"/>
      <w:r w:rsidRPr="004240FD">
        <w:rPr>
          <w:rFonts w:ascii="Arial" w:hAnsi="Arial" w:cs="Arial"/>
          <w:i/>
          <w:sz w:val="24"/>
          <w:szCs w:val="24"/>
          <w:lang w:val="es-ES"/>
        </w:rPr>
        <w:t>aegypti</w:t>
      </w:r>
      <w:proofErr w:type="spellEnd"/>
      <w:r w:rsidRPr="004240FD">
        <w:rPr>
          <w:rFonts w:ascii="Arial" w:hAnsi="Arial" w:cs="Arial"/>
          <w:sz w:val="24"/>
          <w:szCs w:val="24"/>
          <w:lang w:val="es-ES"/>
        </w:rPr>
        <w:t xml:space="preserve"> y </w:t>
      </w:r>
      <w:r w:rsidRPr="004240FD">
        <w:rPr>
          <w:rFonts w:ascii="Arial" w:hAnsi="Arial" w:cs="Arial"/>
          <w:i/>
          <w:sz w:val="24"/>
          <w:szCs w:val="24"/>
          <w:lang w:val="es-ES"/>
        </w:rPr>
        <w:t xml:space="preserve">Aedes </w:t>
      </w:r>
      <w:proofErr w:type="spellStart"/>
      <w:r w:rsidRPr="004240FD">
        <w:rPr>
          <w:rFonts w:ascii="Arial" w:hAnsi="Arial" w:cs="Arial"/>
          <w:i/>
          <w:sz w:val="24"/>
          <w:szCs w:val="24"/>
          <w:lang w:val="es-ES"/>
        </w:rPr>
        <w:t>albopictus</w:t>
      </w:r>
      <w:proofErr w:type="spellEnd"/>
      <w:r w:rsidRPr="004240FD">
        <w:rPr>
          <w:rFonts w:ascii="Arial" w:hAnsi="Arial" w:cs="Arial"/>
          <w:sz w:val="24"/>
          <w:szCs w:val="24"/>
          <w:lang w:val="es-ES"/>
        </w:rPr>
        <w:t xml:space="preserve"> para manejo de Dengue</w:t>
      </w:r>
    </w:p>
    <w:p w:rsidR="006E7566" w:rsidRPr="004240FD" w:rsidRDefault="006E756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 xml:space="preserve"> </w:t>
      </w:r>
      <w:proofErr w:type="spellStart"/>
      <w:r w:rsidRPr="004240FD">
        <w:rPr>
          <w:rFonts w:ascii="Arial" w:hAnsi="Arial" w:cs="Arial"/>
          <w:i/>
          <w:sz w:val="24"/>
          <w:szCs w:val="24"/>
          <w:lang w:val="es-ES"/>
        </w:rPr>
        <w:t>Anopheles</w:t>
      </w:r>
      <w:proofErr w:type="spellEnd"/>
      <w:r w:rsidRPr="004240FD">
        <w:rPr>
          <w:rFonts w:ascii="Arial" w:hAnsi="Arial" w:cs="Arial"/>
          <w:i/>
          <w:sz w:val="24"/>
          <w:szCs w:val="24"/>
          <w:lang w:val="es-ES"/>
        </w:rPr>
        <w:t xml:space="preserve"> </w:t>
      </w:r>
      <w:proofErr w:type="spellStart"/>
      <w:r w:rsidRPr="004240FD">
        <w:rPr>
          <w:rFonts w:ascii="Arial" w:hAnsi="Arial" w:cs="Arial"/>
          <w:i/>
          <w:sz w:val="24"/>
          <w:szCs w:val="24"/>
          <w:lang w:val="es-ES"/>
        </w:rPr>
        <w:t>g</w:t>
      </w:r>
      <w:r w:rsidR="00EA2B96" w:rsidRPr="004240FD">
        <w:rPr>
          <w:rFonts w:ascii="Arial" w:hAnsi="Arial" w:cs="Arial"/>
          <w:i/>
          <w:sz w:val="24"/>
          <w:szCs w:val="24"/>
          <w:lang w:val="es-ES"/>
        </w:rPr>
        <w:t>ambiae</w:t>
      </w:r>
      <w:proofErr w:type="spellEnd"/>
      <w:r w:rsidR="00EA2B96" w:rsidRPr="004240FD">
        <w:rPr>
          <w:rFonts w:ascii="Arial" w:hAnsi="Arial" w:cs="Arial"/>
          <w:sz w:val="24"/>
          <w:szCs w:val="24"/>
          <w:lang w:val="es-ES"/>
        </w:rPr>
        <w:t xml:space="preserve"> </w:t>
      </w:r>
      <w:r w:rsidRPr="004240FD">
        <w:rPr>
          <w:rFonts w:ascii="Arial" w:hAnsi="Arial" w:cs="Arial"/>
          <w:sz w:val="24"/>
          <w:szCs w:val="24"/>
          <w:lang w:val="es-ES"/>
        </w:rPr>
        <w:t xml:space="preserve">para </w:t>
      </w:r>
      <w:proofErr w:type="spellStart"/>
      <w:r w:rsidRPr="004240FD">
        <w:rPr>
          <w:rFonts w:ascii="Arial" w:hAnsi="Arial" w:cs="Arial"/>
          <w:sz w:val="24"/>
          <w:szCs w:val="24"/>
          <w:lang w:val="es-ES"/>
        </w:rPr>
        <w:t>combater</w:t>
      </w:r>
      <w:proofErr w:type="spellEnd"/>
      <w:r w:rsidRPr="004240FD">
        <w:rPr>
          <w:rFonts w:ascii="Arial" w:hAnsi="Arial" w:cs="Arial"/>
          <w:sz w:val="24"/>
          <w:szCs w:val="24"/>
          <w:lang w:val="es-ES"/>
        </w:rPr>
        <w:t xml:space="preserve"> la  Malaria</w:t>
      </w:r>
    </w:p>
    <w:p w:rsidR="006E7566" w:rsidRPr="004240FD" w:rsidRDefault="006E7566" w:rsidP="005B38CF">
      <w:pPr>
        <w:pStyle w:val="Prrafodelista"/>
        <w:numPr>
          <w:ilvl w:val="0"/>
          <w:numId w:val="11"/>
        </w:numPr>
        <w:jc w:val="both"/>
        <w:rPr>
          <w:rFonts w:ascii="Arial" w:hAnsi="Arial" w:cs="Arial"/>
          <w:sz w:val="24"/>
          <w:szCs w:val="24"/>
          <w:lang w:val="es-ES"/>
        </w:rPr>
      </w:pPr>
      <w:proofErr w:type="spellStart"/>
      <w:r w:rsidRPr="004240FD">
        <w:rPr>
          <w:rFonts w:ascii="Arial" w:hAnsi="Arial" w:cs="Arial"/>
          <w:i/>
          <w:sz w:val="24"/>
          <w:szCs w:val="24"/>
          <w:lang w:val="es-ES"/>
        </w:rPr>
        <w:t>Culex</w:t>
      </w:r>
      <w:proofErr w:type="spellEnd"/>
      <w:r w:rsidRPr="004240FD">
        <w:rPr>
          <w:rFonts w:ascii="Arial" w:hAnsi="Arial" w:cs="Arial"/>
          <w:i/>
          <w:sz w:val="24"/>
          <w:szCs w:val="24"/>
          <w:lang w:val="es-ES"/>
        </w:rPr>
        <w:t xml:space="preserve"> </w:t>
      </w:r>
      <w:proofErr w:type="spellStart"/>
      <w:r w:rsidRPr="004240FD">
        <w:rPr>
          <w:rFonts w:ascii="Arial" w:hAnsi="Arial" w:cs="Arial"/>
          <w:i/>
          <w:sz w:val="24"/>
          <w:szCs w:val="24"/>
          <w:lang w:val="es-ES"/>
        </w:rPr>
        <w:t>q</w:t>
      </w:r>
      <w:r w:rsidR="00EA2B96" w:rsidRPr="004240FD">
        <w:rPr>
          <w:rFonts w:ascii="Arial" w:hAnsi="Arial" w:cs="Arial"/>
          <w:i/>
          <w:sz w:val="24"/>
          <w:szCs w:val="24"/>
          <w:lang w:val="es-ES"/>
        </w:rPr>
        <w:t>uinquefasciatus</w:t>
      </w:r>
      <w:proofErr w:type="spellEnd"/>
      <w:r w:rsidR="00EA2B96" w:rsidRPr="004240FD">
        <w:rPr>
          <w:rFonts w:ascii="Arial" w:hAnsi="Arial" w:cs="Arial"/>
          <w:sz w:val="24"/>
          <w:szCs w:val="24"/>
          <w:lang w:val="es-ES"/>
        </w:rPr>
        <w:t xml:space="preserve"> </w:t>
      </w:r>
      <w:r w:rsidRPr="004240FD">
        <w:rPr>
          <w:rFonts w:ascii="Arial" w:hAnsi="Arial" w:cs="Arial"/>
          <w:sz w:val="24"/>
          <w:szCs w:val="24"/>
          <w:lang w:val="es-ES"/>
        </w:rPr>
        <w:t xml:space="preserve">para combatir la </w:t>
      </w:r>
      <w:r w:rsidR="00EA2B96" w:rsidRPr="004240FD">
        <w:rPr>
          <w:rFonts w:ascii="Arial" w:hAnsi="Arial" w:cs="Arial"/>
          <w:sz w:val="24"/>
          <w:szCs w:val="24"/>
          <w:lang w:val="es-ES"/>
        </w:rPr>
        <w:t xml:space="preserve"> Malaria</w:t>
      </w:r>
      <w:r w:rsidRPr="004240FD">
        <w:rPr>
          <w:rFonts w:ascii="Arial" w:hAnsi="Arial" w:cs="Arial"/>
          <w:sz w:val="24"/>
          <w:szCs w:val="24"/>
          <w:lang w:val="es-ES"/>
        </w:rPr>
        <w:t xml:space="preserve"> aviar en </w:t>
      </w:r>
      <w:proofErr w:type="spellStart"/>
      <w:r w:rsidR="00EA2B96" w:rsidRPr="004240FD">
        <w:rPr>
          <w:rFonts w:ascii="Arial" w:hAnsi="Arial" w:cs="Arial"/>
          <w:sz w:val="24"/>
          <w:szCs w:val="24"/>
          <w:lang w:val="es-ES"/>
        </w:rPr>
        <w:t>Hawaii</w:t>
      </w:r>
      <w:proofErr w:type="spellEnd"/>
    </w:p>
    <w:p w:rsidR="006E7566" w:rsidRPr="004240FD" w:rsidRDefault="006E756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 xml:space="preserve">Control biológico de ratones </w:t>
      </w:r>
      <w:r w:rsidR="006C6184" w:rsidRPr="004240FD">
        <w:rPr>
          <w:rFonts w:ascii="Arial" w:hAnsi="Arial" w:cs="Arial"/>
          <w:sz w:val="24"/>
          <w:szCs w:val="24"/>
          <w:lang w:val="es-ES"/>
        </w:rPr>
        <w:t>(</w:t>
      </w:r>
      <w:r w:rsidRPr="004240FD">
        <w:rPr>
          <w:rFonts w:ascii="Arial" w:hAnsi="Arial" w:cs="Arial"/>
          <w:i/>
          <w:sz w:val="24"/>
          <w:szCs w:val="24"/>
          <w:lang w:val="es-ES"/>
        </w:rPr>
        <w:t xml:space="preserve">Mus </w:t>
      </w:r>
      <w:proofErr w:type="spellStart"/>
      <w:r w:rsidRPr="004240FD">
        <w:rPr>
          <w:rFonts w:ascii="Arial" w:hAnsi="Arial" w:cs="Arial"/>
          <w:i/>
          <w:sz w:val="24"/>
          <w:szCs w:val="24"/>
          <w:lang w:val="es-ES"/>
        </w:rPr>
        <w:t>m</w:t>
      </w:r>
      <w:r w:rsidR="00EA2B96" w:rsidRPr="004240FD">
        <w:rPr>
          <w:rFonts w:ascii="Arial" w:hAnsi="Arial" w:cs="Arial"/>
          <w:i/>
          <w:sz w:val="24"/>
          <w:szCs w:val="24"/>
          <w:lang w:val="es-ES"/>
        </w:rPr>
        <w:t>usculus</w:t>
      </w:r>
      <w:proofErr w:type="spellEnd"/>
      <w:r w:rsidR="006C6184" w:rsidRPr="004240FD">
        <w:rPr>
          <w:rFonts w:ascii="Arial" w:hAnsi="Arial" w:cs="Arial"/>
          <w:sz w:val="24"/>
          <w:szCs w:val="24"/>
          <w:lang w:val="es-ES"/>
        </w:rPr>
        <w:t>)</w:t>
      </w:r>
    </w:p>
    <w:p w:rsidR="006E7566" w:rsidRPr="004240FD" w:rsidRDefault="006E756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 xml:space="preserve">Control biológico de la especie exótica </w:t>
      </w:r>
      <w:r w:rsidRPr="004240FD">
        <w:rPr>
          <w:rFonts w:ascii="Arial" w:hAnsi="Arial" w:cs="Arial"/>
          <w:i/>
          <w:sz w:val="24"/>
          <w:szCs w:val="24"/>
          <w:lang w:val="es-ES"/>
        </w:rPr>
        <w:t>Centaurea m</w:t>
      </w:r>
      <w:r w:rsidR="00EA2B96" w:rsidRPr="004240FD">
        <w:rPr>
          <w:rFonts w:ascii="Arial" w:hAnsi="Arial" w:cs="Arial"/>
          <w:i/>
          <w:sz w:val="24"/>
          <w:szCs w:val="24"/>
          <w:lang w:val="es-ES"/>
        </w:rPr>
        <w:t>aculosa</w:t>
      </w:r>
    </w:p>
    <w:p w:rsidR="006E7566" w:rsidRPr="004240FD" w:rsidRDefault="00EA2B9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 xml:space="preserve"> </w:t>
      </w:r>
      <w:r w:rsidR="006E7566" w:rsidRPr="004240FD">
        <w:rPr>
          <w:rFonts w:ascii="Arial" w:hAnsi="Arial" w:cs="Arial"/>
          <w:sz w:val="24"/>
          <w:szCs w:val="24"/>
          <w:lang w:val="es-ES"/>
        </w:rPr>
        <w:t>Control biológico de la maleza de Amaranto silvestre para incrementar la p</w:t>
      </w:r>
      <w:r w:rsidRPr="004240FD">
        <w:rPr>
          <w:rFonts w:ascii="Arial" w:hAnsi="Arial" w:cs="Arial"/>
          <w:sz w:val="24"/>
          <w:szCs w:val="24"/>
          <w:lang w:val="es-ES"/>
        </w:rPr>
        <w:t>roductivi</w:t>
      </w:r>
      <w:r w:rsidR="006E7566" w:rsidRPr="004240FD">
        <w:rPr>
          <w:rFonts w:ascii="Arial" w:hAnsi="Arial" w:cs="Arial"/>
          <w:sz w:val="24"/>
          <w:szCs w:val="24"/>
          <w:lang w:val="es-ES"/>
        </w:rPr>
        <w:t>dad agrícola</w:t>
      </w:r>
    </w:p>
    <w:p w:rsidR="00A95C91" w:rsidRPr="004240FD" w:rsidRDefault="00EA2B96" w:rsidP="005B38CF">
      <w:pPr>
        <w:pStyle w:val="Prrafodelista"/>
        <w:numPr>
          <w:ilvl w:val="0"/>
          <w:numId w:val="11"/>
        </w:numPr>
        <w:jc w:val="both"/>
        <w:rPr>
          <w:rFonts w:ascii="Arial" w:hAnsi="Arial" w:cs="Arial"/>
          <w:sz w:val="24"/>
          <w:szCs w:val="24"/>
          <w:lang w:val="es-ES"/>
        </w:rPr>
      </w:pPr>
      <w:r w:rsidRPr="004240FD">
        <w:rPr>
          <w:rFonts w:ascii="Arial" w:hAnsi="Arial" w:cs="Arial"/>
          <w:sz w:val="24"/>
          <w:szCs w:val="24"/>
          <w:lang w:val="es-ES"/>
        </w:rPr>
        <w:t>De</w:t>
      </w:r>
      <w:r w:rsidR="006E7566" w:rsidRPr="004240FD">
        <w:rPr>
          <w:rFonts w:ascii="Arial" w:hAnsi="Arial" w:cs="Arial"/>
          <w:sz w:val="24"/>
          <w:szCs w:val="24"/>
          <w:lang w:val="es-ES"/>
        </w:rPr>
        <w:t xml:space="preserve">sarrollo de un modelo vertebrado de gene drives en </w:t>
      </w:r>
      <w:r w:rsidR="00FB04B4" w:rsidRPr="004240FD">
        <w:rPr>
          <w:rFonts w:ascii="Arial" w:hAnsi="Arial" w:cs="Arial"/>
          <w:sz w:val="24"/>
          <w:szCs w:val="24"/>
          <w:lang w:val="es-ES"/>
        </w:rPr>
        <w:t xml:space="preserve">peces </w:t>
      </w:r>
      <w:r w:rsidR="00922BAA" w:rsidRPr="004240FD">
        <w:rPr>
          <w:rFonts w:ascii="Arial" w:hAnsi="Arial" w:cs="Arial"/>
          <w:sz w:val="24"/>
          <w:szCs w:val="24"/>
          <w:lang w:val="es-ES"/>
        </w:rPr>
        <w:t>Cebra</w:t>
      </w:r>
    </w:p>
    <w:p w:rsidR="00922BAA" w:rsidRPr="004240FD" w:rsidRDefault="00922BAA" w:rsidP="005B38CF">
      <w:pPr>
        <w:jc w:val="both"/>
        <w:rPr>
          <w:rFonts w:ascii="Arial" w:hAnsi="Arial" w:cs="Arial"/>
          <w:sz w:val="24"/>
          <w:szCs w:val="24"/>
          <w:lang w:val="es-ES"/>
        </w:rPr>
      </w:pPr>
      <w:r w:rsidRPr="004240FD">
        <w:rPr>
          <w:rFonts w:ascii="Arial" w:hAnsi="Arial" w:cs="Arial"/>
          <w:sz w:val="24"/>
          <w:szCs w:val="24"/>
          <w:lang w:val="es-ES"/>
        </w:rPr>
        <w:t>De estos estudios de caso se desprendieron algunas recomendaciones</w:t>
      </w:r>
      <w:r w:rsidR="00AD5BA7">
        <w:rPr>
          <w:rFonts w:ascii="Arial" w:hAnsi="Arial" w:cs="Arial"/>
          <w:sz w:val="24"/>
          <w:szCs w:val="24"/>
          <w:lang w:val="es-ES"/>
        </w:rPr>
        <w:t>;</w:t>
      </w:r>
      <w:r w:rsidRPr="004240FD">
        <w:rPr>
          <w:rFonts w:ascii="Arial" w:hAnsi="Arial" w:cs="Arial"/>
          <w:sz w:val="24"/>
          <w:szCs w:val="24"/>
          <w:lang w:val="es-ES"/>
        </w:rPr>
        <w:t xml:space="preserve"> a </w:t>
      </w:r>
      <w:r w:rsidR="00AD5BA7" w:rsidRPr="004240FD">
        <w:rPr>
          <w:rFonts w:ascii="Arial" w:hAnsi="Arial" w:cs="Arial"/>
          <w:sz w:val="24"/>
          <w:szCs w:val="24"/>
          <w:lang w:val="es-ES"/>
        </w:rPr>
        <w:t>continuación,</w:t>
      </w:r>
      <w:r w:rsidRPr="004240FD">
        <w:rPr>
          <w:rFonts w:ascii="Arial" w:hAnsi="Arial" w:cs="Arial"/>
          <w:sz w:val="24"/>
          <w:szCs w:val="24"/>
          <w:lang w:val="es-ES"/>
        </w:rPr>
        <w:t xml:space="preserve"> se presentan</w:t>
      </w:r>
      <w:r w:rsidR="00527F9A" w:rsidRPr="004240FD">
        <w:rPr>
          <w:rFonts w:ascii="Arial" w:hAnsi="Arial" w:cs="Arial"/>
          <w:sz w:val="24"/>
          <w:szCs w:val="24"/>
          <w:lang w:val="es-ES"/>
        </w:rPr>
        <w:t xml:space="preserve"> algunos de los fragmentos del resumen y de las recomendaciones</w:t>
      </w:r>
      <w:r w:rsidRPr="004240FD">
        <w:rPr>
          <w:rFonts w:ascii="Arial" w:hAnsi="Arial" w:cs="Arial"/>
          <w:sz w:val="24"/>
          <w:szCs w:val="24"/>
          <w:lang w:val="es-ES"/>
        </w:rPr>
        <w:t xml:space="preserve"> en su idioma original:</w:t>
      </w:r>
    </w:p>
    <w:p w:rsidR="00EF359C" w:rsidRPr="004240FD" w:rsidRDefault="000B65D1" w:rsidP="000E6645">
      <w:pPr>
        <w:jc w:val="both"/>
        <w:rPr>
          <w:rFonts w:ascii="Arial" w:hAnsi="Arial" w:cs="Arial"/>
          <w:i/>
          <w:sz w:val="24"/>
          <w:szCs w:val="24"/>
          <w:lang w:val="en-US"/>
        </w:rPr>
      </w:pPr>
      <w:r w:rsidRPr="004240FD">
        <w:rPr>
          <w:rFonts w:ascii="Arial" w:hAnsi="Arial" w:cs="Arial"/>
          <w:sz w:val="24"/>
          <w:szCs w:val="24"/>
          <w:lang w:val="en-US"/>
        </w:rPr>
        <w:t>“</w:t>
      </w:r>
      <w:r w:rsidR="00527F9A" w:rsidRPr="004240FD">
        <w:rPr>
          <w:rFonts w:ascii="Arial" w:hAnsi="Arial" w:cs="Arial"/>
          <w:sz w:val="24"/>
          <w:szCs w:val="24"/>
          <w:lang w:val="en-US"/>
        </w:rPr>
        <w:t>…</w:t>
      </w:r>
      <w:r w:rsidR="00EF359C" w:rsidRPr="004240FD">
        <w:rPr>
          <w:rFonts w:ascii="Arial" w:hAnsi="Arial" w:cs="Arial"/>
          <w:i/>
          <w:sz w:val="24"/>
          <w:szCs w:val="24"/>
          <w:lang w:val="en-US"/>
        </w:rPr>
        <w:t>Assessments of the environmental harms of a proposed release will require careful, case-by-case analysis</w:t>
      </w:r>
      <w:r w:rsidR="000E6645">
        <w:rPr>
          <w:rFonts w:ascii="Arial" w:hAnsi="Arial" w:cs="Arial"/>
          <w:i/>
          <w:sz w:val="24"/>
          <w:szCs w:val="24"/>
          <w:lang w:val="en-US"/>
        </w:rPr>
        <w:t xml:space="preserve">. </w:t>
      </w:r>
      <w:r w:rsidR="00EF359C" w:rsidRPr="004240FD">
        <w:rPr>
          <w:rFonts w:ascii="Arial" w:hAnsi="Arial" w:cs="Arial"/>
          <w:i/>
          <w:sz w:val="24"/>
          <w:szCs w:val="24"/>
          <w:lang w:val="en-US"/>
        </w:rPr>
        <w:t xml:space="preserve">Values related to human welfare and environmental harms will be weighed in developing public policy guidelines, some of which may constrain research on gene drives or the release of gene-drive modified organisms into the environment. Such guidelines will require integrating precautionary </w:t>
      </w:r>
      <w:r w:rsidR="00EF359C" w:rsidRPr="004240FD">
        <w:rPr>
          <w:rFonts w:ascii="Arial" w:hAnsi="Arial" w:cs="Arial"/>
          <w:i/>
          <w:sz w:val="24"/>
          <w:szCs w:val="24"/>
          <w:lang w:val="en-US"/>
        </w:rPr>
        <w:lastRenderedPageBreak/>
        <w:t>measures into the research process and the assessment of potential benefits and harms. Precautionary measures can provide opportunities to gather further information and revisit decisions about how to proceed with a gene drive technology, but, at the same time, not hinder research progress.</w:t>
      </w:r>
    </w:p>
    <w:p w:rsidR="00F216A8" w:rsidRDefault="00EF359C" w:rsidP="00F23774">
      <w:pPr>
        <w:spacing w:after="0"/>
        <w:jc w:val="both"/>
        <w:rPr>
          <w:rFonts w:ascii="Arial" w:hAnsi="Arial" w:cs="Arial"/>
          <w:i/>
          <w:sz w:val="24"/>
          <w:szCs w:val="24"/>
          <w:lang w:val="en-US"/>
        </w:rPr>
      </w:pPr>
      <w:r w:rsidRPr="004240FD">
        <w:rPr>
          <w:rFonts w:ascii="Arial" w:hAnsi="Arial" w:cs="Arial"/>
          <w:i/>
          <w:sz w:val="24"/>
          <w:szCs w:val="24"/>
          <w:lang w:val="en-US"/>
        </w:rPr>
        <w:t>Proposals to use gene drives in ways that might lead to the extinction of species or significantly alter the environment will require especially careful review.</w:t>
      </w:r>
      <w:r w:rsidRPr="004240FD">
        <w:rPr>
          <w:rFonts w:ascii="Arial" w:hAnsi="Arial" w:cs="Arial"/>
          <w:sz w:val="24"/>
          <w:szCs w:val="24"/>
          <w:lang w:val="en-US"/>
        </w:rPr>
        <w:t xml:space="preserve"> </w:t>
      </w:r>
      <w:r w:rsidR="00F23774">
        <w:rPr>
          <w:rFonts w:ascii="Arial" w:hAnsi="Arial" w:cs="Arial"/>
          <w:sz w:val="24"/>
          <w:szCs w:val="24"/>
          <w:lang w:val="en-US"/>
        </w:rPr>
        <w:t>I</w:t>
      </w:r>
      <w:r w:rsidRPr="004240FD">
        <w:rPr>
          <w:rFonts w:ascii="Arial" w:hAnsi="Arial" w:cs="Arial"/>
          <w:i/>
          <w:sz w:val="24"/>
          <w:szCs w:val="24"/>
          <w:lang w:val="en-US"/>
        </w:rPr>
        <w:t>t is important to consider the values of researchers and the affected publics, and their</w:t>
      </w:r>
      <w:r w:rsidR="00F23774">
        <w:rPr>
          <w:rFonts w:ascii="Arial" w:hAnsi="Arial" w:cs="Arial"/>
          <w:i/>
          <w:sz w:val="24"/>
          <w:szCs w:val="24"/>
          <w:lang w:val="en-US"/>
        </w:rPr>
        <w:t xml:space="preserve"> </w:t>
      </w:r>
      <w:r w:rsidRPr="004240FD">
        <w:rPr>
          <w:rFonts w:ascii="Arial" w:hAnsi="Arial" w:cs="Arial"/>
          <w:i/>
          <w:sz w:val="24"/>
          <w:szCs w:val="24"/>
          <w:lang w:val="en-US"/>
        </w:rPr>
        <w:t>understanding of the balance of potential benefits and harms. Approaches to ensure that communities participate meaningfully in decision making about the use of gene-drive modified organisms will be essential, particularly in low- and middle-income countries where power differentials may preclude such participation.</w:t>
      </w:r>
    </w:p>
    <w:p w:rsidR="00F23774" w:rsidRPr="004240FD" w:rsidRDefault="00F23774" w:rsidP="00F23774">
      <w:pPr>
        <w:spacing w:after="0"/>
        <w:jc w:val="both"/>
        <w:rPr>
          <w:rFonts w:ascii="Arial" w:hAnsi="Arial" w:cs="Arial"/>
          <w:i/>
          <w:sz w:val="24"/>
          <w:szCs w:val="24"/>
          <w:lang w:val="en-US"/>
        </w:rPr>
      </w:pPr>
    </w:p>
    <w:p w:rsidR="00EF359C" w:rsidRPr="004240FD" w:rsidRDefault="00F23774" w:rsidP="00F23774">
      <w:pPr>
        <w:spacing w:after="0"/>
        <w:jc w:val="both"/>
        <w:rPr>
          <w:rFonts w:ascii="Arial" w:hAnsi="Arial" w:cs="Arial"/>
          <w:i/>
          <w:sz w:val="24"/>
          <w:szCs w:val="24"/>
          <w:lang w:val="en-US"/>
        </w:rPr>
      </w:pPr>
      <w:r>
        <w:rPr>
          <w:rFonts w:ascii="Arial" w:hAnsi="Arial" w:cs="Arial"/>
          <w:i/>
          <w:sz w:val="24"/>
          <w:szCs w:val="24"/>
          <w:lang w:val="en-US"/>
        </w:rPr>
        <w:t>I</w:t>
      </w:r>
      <w:r w:rsidR="00475794" w:rsidRPr="004240FD">
        <w:rPr>
          <w:rFonts w:ascii="Arial" w:hAnsi="Arial" w:cs="Arial"/>
          <w:i/>
          <w:sz w:val="24"/>
          <w:szCs w:val="24"/>
          <w:lang w:val="en-US"/>
        </w:rPr>
        <w:t>t is crucial</w:t>
      </w:r>
      <w:r w:rsidR="00EE56A4" w:rsidRPr="004240FD">
        <w:rPr>
          <w:rFonts w:ascii="Arial" w:hAnsi="Arial" w:cs="Arial"/>
          <w:i/>
          <w:sz w:val="24"/>
          <w:szCs w:val="24"/>
          <w:lang w:val="en-US"/>
        </w:rPr>
        <w:t xml:space="preserve"> </w:t>
      </w:r>
      <w:r w:rsidR="00475794" w:rsidRPr="004240FD">
        <w:rPr>
          <w:rFonts w:ascii="Arial" w:hAnsi="Arial" w:cs="Arial"/>
          <w:i/>
          <w:sz w:val="24"/>
          <w:szCs w:val="24"/>
          <w:lang w:val="en-US"/>
        </w:rPr>
        <w:t>to establish a rich understanding of the target organism, its relationship with its environment,</w:t>
      </w:r>
      <w:r w:rsidR="00EE56A4" w:rsidRPr="004240FD">
        <w:rPr>
          <w:rFonts w:ascii="Arial" w:hAnsi="Arial" w:cs="Arial"/>
          <w:i/>
          <w:sz w:val="24"/>
          <w:szCs w:val="24"/>
          <w:lang w:val="en-US"/>
        </w:rPr>
        <w:t xml:space="preserve"> </w:t>
      </w:r>
      <w:r w:rsidR="00475794" w:rsidRPr="004240FD">
        <w:rPr>
          <w:rFonts w:ascii="Arial" w:hAnsi="Arial" w:cs="Arial"/>
          <w:i/>
          <w:sz w:val="24"/>
          <w:szCs w:val="24"/>
          <w:lang w:val="en-US"/>
        </w:rPr>
        <w:t>and pot</w:t>
      </w:r>
      <w:r>
        <w:rPr>
          <w:rFonts w:ascii="Arial" w:hAnsi="Arial" w:cs="Arial"/>
          <w:i/>
          <w:sz w:val="24"/>
          <w:szCs w:val="24"/>
          <w:lang w:val="en-US"/>
        </w:rPr>
        <w:t>ential unintended consequences.</w:t>
      </w:r>
    </w:p>
    <w:p w:rsidR="00EE56A4" w:rsidRPr="004240FD" w:rsidRDefault="00F23774" w:rsidP="00F23774">
      <w:pPr>
        <w:spacing w:after="0"/>
        <w:jc w:val="both"/>
        <w:rPr>
          <w:rFonts w:ascii="Arial" w:hAnsi="Arial" w:cs="Arial"/>
          <w:i/>
          <w:sz w:val="24"/>
          <w:szCs w:val="24"/>
          <w:lang w:val="en-US"/>
        </w:rPr>
      </w:pPr>
      <w:r>
        <w:rPr>
          <w:rFonts w:ascii="Arial" w:hAnsi="Arial" w:cs="Arial"/>
          <w:i/>
          <w:sz w:val="24"/>
          <w:szCs w:val="24"/>
          <w:lang w:val="en-US"/>
        </w:rPr>
        <w:t>T</w:t>
      </w:r>
      <w:r w:rsidR="00EE56A4" w:rsidRPr="004240FD">
        <w:rPr>
          <w:rFonts w:ascii="Arial" w:hAnsi="Arial" w:cs="Arial"/>
          <w:i/>
          <w:sz w:val="24"/>
          <w:szCs w:val="24"/>
          <w:lang w:val="en-US"/>
        </w:rPr>
        <w:t>he goal of a gene drive is to rapidly spread genetic information throughout a population</w:t>
      </w:r>
      <w:r w:rsidR="00EE56A4" w:rsidRPr="004240FD">
        <w:rPr>
          <w:rFonts w:ascii="Arial" w:hAnsi="Arial" w:cs="Arial"/>
          <w:b/>
          <w:bCs/>
          <w:i/>
          <w:sz w:val="24"/>
          <w:szCs w:val="24"/>
          <w:lang w:val="en-US"/>
        </w:rPr>
        <w:t xml:space="preserve">. </w:t>
      </w:r>
      <w:r>
        <w:rPr>
          <w:rFonts w:ascii="Arial" w:hAnsi="Arial" w:cs="Arial"/>
          <w:i/>
          <w:sz w:val="24"/>
          <w:szCs w:val="24"/>
          <w:lang w:val="en-US"/>
        </w:rPr>
        <w:t xml:space="preserve">Hence, </w:t>
      </w:r>
      <w:r w:rsidR="00EE56A4" w:rsidRPr="004240FD">
        <w:rPr>
          <w:rFonts w:ascii="Arial" w:hAnsi="Arial" w:cs="Arial"/>
          <w:i/>
          <w:sz w:val="24"/>
          <w:szCs w:val="24"/>
          <w:lang w:val="en-US"/>
        </w:rPr>
        <w:t>it</w:t>
      </w:r>
      <w:r>
        <w:rPr>
          <w:rFonts w:ascii="Arial" w:hAnsi="Arial" w:cs="Arial"/>
          <w:i/>
          <w:sz w:val="24"/>
          <w:szCs w:val="24"/>
          <w:lang w:val="en-US"/>
        </w:rPr>
        <w:t xml:space="preserve"> is</w:t>
      </w:r>
      <w:r w:rsidR="00EE56A4" w:rsidRPr="004240FD">
        <w:rPr>
          <w:rFonts w:ascii="Arial" w:hAnsi="Arial" w:cs="Arial"/>
          <w:i/>
          <w:sz w:val="24"/>
          <w:szCs w:val="24"/>
          <w:lang w:val="en-US"/>
        </w:rPr>
        <w:t xml:space="preserve"> especially important to minimize the potential for unintended consequences. It is particularly imperative to use caution when considering the development of a “reversal drive”—a gene drive designed to mitigate the unintended consequences of another gene drive—as it may be impossible to employ</w:t>
      </w:r>
      <w:r>
        <w:rPr>
          <w:rFonts w:ascii="Arial" w:hAnsi="Arial" w:cs="Arial"/>
          <w:i/>
          <w:sz w:val="24"/>
          <w:szCs w:val="24"/>
          <w:lang w:val="en-US"/>
        </w:rPr>
        <w:t xml:space="preserve"> </w:t>
      </w:r>
      <w:r w:rsidR="00EE56A4" w:rsidRPr="004240FD">
        <w:rPr>
          <w:rFonts w:ascii="Arial" w:hAnsi="Arial" w:cs="Arial"/>
          <w:i/>
          <w:sz w:val="24"/>
          <w:szCs w:val="24"/>
          <w:lang w:val="en-US"/>
        </w:rPr>
        <w:t>this strategy effectively without off-target effects or to redress fully ecological and environmental effects from the original gene drive.</w:t>
      </w:r>
    </w:p>
    <w:p w:rsidR="00EE56A4" w:rsidRPr="004240FD" w:rsidRDefault="00F23774" w:rsidP="00F23774">
      <w:pPr>
        <w:spacing w:after="0"/>
        <w:jc w:val="both"/>
        <w:rPr>
          <w:rFonts w:ascii="Arial" w:hAnsi="Arial" w:cs="Arial"/>
          <w:i/>
          <w:sz w:val="24"/>
          <w:szCs w:val="24"/>
          <w:lang w:val="en-US"/>
        </w:rPr>
      </w:pPr>
      <w:r>
        <w:rPr>
          <w:rFonts w:ascii="Arial" w:hAnsi="Arial" w:cs="Arial"/>
          <w:i/>
          <w:sz w:val="24"/>
          <w:szCs w:val="24"/>
          <w:lang w:val="en-US"/>
        </w:rPr>
        <w:t>I</w:t>
      </w:r>
      <w:r w:rsidR="00584264" w:rsidRPr="004240FD">
        <w:rPr>
          <w:rFonts w:ascii="Arial" w:hAnsi="Arial" w:cs="Arial"/>
          <w:i/>
          <w:sz w:val="24"/>
          <w:szCs w:val="24"/>
          <w:lang w:val="en-US"/>
        </w:rPr>
        <w:t>t is desirable to expand the intellectual capital of governing bodies and research capacity of relevant institutions around the world to facilitate appropriate engagement in governance, research, and collaboration pertaining to gene drives. In particular, this includes building long-term relationship with scientists in low- and middle-income countries where field research on gene-drive modified organisms is most likely to occur</w:t>
      </w:r>
      <w:r w:rsidR="000B65D1" w:rsidRPr="004240FD">
        <w:rPr>
          <w:rFonts w:ascii="Arial" w:hAnsi="Arial" w:cs="Arial"/>
          <w:i/>
          <w:sz w:val="24"/>
          <w:szCs w:val="24"/>
          <w:lang w:val="en-US"/>
        </w:rPr>
        <w:t>…”</w:t>
      </w:r>
    </w:p>
    <w:p w:rsidR="00527F9A" w:rsidRPr="004240FD" w:rsidRDefault="00527F9A" w:rsidP="00F23774">
      <w:pPr>
        <w:spacing w:after="0" w:line="240" w:lineRule="auto"/>
        <w:ind w:firstLine="708"/>
        <w:jc w:val="both"/>
        <w:rPr>
          <w:rFonts w:ascii="Arial" w:hAnsi="Arial" w:cs="Arial"/>
          <w:i/>
          <w:sz w:val="24"/>
          <w:szCs w:val="24"/>
          <w:lang w:val="en-US"/>
        </w:rPr>
      </w:pPr>
    </w:p>
    <w:p w:rsidR="00266603" w:rsidRDefault="00F23774" w:rsidP="005B38CF">
      <w:pPr>
        <w:jc w:val="both"/>
        <w:rPr>
          <w:rFonts w:ascii="Arial" w:hAnsi="Arial" w:cs="Arial"/>
          <w:i/>
          <w:sz w:val="24"/>
          <w:szCs w:val="24"/>
        </w:rPr>
      </w:pPr>
      <w:r>
        <w:rPr>
          <w:rFonts w:ascii="Arial" w:hAnsi="Arial" w:cs="Arial"/>
          <w:sz w:val="24"/>
          <w:szCs w:val="24"/>
        </w:rPr>
        <w:t xml:space="preserve">Existen diversos casos en la literatura anteriormente citada que documentan los </w:t>
      </w:r>
      <w:r w:rsidR="00F86B92" w:rsidRPr="004240FD">
        <w:rPr>
          <w:rFonts w:ascii="Arial" w:hAnsi="Arial" w:cs="Arial"/>
          <w:sz w:val="24"/>
          <w:szCs w:val="24"/>
        </w:rPr>
        <w:t xml:space="preserve">posibles efectos </w:t>
      </w:r>
      <w:r>
        <w:rPr>
          <w:rFonts w:ascii="Arial" w:hAnsi="Arial" w:cs="Arial"/>
          <w:sz w:val="24"/>
          <w:szCs w:val="24"/>
        </w:rPr>
        <w:t xml:space="preserve">de la Biología Sintética </w:t>
      </w:r>
      <w:r w:rsidR="00F86B92" w:rsidRPr="004240FD">
        <w:rPr>
          <w:rFonts w:ascii="Arial" w:hAnsi="Arial" w:cs="Arial"/>
          <w:sz w:val="24"/>
          <w:szCs w:val="24"/>
        </w:rPr>
        <w:t xml:space="preserve">especialmente </w:t>
      </w:r>
      <w:r>
        <w:rPr>
          <w:rFonts w:ascii="Arial" w:hAnsi="Arial" w:cs="Arial"/>
          <w:sz w:val="24"/>
          <w:szCs w:val="24"/>
        </w:rPr>
        <w:t xml:space="preserve">respecto </w:t>
      </w:r>
      <w:r w:rsidR="00F86B92" w:rsidRPr="004240FD">
        <w:rPr>
          <w:rFonts w:ascii="Arial" w:hAnsi="Arial" w:cs="Arial"/>
          <w:sz w:val="24"/>
          <w:szCs w:val="24"/>
        </w:rPr>
        <w:t xml:space="preserve">al tercer objetivo del Convenio sobre la Diversidad Biológica </w:t>
      </w:r>
      <w:r>
        <w:rPr>
          <w:rFonts w:ascii="Arial" w:hAnsi="Arial" w:cs="Arial"/>
          <w:sz w:val="24"/>
          <w:szCs w:val="24"/>
        </w:rPr>
        <w:t xml:space="preserve">como la </w:t>
      </w:r>
      <w:r w:rsidRPr="00F23774">
        <w:rPr>
          <w:rFonts w:ascii="Arial" w:hAnsi="Arial" w:cs="Arial"/>
          <w:i/>
          <w:sz w:val="24"/>
          <w:szCs w:val="24"/>
        </w:rPr>
        <w:t xml:space="preserve">Artemisia </w:t>
      </w:r>
      <w:proofErr w:type="spellStart"/>
      <w:r w:rsidRPr="00F23774">
        <w:rPr>
          <w:rFonts w:ascii="Arial" w:hAnsi="Arial" w:cs="Arial"/>
          <w:i/>
          <w:sz w:val="24"/>
          <w:szCs w:val="24"/>
        </w:rPr>
        <w:t>annua</w:t>
      </w:r>
      <w:proofErr w:type="spellEnd"/>
      <w:r w:rsidR="00440B39">
        <w:rPr>
          <w:rFonts w:ascii="Arial" w:hAnsi="Arial" w:cs="Arial"/>
          <w:i/>
          <w:sz w:val="24"/>
          <w:szCs w:val="24"/>
        </w:rPr>
        <w:t xml:space="preserve"> </w:t>
      </w:r>
      <w:r>
        <w:rPr>
          <w:rFonts w:ascii="Arial" w:hAnsi="Arial" w:cs="Arial"/>
          <w:sz w:val="24"/>
          <w:szCs w:val="24"/>
        </w:rPr>
        <w:t xml:space="preserve"> y la elaboración sintética de activos contra la malaria</w:t>
      </w:r>
      <w:r w:rsidR="00440B39">
        <w:rPr>
          <w:rFonts w:ascii="Arial" w:hAnsi="Arial" w:cs="Arial"/>
          <w:sz w:val="24"/>
          <w:szCs w:val="24"/>
        </w:rPr>
        <w:t xml:space="preserve"> y el posible desplazamiento del mercado de la planta cosechada por agricultores en </w:t>
      </w:r>
      <w:proofErr w:type="spellStart"/>
      <w:r w:rsidR="00440B39">
        <w:rPr>
          <w:rFonts w:ascii="Arial" w:hAnsi="Arial" w:cs="Arial"/>
          <w:sz w:val="24"/>
          <w:szCs w:val="24"/>
        </w:rPr>
        <w:t>China</w:t>
      </w:r>
      <w:r w:rsidR="00266603">
        <w:rPr>
          <w:rFonts w:ascii="Arial" w:hAnsi="Arial" w:cs="Arial"/>
          <w:sz w:val="24"/>
          <w:szCs w:val="24"/>
        </w:rPr>
        <w:t>o</w:t>
      </w:r>
      <w:proofErr w:type="spellEnd"/>
      <w:r w:rsidR="00266603">
        <w:rPr>
          <w:rFonts w:ascii="Arial" w:hAnsi="Arial" w:cs="Arial"/>
          <w:sz w:val="24"/>
          <w:szCs w:val="24"/>
        </w:rPr>
        <w:t xml:space="preserve"> el</w:t>
      </w:r>
      <w:r w:rsidR="00440B39">
        <w:rPr>
          <w:rFonts w:ascii="Arial" w:hAnsi="Arial" w:cs="Arial"/>
          <w:sz w:val="24"/>
          <w:szCs w:val="24"/>
        </w:rPr>
        <w:t xml:space="preserve"> del</w:t>
      </w:r>
      <w:r w:rsidR="00266603">
        <w:rPr>
          <w:rFonts w:ascii="Arial" w:hAnsi="Arial" w:cs="Arial"/>
          <w:sz w:val="24"/>
          <w:szCs w:val="24"/>
        </w:rPr>
        <w:t xml:space="preserve"> </w:t>
      </w:r>
      <w:r w:rsidR="00C151F5" w:rsidRPr="004240FD">
        <w:rPr>
          <w:rFonts w:ascii="Arial" w:hAnsi="Arial" w:cs="Arial"/>
          <w:sz w:val="24"/>
          <w:szCs w:val="24"/>
        </w:rPr>
        <w:t xml:space="preserve">amaranto silvestre </w:t>
      </w:r>
      <w:proofErr w:type="spellStart"/>
      <w:r w:rsidR="00C151F5" w:rsidRPr="004240FD">
        <w:rPr>
          <w:rFonts w:ascii="Arial" w:hAnsi="Arial" w:cs="Arial"/>
          <w:sz w:val="24"/>
          <w:szCs w:val="24"/>
        </w:rPr>
        <w:t>malezoide</w:t>
      </w:r>
      <w:proofErr w:type="spellEnd"/>
      <w:r w:rsidR="00034DBC" w:rsidRPr="004240FD">
        <w:rPr>
          <w:rFonts w:ascii="Arial" w:hAnsi="Arial" w:cs="Arial"/>
          <w:sz w:val="24"/>
          <w:szCs w:val="24"/>
        </w:rPr>
        <w:t xml:space="preserve"> controlado por biología sintética</w:t>
      </w:r>
      <w:r w:rsidR="00C151F5" w:rsidRPr="004240FD">
        <w:rPr>
          <w:rFonts w:ascii="Arial" w:hAnsi="Arial" w:cs="Arial"/>
          <w:sz w:val="24"/>
          <w:szCs w:val="24"/>
        </w:rPr>
        <w:t xml:space="preserve">, </w:t>
      </w:r>
      <w:r w:rsidR="004377A4">
        <w:rPr>
          <w:rFonts w:ascii="Arial" w:hAnsi="Arial" w:cs="Arial"/>
          <w:sz w:val="24"/>
          <w:szCs w:val="24"/>
        </w:rPr>
        <w:t xml:space="preserve">que podría tener efectos </w:t>
      </w:r>
      <w:r w:rsidR="00440B39">
        <w:rPr>
          <w:rFonts w:ascii="Arial" w:hAnsi="Arial" w:cs="Arial"/>
          <w:sz w:val="24"/>
          <w:szCs w:val="24"/>
        </w:rPr>
        <w:t xml:space="preserve">sobre las poblaciones cultivadas emparentadas </w:t>
      </w:r>
      <w:proofErr w:type="spellStart"/>
      <w:r w:rsidR="00440B39">
        <w:rPr>
          <w:rFonts w:ascii="Arial" w:hAnsi="Arial" w:cs="Arial"/>
          <w:sz w:val="24"/>
          <w:szCs w:val="24"/>
        </w:rPr>
        <w:t>en</w:t>
      </w:r>
      <w:r w:rsidR="004377A4">
        <w:rPr>
          <w:rFonts w:ascii="Arial" w:hAnsi="Arial" w:cs="Arial"/>
          <w:sz w:val="24"/>
          <w:szCs w:val="24"/>
        </w:rPr>
        <w:t>países</w:t>
      </w:r>
      <w:proofErr w:type="spellEnd"/>
      <w:r w:rsidR="004377A4">
        <w:rPr>
          <w:rFonts w:ascii="Arial" w:hAnsi="Arial" w:cs="Arial"/>
          <w:sz w:val="24"/>
          <w:szCs w:val="24"/>
        </w:rPr>
        <w:t xml:space="preserve"> en los que se distribuye</w:t>
      </w:r>
      <w:r w:rsidR="00440B39">
        <w:rPr>
          <w:rFonts w:ascii="Arial" w:hAnsi="Arial" w:cs="Arial"/>
          <w:sz w:val="24"/>
          <w:szCs w:val="24"/>
        </w:rPr>
        <w:t xml:space="preserve">n y consumen </w:t>
      </w:r>
      <w:r w:rsidR="004377A4">
        <w:rPr>
          <w:rFonts w:ascii="Arial" w:hAnsi="Arial" w:cs="Arial"/>
          <w:sz w:val="24"/>
          <w:szCs w:val="24"/>
        </w:rPr>
        <w:t xml:space="preserve"> de forma natural</w:t>
      </w:r>
      <w:r w:rsidR="00266603">
        <w:rPr>
          <w:rFonts w:ascii="Arial" w:hAnsi="Arial" w:cs="Arial"/>
          <w:sz w:val="24"/>
          <w:szCs w:val="24"/>
        </w:rPr>
        <w:t>.</w:t>
      </w:r>
    </w:p>
    <w:p w:rsidR="00266603" w:rsidRDefault="00266603">
      <w:pPr>
        <w:rPr>
          <w:rFonts w:ascii="Arial" w:hAnsi="Arial" w:cs="Arial"/>
          <w:sz w:val="24"/>
          <w:szCs w:val="24"/>
        </w:rPr>
      </w:pPr>
      <w:r>
        <w:rPr>
          <w:rFonts w:ascii="Arial" w:hAnsi="Arial" w:cs="Arial"/>
          <w:sz w:val="24"/>
          <w:szCs w:val="24"/>
        </w:rPr>
        <w:br w:type="page"/>
      </w:r>
    </w:p>
    <w:p w:rsidR="00F04105" w:rsidRPr="00266603" w:rsidRDefault="00F04105" w:rsidP="005B38CF">
      <w:pPr>
        <w:jc w:val="both"/>
        <w:rPr>
          <w:rFonts w:ascii="Arial" w:hAnsi="Arial" w:cs="Arial"/>
          <w:i/>
          <w:sz w:val="24"/>
          <w:szCs w:val="24"/>
        </w:rPr>
      </w:pPr>
      <w:r w:rsidRPr="004240FD">
        <w:rPr>
          <w:rFonts w:ascii="Arial" w:hAnsi="Arial" w:cs="Arial"/>
          <w:sz w:val="24"/>
          <w:szCs w:val="24"/>
        </w:rPr>
        <w:lastRenderedPageBreak/>
        <w:t>A continuación</w:t>
      </w:r>
      <w:r w:rsidR="00266603">
        <w:rPr>
          <w:rFonts w:ascii="Arial" w:hAnsi="Arial" w:cs="Arial"/>
          <w:sz w:val="24"/>
          <w:szCs w:val="24"/>
        </w:rPr>
        <w:t>,</w:t>
      </w:r>
      <w:r w:rsidRPr="004240FD">
        <w:rPr>
          <w:rFonts w:ascii="Arial" w:hAnsi="Arial" w:cs="Arial"/>
          <w:sz w:val="24"/>
          <w:szCs w:val="24"/>
        </w:rPr>
        <w:t xml:space="preserve"> se</w:t>
      </w:r>
      <w:r w:rsidR="00C77CB5" w:rsidRPr="004240FD">
        <w:rPr>
          <w:rFonts w:ascii="Arial" w:hAnsi="Arial" w:cs="Arial"/>
          <w:sz w:val="24"/>
          <w:szCs w:val="24"/>
        </w:rPr>
        <w:t xml:space="preserve"> describen algunos de</w:t>
      </w:r>
      <w:r w:rsidRPr="004240FD">
        <w:rPr>
          <w:rFonts w:ascii="Arial" w:hAnsi="Arial" w:cs="Arial"/>
          <w:sz w:val="24"/>
          <w:szCs w:val="24"/>
        </w:rPr>
        <w:t xml:space="preserve"> los </w:t>
      </w:r>
      <w:r w:rsidR="00C77CB5" w:rsidRPr="004240FD">
        <w:rPr>
          <w:rFonts w:ascii="Arial" w:hAnsi="Arial" w:cs="Arial"/>
          <w:sz w:val="24"/>
          <w:szCs w:val="24"/>
        </w:rPr>
        <w:t xml:space="preserve">potenciales </w:t>
      </w:r>
      <w:r w:rsidRPr="004240FD">
        <w:rPr>
          <w:rFonts w:ascii="Arial" w:hAnsi="Arial" w:cs="Arial"/>
          <w:sz w:val="24"/>
          <w:szCs w:val="24"/>
        </w:rPr>
        <w:t xml:space="preserve">beneficios y efectos adversos </w:t>
      </w:r>
      <w:r w:rsidR="00C77CB5" w:rsidRPr="004240FD">
        <w:rPr>
          <w:rFonts w:ascii="Arial" w:hAnsi="Arial" w:cs="Arial"/>
          <w:sz w:val="24"/>
          <w:szCs w:val="24"/>
        </w:rPr>
        <w:t xml:space="preserve">de los organismos, partes y componentes derivados de biología sintética </w:t>
      </w:r>
      <w:r w:rsidRPr="004240FD">
        <w:rPr>
          <w:rFonts w:ascii="Arial" w:hAnsi="Arial" w:cs="Arial"/>
          <w:sz w:val="24"/>
          <w:szCs w:val="24"/>
        </w:rPr>
        <w:t>para el sector agrícola</w:t>
      </w:r>
      <w:r w:rsidR="00C77CB5" w:rsidRPr="004240FD">
        <w:rPr>
          <w:rFonts w:ascii="Arial" w:hAnsi="Arial" w:cs="Arial"/>
          <w:sz w:val="24"/>
          <w:szCs w:val="24"/>
        </w:rPr>
        <w:t xml:space="preserve"> que han sido identificados para México</w:t>
      </w:r>
      <w:r w:rsidR="004A4956" w:rsidRPr="004240FD">
        <w:rPr>
          <w:rFonts w:ascii="Arial" w:hAnsi="Arial" w:cs="Arial"/>
          <w:sz w:val="24"/>
          <w:szCs w:val="24"/>
        </w:rPr>
        <w:t>:</w:t>
      </w:r>
      <w:r w:rsidR="00C77CB5" w:rsidRPr="004240FD">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2938"/>
        <w:gridCol w:w="2958"/>
        <w:gridCol w:w="2932"/>
      </w:tblGrid>
      <w:tr w:rsidR="000B65D1" w:rsidRPr="004240FD" w:rsidTr="00CE2A69">
        <w:tc>
          <w:tcPr>
            <w:tcW w:w="2992" w:type="dxa"/>
          </w:tcPr>
          <w:p w:rsidR="00F04105" w:rsidRPr="004240FD" w:rsidRDefault="00F04105" w:rsidP="004A4956">
            <w:pPr>
              <w:jc w:val="center"/>
              <w:rPr>
                <w:rFonts w:ascii="Arial" w:hAnsi="Arial" w:cs="Arial"/>
                <w:b/>
                <w:sz w:val="24"/>
                <w:szCs w:val="24"/>
              </w:rPr>
            </w:pPr>
            <w:r w:rsidRPr="004240FD">
              <w:rPr>
                <w:rFonts w:ascii="Arial" w:hAnsi="Arial" w:cs="Arial"/>
                <w:b/>
                <w:sz w:val="24"/>
                <w:szCs w:val="24"/>
              </w:rPr>
              <w:t>Objetivo de la Diversidad Biológica</w:t>
            </w:r>
          </w:p>
        </w:tc>
        <w:tc>
          <w:tcPr>
            <w:tcW w:w="2993" w:type="dxa"/>
          </w:tcPr>
          <w:p w:rsidR="00F04105" w:rsidRPr="004240FD" w:rsidRDefault="00F04105" w:rsidP="004A4956">
            <w:pPr>
              <w:jc w:val="center"/>
              <w:rPr>
                <w:rFonts w:ascii="Arial" w:hAnsi="Arial" w:cs="Arial"/>
                <w:b/>
                <w:sz w:val="24"/>
                <w:szCs w:val="24"/>
              </w:rPr>
            </w:pPr>
            <w:r w:rsidRPr="004240FD">
              <w:rPr>
                <w:rFonts w:ascii="Arial" w:hAnsi="Arial" w:cs="Arial"/>
                <w:b/>
                <w:sz w:val="24"/>
                <w:szCs w:val="24"/>
              </w:rPr>
              <w:t>Beneficios</w:t>
            </w:r>
          </w:p>
        </w:tc>
        <w:tc>
          <w:tcPr>
            <w:tcW w:w="2993" w:type="dxa"/>
          </w:tcPr>
          <w:p w:rsidR="00F04105" w:rsidRPr="004240FD" w:rsidRDefault="00F04105" w:rsidP="004A4956">
            <w:pPr>
              <w:jc w:val="center"/>
              <w:rPr>
                <w:rFonts w:ascii="Arial" w:hAnsi="Arial" w:cs="Arial"/>
                <w:b/>
                <w:sz w:val="24"/>
                <w:szCs w:val="24"/>
              </w:rPr>
            </w:pPr>
            <w:r w:rsidRPr="004240FD">
              <w:rPr>
                <w:rFonts w:ascii="Arial" w:hAnsi="Arial" w:cs="Arial"/>
                <w:b/>
                <w:sz w:val="24"/>
                <w:szCs w:val="24"/>
              </w:rPr>
              <w:t>Efectos adversos</w:t>
            </w:r>
          </w:p>
        </w:tc>
      </w:tr>
      <w:tr w:rsidR="000B65D1" w:rsidRPr="004240FD" w:rsidTr="00CE2A69">
        <w:tc>
          <w:tcPr>
            <w:tcW w:w="2992" w:type="dxa"/>
          </w:tcPr>
          <w:p w:rsidR="00F04105" w:rsidRPr="004240FD" w:rsidRDefault="00F04105" w:rsidP="005B38CF">
            <w:pPr>
              <w:jc w:val="both"/>
              <w:rPr>
                <w:rFonts w:ascii="Arial" w:hAnsi="Arial" w:cs="Arial"/>
                <w:sz w:val="24"/>
                <w:szCs w:val="24"/>
              </w:rPr>
            </w:pPr>
            <w:r w:rsidRPr="004240FD">
              <w:rPr>
                <w:rFonts w:ascii="Arial" w:hAnsi="Arial" w:cs="Arial"/>
                <w:sz w:val="24"/>
                <w:szCs w:val="24"/>
                <w:shd w:val="clear" w:color="auto" w:fill="FFFFFF"/>
              </w:rPr>
              <w:t>Conservación de la diversidad biológica</w:t>
            </w: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Evitaría el uso excesivo de ciertos recursos genéticos y reduciría la necesidad de ampliar la frontera agrícola</w:t>
            </w: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Aún se desconoce los efectos que pueden tener en los procesos evolutivos naturales de las especies</w:t>
            </w:r>
          </w:p>
        </w:tc>
      </w:tr>
      <w:tr w:rsidR="000B65D1" w:rsidRPr="004240FD" w:rsidTr="00CE2A69">
        <w:tc>
          <w:tcPr>
            <w:tcW w:w="2992" w:type="dxa"/>
          </w:tcPr>
          <w:p w:rsidR="00F04105" w:rsidRPr="004240FD" w:rsidRDefault="00F04105" w:rsidP="005B38CF">
            <w:pPr>
              <w:jc w:val="both"/>
              <w:rPr>
                <w:rFonts w:ascii="Arial" w:hAnsi="Arial" w:cs="Arial"/>
                <w:sz w:val="24"/>
                <w:szCs w:val="24"/>
              </w:rPr>
            </w:pPr>
            <w:r w:rsidRPr="004240FD">
              <w:rPr>
                <w:rFonts w:ascii="Arial" w:hAnsi="Arial" w:cs="Arial"/>
                <w:sz w:val="24"/>
                <w:szCs w:val="24"/>
                <w:shd w:val="clear" w:color="auto" w:fill="FFFFFF"/>
              </w:rPr>
              <w:t>Utilización sostenible de sus componentes</w:t>
            </w: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Evitaría el uso desmedido de ciertos recursos genéticos que ocasiona su extinción</w:t>
            </w: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Puede generar una menor demanda de ciertos productos agrícolas con impacto directo en los productores</w:t>
            </w:r>
          </w:p>
        </w:tc>
      </w:tr>
      <w:tr w:rsidR="000B65D1" w:rsidRPr="004240FD" w:rsidTr="00CE2A69">
        <w:tc>
          <w:tcPr>
            <w:tcW w:w="2992" w:type="dxa"/>
          </w:tcPr>
          <w:p w:rsidR="00F04105" w:rsidRPr="004240FD" w:rsidRDefault="00F04105" w:rsidP="005B38CF">
            <w:pPr>
              <w:jc w:val="both"/>
              <w:rPr>
                <w:rFonts w:ascii="Arial" w:hAnsi="Arial" w:cs="Arial"/>
                <w:sz w:val="24"/>
                <w:szCs w:val="24"/>
              </w:rPr>
            </w:pPr>
            <w:r w:rsidRPr="004240FD">
              <w:rPr>
                <w:rFonts w:ascii="Arial" w:hAnsi="Arial" w:cs="Arial"/>
                <w:sz w:val="24"/>
                <w:szCs w:val="24"/>
                <w:shd w:val="clear" w:color="auto" w:fill="FFFFFF"/>
              </w:rPr>
              <w:t>Participación justa y equitativa en los beneficios que se deriven de la utilización de los recursos genéticos</w:t>
            </w:r>
          </w:p>
          <w:p w:rsidR="00F04105" w:rsidRPr="004240FD" w:rsidRDefault="00F04105" w:rsidP="005B38CF">
            <w:pPr>
              <w:jc w:val="both"/>
              <w:rPr>
                <w:rFonts w:ascii="Arial" w:hAnsi="Arial" w:cs="Arial"/>
                <w:sz w:val="24"/>
                <w:szCs w:val="24"/>
              </w:rPr>
            </w:pP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Es probable que el tiempo para concretar beneficios tanto monetarios como no monetarios se reduzca significativamente</w:t>
            </w:r>
          </w:p>
        </w:tc>
        <w:tc>
          <w:tcPr>
            <w:tcW w:w="2993" w:type="dxa"/>
          </w:tcPr>
          <w:p w:rsidR="00F04105" w:rsidRPr="004240FD" w:rsidRDefault="00F04105" w:rsidP="005B38CF">
            <w:pPr>
              <w:jc w:val="both"/>
              <w:rPr>
                <w:rFonts w:ascii="Arial" w:hAnsi="Arial" w:cs="Arial"/>
                <w:sz w:val="24"/>
                <w:szCs w:val="24"/>
              </w:rPr>
            </w:pPr>
            <w:r w:rsidRPr="004240FD">
              <w:rPr>
                <w:rFonts w:ascii="Arial" w:hAnsi="Arial" w:cs="Arial"/>
                <w:sz w:val="24"/>
                <w:szCs w:val="24"/>
              </w:rPr>
              <w:t xml:space="preserve">No se asegura la distribución de los beneficios derivados de la utilización justa y equitativa, puesto que pueden utilizar secuencias genéticas disponibles  </w:t>
            </w:r>
          </w:p>
        </w:tc>
      </w:tr>
    </w:tbl>
    <w:p w:rsidR="00F04105" w:rsidRPr="004240FD" w:rsidRDefault="00F04105" w:rsidP="005B38CF">
      <w:pPr>
        <w:spacing w:after="0"/>
        <w:jc w:val="both"/>
        <w:rPr>
          <w:rFonts w:ascii="Arial" w:hAnsi="Arial" w:cs="Arial"/>
          <w:sz w:val="24"/>
          <w:szCs w:val="24"/>
        </w:rPr>
      </w:pPr>
    </w:p>
    <w:p w:rsidR="00F04105" w:rsidRPr="004240FD" w:rsidRDefault="00F04105" w:rsidP="005B38CF">
      <w:pPr>
        <w:spacing w:after="0"/>
        <w:jc w:val="both"/>
        <w:rPr>
          <w:rFonts w:ascii="Arial" w:hAnsi="Arial" w:cs="Arial"/>
          <w:sz w:val="24"/>
          <w:szCs w:val="24"/>
        </w:rPr>
      </w:pPr>
    </w:p>
    <w:p w:rsidR="00A33ED3" w:rsidRPr="004240FD" w:rsidRDefault="00A33ED3" w:rsidP="00584264">
      <w:pPr>
        <w:pStyle w:val="Prrafodelista"/>
        <w:numPr>
          <w:ilvl w:val="0"/>
          <w:numId w:val="9"/>
        </w:numPr>
        <w:spacing w:after="0"/>
        <w:jc w:val="both"/>
        <w:rPr>
          <w:rFonts w:ascii="Arial" w:hAnsi="Arial" w:cs="Arial"/>
          <w:b/>
          <w:sz w:val="24"/>
          <w:szCs w:val="24"/>
          <w:lang w:val="es-ES"/>
        </w:rPr>
      </w:pPr>
      <w:r w:rsidRPr="004240FD">
        <w:rPr>
          <w:rFonts w:ascii="Arial" w:hAnsi="Arial" w:cs="Arial"/>
          <w:b/>
          <w:sz w:val="24"/>
          <w:szCs w:val="24"/>
          <w:lang w:val="es-ES"/>
        </w:rPr>
        <w:t>Experiencias en la realización de evaluaciones del riesgo de los organismos, componentes y productos de la biología sintética, incluido los inconvenientes encontrados, las lecciones aprendidas y las repercusiones para los marcos de evaluación del riesgo;</w:t>
      </w:r>
    </w:p>
    <w:p w:rsidR="004A4956" w:rsidRPr="004240FD" w:rsidRDefault="004A4956" w:rsidP="004A4956">
      <w:pPr>
        <w:pStyle w:val="Prrafodelista"/>
        <w:spacing w:after="0"/>
        <w:ind w:left="705"/>
        <w:jc w:val="both"/>
        <w:rPr>
          <w:rFonts w:ascii="Arial" w:hAnsi="Arial" w:cs="Arial"/>
          <w:b/>
          <w:sz w:val="24"/>
          <w:szCs w:val="24"/>
          <w:lang w:val="es-ES"/>
        </w:rPr>
      </w:pPr>
    </w:p>
    <w:p w:rsidR="00584264" w:rsidRPr="004240FD" w:rsidRDefault="00584264" w:rsidP="00584264">
      <w:pPr>
        <w:spacing w:after="0"/>
        <w:jc w:val="both"/>
        <w:rPr>
          <w:rFonts w:ascii="Arial" w:hAnsi="Arial" w:cs="Arial"/>
          <w:sz w:val="24"/>
          <w:szCs w:val="24"/>
          <w:lang w:val="es-ES"/>
        </w:rPr>
      </w:pPr>
      <w:r w:rsidRPr="004240FD">
        <w:rPr>
          <w:rFonts w:ascii="Arial" w:hAnsi="Arial" w:cs="Arial"/>
          <w:sz w:val="24"/>
          <w:szCs w:val="24"/>
          <w:lang w:val="es-ES"/>
        </w:rPr>
        <w:t>El documento preparado por la NAS</w:t>
      </w:r>
      <w:r w:rsidR="00AD4E01">
        <w:rPr>
          <w:rFonts w:ascii="Arial" w:hAnsi="Arial" w:cs="Arial"/>
          <w:sz w:val="24"/>
          <w:szCs w:val="24"/>
          <w:lang w:val="es-ES"/>
        </w:rPr>
        <w:t>,</w:t>
      </w:r>
      <w:r w:rsidRPr="004240FD">
        <w:rPr>
          <w:rFonts w:ascii="Arial" w:hAnsi="Arial" w:cs="Arial"/>
          <w:sz w:val="24"/>
          <w:szCs w:val="24"/>
          <w:lang w:val="es-ES"/>
        </w:rPr>
        <w:t xml:space="preserve"> 2016, establece claramente que hasta mayo de 2016 no se encontraba reportado alguna evaluación de riesgo para organismos, componentes y productos de la biología sintética, sin embargo</w:t>
      </w:r>
      <w:r w:rsidR="00AD4E01">
        <w:rPr>
          <w:rFonts w:ascii="Arial" w:hAnsi="Arial" w:cs="Arial"/>
          <w:sz w:val="24"/>
          <w:szCs w:val="24"/>
          <w:lang w:val="es-ES"/>
        </w:rPr>
        <w:t>,</w:t>
      </w:r>
      <w:r w:rsidR="000761B8" w:rsidRPr="004240FD">
        <w:rPr>
          <w:rFonts w:ascii="Arial" w:hAnsi="Arial" w:cs="Arial"/>
          <w:sz w:val="24"/>
          <w:szCs w:val="24"/>
          <w:lang w:val="es-ES"/>
        </w:rPr>
        <w:t xml:space="preserve"> en su capítulo 4 desarrollan los estudios de caso arriba mencionados y</w:t>
      </w:r>
      <w:r w:rsidRPr="004240FD">
        <w:rPr>
          <w:rFonts w:ascii="Arial" w:hAnsi="Arial" w:cs="Arial"/>
          <w:sz w:val="24"/>
          <w:szCs w:val="24"/>
          <w:lang w:val="es-ES"/>
        </w:rPr>
        <w:t xml:space="preserve"> reconocen lo</w:t>
      </w:r>
      <w:r w:rsidR="000761B8" w:rsidRPr="004240FD">
        <w:rPr>
          <w:rFonts w:ascii="Arial" w:hAnsi="Arial" w:cs="Arial"/>
          <w:sz w:val="24"/>
          <w:szCs w:val="24"/>
          <w:lang w:val="es-ES"/>
        </w:rPr>
        <w:t xml:space="preserve">s siguientes puntos </w:t>
      </w:r>
      <w:r w:rsidRPr="004240FD">
        <w:rPr>
          <w:rFonts w:ascii="Arial" w:hAnsi="Arial" w:cs="Arial"/>
          <w:sz w:val="24"/>
          <w:szCs w:val="24"/>
          <w:lang w:val="es-ES"/>
        </w:rPr>
        <w:t>(se presenta el resumen en su idioma original</w:t>
      </w:r>
      <w:r w:rsidR="00AD4E01">
        <w:rPr>
          <w:rFonts w:ascii="Arial" w:hAnsi="Arial" w:cs="Arial"/>
          <w:sz w:val="24"/>
          <w:szCs w:val="24"/>
          <w:lang w:val="es-ES"/>
        </w:rPr>
        <w:t>)</w:t>
      </w:r>
      <w:r w:rsidRPr="004240FD">
        <w:rPr>
          <w:rFonts w:ascii="Arial" w:hAnsi="Arial" w:cs="Arial"/>
          <w:sz w:val="24"/>
          <w:szCs w:val="24"/>
          <w:lang w:val="es-ES"/>
        </w:rPr>
        <w:t>:</w:t>
      </w:r>
    </w:p>
    <w:p w:rsidR="004F5311" w:rsidRPr="004240FD" w:rsidRDefault="004F5311" w:rsidP="00584264">
      <w:pPr>
        <w:spacing w:after="0"/>
        <w:jc w:val="both"/>
        <w:rPr>
          <w:rFonts w:ascii="Arial" w:hAnsi="Arial" w:cs="Arial"/>
          <w:sz w:val="24"/>
          <w:szCs w:val="24"/>
          <w:lang w:val="es-ES"/>
        </w:rPr>
      </w:pPr>
    </w:p>
    <w:p w:rsidR="00AD4E01" w:rsidRDefault="00AD4E01" w:rsidP="00AD4E01">
      <w:pPr>
        <w:spacing w:after="0"/>
        <w:jc w:val="both"/>
        <w:rPr>
          <w:rFonts w:ascii="Arial" w:hAnsi="Arial" w:cs="Arial"/>
          <w:i/>
          <w:sz w:val="24"/>
          <w:szCs w:val="24"/>
          <w:lang w:val="en-US"/>
        </w:rPr>
      </w:pPr>
      <w:r w:rsidRPr="00AD4E01">
        <w:rPr>
          <w:rFonts w:ascii="Arial" w:hAnsi="Arial" w:cs="Arial"/>
          <w:i/>
          <w:sz w:val="24"/>
          <w:szCs w:val="24"/>
          <w:lang w:val="en-US"/>
        </w:rPr>
        <w:t>“</w:t>
      </w:r>
      <w:r>
        <w:rPr>
          <w:rFonts w:ascii="Arial" w:hAnsi="Arial" w:cs="Arial"/>
          <w:i/>
          <w:sz w:val="24"/>
          <w:szCs w:val="24"/>
          <w:lang w:val="en-US"/>
        </w:rPr>
        <w:t xml:space="preserve">… </w:t>
      </w:r>
      <w:r w:rsidR="004F5311" w:rsidRPr="004240FD">
        <w:rPr>
          <w:rFonts w:ascii="Arial" w:hAnsi="Arial" w:cs="Arial"/>
          <w:i/>
          <w:sz w:val="24"/>
          <w:szCs w:val="24"/>
          <w:lang w:val="en-US"/>
        </w:rPr>
        <w:t xml:space="preserve">The potential for gene drives to spread throughout a population, to persist in the environment, and to cause irreversible effects on organisms and ecosystems calls for a robust method to assess risks. </w:t>
      </w:r>
    </w:p>
    <w:p w:rsidR="004F5311" w:rsidRPr="004240FD" w:rsidRDefault="00AD4E01" w:rsidP="00AD4E01">
      <w:pPr>
        <w:spacing w:after="0"/>
        <w:jc w:val="both"/>
        <w:rPr>
          <w:rFonts w:ascii="Arial" w:hAnsi="Arial" w:cs="Arial"/>
          <w:i/>
          <w:sz w:val="24"/>
          <w:szCs w:val="24"/>
          <w:lang w:val="en-US"/>
        </w:rPr>
      </w:pPr>
      <w:r>
        <w:rPr>
          <w:rFonts w:ascii="Arial" w:hAnsi="Arial" w:cs="Arial"/>
          <w:i/>
          <w:sz w:val="24"/>
          <w:szCs w:val="24"/>
          <w:lang w:val="en-US"/>
        </w:rPr>
        <w:t>E</w:t>
      </w:r>
      <w:r w:rsidR="004F5311" w:rsidRPr="004240FD">
        <w:rPr>
          <w:rFonts w:ascii="Arial" w:hAnsi="Arial" w:cs="Arial"/>
          <w:i/>
          <w:sz w:val="24"/>
          <w:szCs w:val="24"/>
          <w:lang w:val="en-US"/>
        </w:rPr>
        <w:t xml:space="preserve">cological risk assessment would be beneficial in the context of gene drive research, because this method can be used to estimate the probability of immediate and long-term environmental and public health harms and benefits. </w:t>
      </w:r>
    </w:p>
    <w:p w:rsidR="00AD4E01" w:rsidRDefault="004F5311" w:rsidP="00AD4E01">
      <w:pPr>
        <w:spacing w:after="0"/>
        <w:jc w:val="both"/>
        <w:rPr>
          <w:rFonts w:ascii="Arial" w:hAnsi="Arial" w:cs="Arial"/>
          <w:i/>
          <w:sz w:val="24"/>
          <w:szCs w:val="24"/>
          <w:lang w:val="en-US"/>
        </w:rPr>
      </w:pPr>
      <w:r w:rsidRPr="004240FD">
        <w:rPr>
          <w:rFonts w:ascii="Arial" w:hAnsi="Arial" w:cs="Arial"/>
          <w:i/>
          <w:sz w:val="24"/>
          <w:szCs w:val="24"/>
          <w:lang w:val="en-US"/>
        </w:rPr>
        <w:lastRenderedPageBreak/>
        <w:t>Some amount</w:t>
      </w:r>
      <w:r w:rsidR="00AD4E01">
        <w:rPr>
          <w:rFonts w:ascii="Arial" w:hAnsi="Arial" w:cs="Arial"/>
          <w:i/>
          <w:sz w:val="24"/>
          <w:szCs w:val="24"/>
          <w:lang w:val="en-US"/>
        </w:rPr>
        <w:t xml:space="preserve"> of uncertainty is unavoidable…”</w:t>
      </w:r>
    </w:p>
    <w:p w:rsidR="00C151F5" w:rsidRPr="004240FD" w:rsidRDefault="00C151F5" w:rsidP="004A4956">
      <w:pPr>
        <w:spacing w:after="0"/>
        <w:ind w:left="708"/>
        <w:jc w:val="both"/>
        <w:rPr>
          <w:rFonts w:ascii="Arial" w:hAnsi="Arial" w:cs="Arial"/>
          <w:i/>
          <w:sz w:val="24"/>
          <w:szCs w:val="24"/>
          <w:lang w:val="en-US"/>
        </w:rPr>
      </w:pPr>
    </w:p>
    <w:p w:rsidR="00AD4E01" w:rsidRDefault="00034DBC" w:rsidP="00AD4E01">
      <w:pPr>
        <w:spacing w:after="0"/>
        <w:jc w:val="both"/>
        <w:rPr>
          <w:rFonts w:ascii="Arial" w:hAnsi="Arial" w:cs="Arial"/>
          <w:i/>
          <w:sz w:val="24"/>
          <w:szCs w:val="24"/>
          <w:lang w:val="en-US"/>
        </w:rPr>
      </w:pPr>
      <w:r w:rsidRPr="004240FD">
        <w:rPr>
          <w:rFonts w:ascii="Arial" w:hAnsi="Arial" w:cs="Arial"/>
          <w:i/>
          <w:sz w:val="24"/>
          <w:szCs w:val="24"/>
          <w:lang w:val="en-US"/>
        </w:rPr>
        <w:t>“…</w:t>
      </w:r>
      <w:r w:rsidR="00C151F5" w:rsidRPr="004240FD">
        <w:rPr>
          <w:rFonts w:ascii="Arial" w:hAnsi="Arial" w:cs="Arial"/>
          <w:i/>
          <w:sz w:val="24"/>
          <w:szCs w:val="24"/>
          <w:lang w:val="en-US"/>
        </w:rPr>
        <w:t>Gene drives developed for agricultural purposes could also have adverse effects on human well-being. Transfer of a suppression drive to a non-target wild species could have both adverse environmental outcomes and harmful effects on vegetable crops</w:t>
      </w:r>
      <w:r w:rsidR="00AD4E01">
        <w:rPr>
          <w:rFonts w:ascii="Arial" w:hAnsi="Arial" w:cs="Arial"/>
          <w:i/>
          <w:sz w:val="24"/>
          <w:szCs w:val="24"/>
          <w:lang w:val="en-US"/>
        </w:rPr>
        <w:t>.</w:t>
      </w:r>
    </w:p>
    <w:p w:rsidR="00AD4E01" w:rsidRPr="00AD4E01" w:rsidRDefault="00C151F5" w:rsidP="00C95A0C">
      <w:pPr>
        <w:spacing w:after="0"/>
        <w:jc w:val="both"/>
        <w:rPr>
          <w:rFonts w:ascii="Arial" w:hAnsi="Arial" w:cs="Arial"/>
          <w:i/>
          <w:sz w:val="24"/>
          <w:szCs w:val="24"/>
          <w:lang w:val="en-US"/>
        </w:rPr>
      </w:pPr>
      <w:r w:rsidRPr="004240FD">
        <w:rPr>
          <w:rFonts w:ascii="Arial" w:hAnsi="Arial" w:cs="Arial"/>
          <w:i/>
          <w:sz w:val="24"/>
          <w:szCs w:val="24"/>
          <w:lang w:val="en-US"/>
        </w:rPr>
        <w:t>There are also trade-offs to consider (</w:t>
      </w:r>
      <w:proofErr w:type="spellStart"/>
      <w:r w:rsidRPr="004240FD">
        <w:rPr>
          <w:rFonts w:ascii="Arial" w:hAnsi="Arial" w:cs="Arial"/>
          <w:i/>
          <w:sz w:val="24"/>
          <w:szCs w:val="24"/>
          <w:lang w:val="en-US"/>
        </w:rPr>
        <w:t>Finkel</w:t>
      </w:r>
      <w:proofErr w:type="spellEnd"/>
      <w:r w:rsidRPr="004240FD">
        <w:rPr>
          <w:rFonts w:ascii="Arial" w:hAnsi="Arial" w:cs="Arial"/>
          <w:i/>
          <w:sz w:val="24"/>
          <w:szCs w:val="24"/>
          <w:lang w:val="en-US"/>
        </w:rPr>
        <w:t>, 2011): The potential outcomes of a release will need to be weighed against the potential outcomes of alternative solutions to the problem for which the release is proposed, and also against the outcomes of doing nothing—which could amount to very great harm given an enormous, immediate, and highl</w:t>
      </w:r>
      <w:r w:rsidR="00AD4E01">
        <w:rPr>
          <w:rFonts w:ascii="Arial" w:hAnsi="Arial" w:cs="Arial"/>
          <w:i/>
          <w:sz w:val="24"/>
          <w:szCs w:val="24"/>
          <w:lang w:val="en-US"/>
        </w:rPr>
        <w:t>y certain public health problem</w:t>
      </w:r>
      <w:r w:rsidR="00034DBC" w:rsidRPr="004240FD">
        <w:rPr>
          <w:rFonts w:ascii="Arial" w:hAnsi="Arial" w:cs="Arial"/>
          <w:i/>
          <w:sz w:val="24"/>
          <w:szCs w:val="24"/>
          <w:lang w:val="en-US"/>
        </w:rPr>
        <w:t>. Cost-benefit analysis may also be useful for modelling the possible outcomes of regulatory or policy decisions about gene drive research and use…”</w:t>
      </w:r>
    </w:p>
    <w:p w:rsidR="00C151F5" w:rsidRPr="004240FD" w:rsidRDefault="00C151F5" w:rsidP="00C95A0C">
      <w:pPr>
        <w:spacing w:after="0"/>
        <w:jc w:val="both"/>
        <w:rPr>
          <w:rFonts w:ascii="Arial" w:hAnsi="Arial" w:cs="Arial"/>
          <w:sz w:val="24"/>
          <w:szCs w:val="24"/>
          <w:lang w:val="en-US"/>
        </w:rPr>
      </w:pPr>
    </w:p>
    <w:p w:rsidR="008A0DE7" w:rsidRPr="004240FD" w:rsidRDefault="00AD4E01" w:rsidP="00C95A0C">
      <w:pPr>
        <w:autoSpaceDE w:val="0"/>
        <w:autoSpaceDN w:val="0"/>
        <w:adjustRightInd w:val="0"/>
        <w:spacing w:after="0" w:line="240" w:lineRule="auto"/>
        <w:jc w:val="both"/>
        <w:rPr>
          <w:rFonts w:ascii="Arial" w:hAnsi="Arial" w:cs="Arial"/>
          <w:i/>
          <w:sz w:val="24"/>
          <w:szCs w:val="24"/>
          <w:lang w:val="en-US"/>
        </w:rPr>
      </w:pPr>
      <w:r>
        <w:rPr>
          <w:rFonts w:ascii="Arial" w:hAnsi="Arial" w:cs="Arial"/>
          <w:i/>
          <w:sz w:val="24"/>
          <w:szCs w:val="24"/>
          <w:lang w:val="en-US"/>
        </w:rPr>
        <w:t>“…</w:t>
      </w:r>
      <w:r w:rsidR="008A0DE7" w:rsidRPr="004240FD">
        <w:rPr>
          <w:rFonts w:ascii="Arial" w:hAnsi="Arial" w:cs="Arial"/>
          <w:i/>
          <w:sz w:val="24"/>
          <w:szCs w:val="24"/>
          <w:lang w:val="en-US"/>
        </w:rPr>
        <w:t xml:space="preserve"> Researchers, regulators and other decision makers should use ecological risk assessment to estimate the probability of immediate and long-term environmental and public health effects of gene-drive modified organisms and to inform decisions about gene drive research, policy, and applications. </w:t>
      </w:r>
    </w:p>
    <w:p w:rsidR="008A0DE7" w:rsidRPr="004240FD" w:rsidRDefault="00C95A0C" w:rsidP="00C95A0C">
      <w:pPr>
        <w:autoSpaceDE w:val="0"/>
        <w:autoSpaceDN w:val="0"/>
        <w:adjustRightInd w:val="0"/>
        <w:spacing w:after="0" w:line="240" w:lineRule="auto"/>
        <w:jc w:val="both"/>
        <w:rPr>
          <w:rFonts w:ascii="Arial" w:hAnsi="Arial" w:cs="Arial"/>
          <w:sz w:val="24"/>
          <w:szCs w:val="24"/>
          <w:lang w:val="en-US"/>
        </w:rPr>
      </w:pPr>
      <w:r>
        <w:rPr>
          <w:rFonts w:ascii="Arial" w:hAnsi="Arial" w:cs="Arial"/>
          <w:i/>
          <w:sz w:val="24"/>
          <w:szCs w:val="24"/>
          <w:lang w:val="en-US"/>
        </w:rPr>
        <w:t>R</w:t>
      </w:r>
      <w:r w:rsidR="008A0DE7" w:rsidRPr="004240FD">
        <w:rPr>
          <w:rFonts w:ascii="Arial" w:hAnsi="Arial" w:cs="Arial"/>
          <w:i/>
          <w:sz w:val="24"/>
          <w:szCs w:val="24"/>
          <w:lang w:val="en-US"/>
        </w:rPr>
        <w:t>esearchers should design experimental field trials to validate or improve cause-effect pathways and further refine ecological models</w:t>
      </w:r>
      <w:r w:rsidRPr="00C95A0C">
        <w:rPr>
          <w:rFonts w:ascii="Arial" w:hAnsi="Arial" w:cs="Arial"/>
          <w:i/>
          <w:sz w:val="24"/>
          <w:szCs w:val="24"/>
          <w:lang w:val="en-US"/>
        </w:rPr>
        <w:t xml:space="preserve"> </w:t>
      </w:r>
      <w:r>
        <w:rPr>
          <w:rFonts w:ascii="Arial" w:hAnsi="Arial" w:cs="Arial"/>
          <w:i/>
          <w:sz w:val="24"/>
          <w:szCs w:val="24"/>
          <w:lang w:val="en-US"/>
        </w:rPr>
        <w:t xml:space="preserve">to </w:t>
      </w:r>
      <w:r w:rsidRPr="004240FD">
        <w:rPr>
          <w:rFonts w:ascii="Arial" w:hAnsi="Arial" w:cs="Arial"/>
          <w:i/>
          <w:sz w:val="24"/>
          <w:szCs w:val="24"/>
          <w:lang w:val="en-US"/>
        </w:rPr>
        <w:t>strengthen future ecological risk assessment</w:t>
      </w:r>
      <w:r w:rsidR="008A0DE7" w:rsidRPr="004240FD">
        <w:rPr>
          <w:rFonts w:ascii="Arial" w:hAnsi="Arial" w:cs="Arial"/>
          <w:i/>
          <w:sz w:val="24"/>
          <w:szCs w:val="24"/>
          <w:lang w:val="en-US"/>
        </w:rPr>
        <w:t>.</w:t>
      </w:r>
      <w:r w:rsidR="008A0DE7" w:rsidRPr="004240FD">
        <w:rPr>
          <w:rFonts w:ascii="Arial" w:hAnsi="Arial" w:cs="Arial"/>
          <w:sz w:val="24"/>
          <w:szCs w:val="24"/>
          <w:lang w:val="en-US"/>
        </w:rPr>
        <w:t xml:space="preserve"> </w:t>
      </w:r>
    </w:p>
    <w:p w:rsidR="008A0DE7" w:rsidRPr="004240FD" w:rsidRDefault="00C95A0C" w:rsidP="00C95A0C">
      <w:pPr>
        <w:autoSpaceDE w:val="0"/>
        <w:autoSpaceDN w:val="0"/>
        <w:adjustRightInd w:val="0"/>
        <w:spacing w:after="0" w:line="240" w:lineRule="auto"/>
        <w:jc w:val="both"/>
        <w:rPr>
          <w:rFonts w:ascii="Arial" w:hAnsi="Arial" w:cs="Arial"/>
          <w:i/>
          <w:sz w:val="24"/>
          <w:szCs w:val="24"/>
          <w:lang w:val="en-US"/>
        </w:rPr>
      </w:pPr>
      <w:r>
        <w:rPr>
          <w:rFonts w:ascii="Arial" w:hAnsi="Arial" w:cs="Arial"/>
          <w:i/>
          <w:sz w:val="24"/>
          <w:szCs w:val="24"/>
          <w:lang w:val="en-US"/>
        </w:rPr>
        <w:t>R</w:t>
      </w:r>
      <w:r w:rsidR="008A0DE7" w:rsidRPr="004240FD">
        <w:rPr>
          <w:rFonts w:ascii="Arial" w:hAnsi="Arial" w:cs="Arial"/>
          <w:i/>
          <w:sz w:val="24"/>
          <w:szCs w:val="24"/>
          <w:lang w:val="en-US"/>
        </w:rPr>
        <w:t>esearchers and risk assessors should collaborate early and often to design studies that will provide the information needed to evaluate risks of gene drives and reduce uncertainty to the extent possible.</w:t>
      </w:r>
    </w:p>
    <w:p w:rsidR="0034072A" w:rsidRPr="004240FD" w:rsidRDefault="0034072A" w:rsidP="00C95A0C">
      <w:pPr>
        <w:spacing w:after="0"/>
        <w:jc w:val="both"/>
        <w:rPr>
          <w:rFonts w:ascii="Arial" w:hAnsi="Arial" w:cs="Arial"/>
          <w:sz w:val="24"/>
          <w:szCs w:val="24"/>
          <w:lang w:val="en-US"/>
        </w:rPr>
      </w:pPr>
    </w:p>
    <w:p w:rsidR="004F5311" w:rsidRPr="004240FD" w:rsidRDefault="00C95A0C" w:rsidP="00C95A0C">
      <w:pPr>
        <w:spacing w:after="0"/>
        <w:jc w:val="both"/>
        <w:rPr>
          <w:rFonts w:ascii="Arial" w:hAnsi="Arial" w:cs="Arial"/>
          <w:sz w:val="24"/>
          <w:szCs w:val="24"/>
        </w:rPr>
      </w:pPr>
      <w:r>
        <w:rPr>
          <w:rFonts w:ascii="Arial" w:hAnsi="Arial" w:cs="Arial"/>
          <w:sz w:val="24"/>
          <w:szCs w:val="24"/>
        </w:rPr>
        <w:t>E</w:t>
      </w:r>
      <w:r w:rsidR="0034072A" w:rsidRPr="004240FD">
        <w:rPr>
          <w:rFonts w:ascii="Arial" w:hAnsi="Arial" w:cs="Arial"/>
          <w:sz w:val="24"/>
          <w:szCs w:val="24"/>
        </w:rPr>
        <w:t xml:space="preserve">n México </w:t>
      </w:r>
      <w:r w:rsidRPr="004240FD">
        <w:rPr>
          <w:rFonts w:ascii="Arial" w:hAnsi="Arial" w:cs="Arial"/>
          <w:sz w:val="24"/>
          <w:szCs w:val="24"/>
        </w:rPr>
        <w:t xml:space="preserve">no </w:t>
      </w:r>
      <w:r w:rsidR="0034072A" w:rsidRPr="004240FD">
        <w:rPr>
          <w:rFonts w:ascii="Arial" w:hAnsi="Arial" w:cs="Arial"/>
          <w:sz w:val="24"/>
          <w:szCs w:val="24"/>
        </w:rPr>
        <w:t xml:space="preserve">se tienen experiencias en evaluación de riesgo de productos de la biología sintética. Sin embargo, si se dispone de análisis de riesgos para Organismos Genéticamente Modificados, para </w:t>
      </w:r>
      <w:r>
        <w:rPr>
          <w:rFonts w:ascii="Arial" w:hAnsi="Arial" w:cs="Arial"/>
          <w:sz w:val="24"/>
          <w:szCs w:val="24"/>
        </w:rPr>
        <w:t>su</w:t>
      </w:r>
      <w:r w:rsidR="0034072A" w:rsidRPr="004240FD">
        <w:rPr>
          <w:rFonts w:ascii="Arial" w:hAnsi="Arial" w:cs="Arial"/>
          <w:sz w:val="24"/>
          <w:szCs w:val="24"/>
        </w:rPr>
        <w:t xml:space="preserve"> liberación al ambiente</w:t>
      </w:r>
      <w:r>
        <w:rPr>
          <w:rFonts w:ascii="Arial" w:hAnsi="Arial" w:cs="Arial"/>
          <w:sz w:val="24"/>
          <w:szCs w:val="24"/>
        </w:rPr>
        <w:t>, que se constituye como</w:t>
      </w:r>
      <w:r w:rsidR="0034072A" w:rsidRPr="004240FD">
        <w:rPr>
          <w:rFonts w:ascii="Arial" w:hAnsi="Arial" w:cs="Arial"/>
          <w:sz w:val="24"/>
          <w:szCs w:val="24"/>
        </w:rPr>
        <w:t xml:space="preserve"> una herramienta de tipo precautoria y preventiva, </w:t>
      </w:r>
      <w:r>
        <w:rPr>
          <w:rFonts w:ascii="Arial" w:hAnsi="Arial" w:cs="Arial"/>
          <w:sz w:val="24"/>
          <w:szCs w:val="24"/>
        </w:rPr>
        <w:t xml:space="preserve">y </w:t>
      </w:r>
      <w:r w:rsidR="0034072A" w:rsidRPr="004240FD">
        <w:rPr>
          <w:rFonts w:ascii="Arial" w:hAnsi="Arial" w:cs="Arial"/>
          <w:sz w:val="24"/>
          <w:szCs w:val="24"/>
        </w:rPr>
        <w:t xml:space="preserve">que evalúa la posibilidad de existencia de flujo génico. </w:t>
      </w:r>
      <w:r>
        <w:rPr>
          <w:rFonts w:ascii="Arial" w:hAnsi="Arial" w:cs="Arial"/>
          <w:sz w:val="24"/>
          <w:szCs w:val="24"/>
        </w:rPr>
        <w:t>El</w:t>
      </w:r>
      <w:r w:rsidR="0034072A" w:rsidRPr="004240FD">
        <w:rPr>
          <w:rFonts w:ascii="Arial" w:hAnsi="Arial" w:cs="Arial"/>
          <w:sz w:val="24"/>
          <w:szCs w:val="24"/>
        </w:rPr>
        <w:t xml:space="preserve"> Sistema de Información de Organismos Vivos Modificados (SIOVM) a partir de la plataforma de Biótica es una base de datos pública</w:t>
      </w:r>
      <w:r>
        <w:rPr>
          <w:rFonts w:ascii="Arial" w:hAnsi="Arial" w:cs="Arial"/>
          <w:sz w:val="24"/>
          <w:szCs w:val="24"/>
        </w:rPr>
        <w:t>,</w:t>
      </w:r>
      <w:r w:rsidR="0034072A" w:rsidRPr="004240FD">
        <w:rPr>
          <w:rFonts w:ascii="Arial" w:hAnsi="Arial" w:cs="Arial"/>
          <w:sz w:val="24"/>
          <w:szCs w:val="24"/>
        </w:rPr>
        <w:t xml:space="preserve"> de contenido </w:t>
      </w:r>
      <w:r>
        <w:rPr>
          <w:rFonts w:ascii="Arial" w:hAnsi="Arial" w:cs="Arial"/>
          <w:sz w:val="24"/>
          <w:szCs w:val="24"/>
        </w:rPr>
        <w:t>con</w:t>
      </w:r>
      <w:r w:rsidR="0034072A" w:rsidRPr="004240FD">
        <w:rPr>
          <w:rFonts w:ascii="Arial" w:hAnsi="Arial" w:cs="Arial"/>
          <w:sz w:val="24"/>
          <w:szCs w:val="24"/>
        </w:rPr>
        <w:t xml:space="preserve"> libre acceso en línea para dar apoyo en el proceso de análisis de riesgo, toma de decisiones, gestión y comunicación del riesgo. Adicionalmente se ha trabajado en una Norma Oficial Mexicana para evaluación de riesgos de los Organismos Genéticamente Modificados, tomando como referencia </w:t>
      </w:r>
      <w:r>
        <w:rPr>
          <w:rFonts w:ascii="Arial" w:hAnsi="Arial" w:cs="Arial"/>
          <w:sz w:val="24"/>
          <w:szCs w:val="24"/>
        </w:rPr>
        <w:t>la ruta crítica</w:t>
      </w:r>
      <w:r w:rsidRPr="004240FD">
        <w:rPr>
          <w:rFonts w:ascii="Arial" w:hAnsi="Arial" w:cs="Arial"/>
          <w:sz w:val="24"/>
          <w:szCs w:val="24"/>
        </w:rPr>
        <w:t xml:space="preserve"> </w:t>
      </w:r>
      <w:r w:rsidR="0034072A" w:rsidRPr="004240FD">
        <w:rPr>
          <w:rFonts w:ascii="Arial" w:hAnsi="Arial" w:cs="Arial"/>
          <w:sz w:val="24"/>
          <w:szCs w:val="24"/>
        </w:rPr>
        <w:t>de análisis de riesgo, elaborado en el marco del Protocolo de Cartagena.</w:t>
      </w:r>
    </w:p>
    <w:p w:rsidR="0034072A" w:rsidRPr="004240FD" w:rsidRDefault="0034072A" w:rsidP="00584264">
      <w:pPr>
        <w:spacing w:after="0"/>
        <w:jc w:val="both"/>
        <w:rPr>
          <w:rFonts w:ascii="Arial" w:hAnsi="Arial" w:cs="Arial"/>
          <w:sz w:val="24"/>
          <w:szCs w:val="24"/>
        </w:rPr>
      </w:pPr>
    </w:p>
    <w:p w:rsidR="00672157" w:rsidRPr="004240FD" w:rsidRDefault="00672157" w:rsidP="00584264">
      <w:pPr>
        <w:spacing w:after="0"/>
        <w:jc w:val="both"/>
        <w:rPr>
          <w:rFonts w:ascii="Arial" w:hAnsi="Arial" w:cs="Arial"/>
          <w:sz w:val="24"/>
          <w:szCs w:val="24"/>
        </w:rPr>
      </w:pPr>
      <w:r w:rsidRPr="004240FD">
        <w:rPr>
          <w:rFonts w:ascii="Arial" w:hAnsi="Arial" w:cs="Arial"/>
          <w:sz w:val="24"/>
          <w:szCs w:val="24"/>
        </w:rPr>
        <w:t xml:space="preserve">Particularmente, sobre los incisos a), b) y c) anteriores se destaca lo siguiente: </w:t>
      </w:r>
    </w:p>
    <w:p w:rsidR="00672157" w:rsidRPr="004240FD" w:rsidRDefault="00672157" w:rsidP="00584264">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El avance en el conocimiento de nuevos tipos de acción de las proteínas </w:t>
      </w:r>
      <w:r w:rsidR="00D57AC7">
        <w:rPr>
          <w:rFonts w:ascii="Arial" w:hAnsi="Arial" w:cs="Arial"/>
          <w:sz w:val="24"/>
          <w:szCs w:val="24"/>
        </w:rPr>
        <w:t>“</w:t>
      </w:r>
      <w:r w:rsidRPr="004240FD">
        <w:rPr>
          <w:rFonts w:ascii="Arial" w:hAnsi="Arial" w:cs="Arial"/>
          <w:sz w:val="24"/>
          <w:szCs w:val="24"/>
        </w:rPr>
        <w:t>cas</w:t>
      </w:r>
      <w:r w:rsidR="00D57AC7">
        <w:rPr>
          <w:rFonts w:ascii="Arial" w:hAnsi="Arial" w:cs="Arial"/>
          <w:sz w:val="24"/>
          <w:szCs w:val="24"/>
        </w:rPr>
        <w:t>”</w:t>
      </w:r>
      <w:r w:rsidRPr="004240FD">
        <w:rPr>
          <w:rFonts w:ascii="Arial" w:hAnsi="Arial" w:cs="Arial"/>
          <w:sz w:val="24"/>
          <w:szCs w:val="24"/>
        </w:rPr>
        <w:t xml:space="preserve"> asociadas a los sistemas CRISPR ha permitido el avance de investigaciones </w:t>
      </w:r>
      <w:r w:rsidRPr="004240FD">
        <w:rPr>
          <w:rFonts w:ascii="Arial" w:hAnsi="Arial" w:cs="Arial"/>
          <w:sz w:val="24"/>
          <w:szCs w:val="24"/>
        </w:rPr>
        <w:lastRenderedPageBreak/>
        <w:t xml:space="preserve">novedosas cuyos resultados pueden ser aplicados para el tratamiento de enfermedades humanas (salud pública) p.ej. Síndrome </w:t>
      </w:r>
      <w:proofErr w:type="spellStart"/>
      <w:r w:rsidRPr="004240FD">
        <w:rPr>
          <w:rFonts w:ascii="Arial" w:hAnsi="Arial" w:cs="Arial"/>
          <w:sz w:val="24"/>
          <w:szCs w:val="24"/>
        </w:rPr>
        <w:t>Guillain</w:t>
      </w:r>
      <w:proofErr w:type="spellEnd"/>
      <w:r w:rsidRPr="004240FD">
        <w:rPr>
          <w:rFonts w:ascii="Arial" w:hAnsi="Arial" w:cs="Arial"/>
          <w:sz w:val="24"/>
          <w:szCs w:val="24"/>
        </w:rPr>
        <w:t>-Barre (</w:t>
      </w:r>
      <w:proofErr w:type="spellStart"/>
      <w:r w:rsidRPr="004240FD">
        <w:rPr>
          <w:rFonts w:ascii="Arial" w:hAnsi="Arial" w:cs="Arial"/>
          <w:sz w:val="24"/>
          <w:szCs w:val="24"/>
        </w:rPr>
        <w:t>Louwen</w:t>
      </w:r>
      <w:proofErr w:type="spellEnd"/>
      <w:r w:rsidRPr="004240FD">
        <w:rPr>
          <w:rFonts w:ascii="Arial" w:hAnsi="Arial" w:cs="Arial"/>
          <w:sz w:val="24"/>
          <w:szCs w:val="24"/>
        </w:rPr>
        <w:t xml:space="preserve"> </w:t>
      </w:r>
      <w:r w:rsidRPr="004240FD">
        <w:rPr>
          <w:rFonts w:ascii="Arial" w:hAnsi="Arial" w:cs="Arial"/>
          <w:i/>
          <w:sz w:val="24"/>
          <w:szCs w:val="24"/>
        </w:rPr>
        <w:t>et al.,</w:t>
      </w:r>
      <w:r w:rsidRPr="004240FD">
        <w:rPr>
          <w:rFonts w:ascii="Arial" w:hAnsi="Arial" w:cs="Arial"/>
          <w:sz w:val="24"/>
          <w:szCs w:val="24"/>
        </w:rPr>
        <w:t xml:space="preserve"> 2013); el control (disminución/extinción) de poblaciones de microorganismos con efectos nocivos para la salud humana (</w:t>
      </w:r>
      <w:proofErr w:type="spellStart"/>
      <w:r w:rsidRPr="004240FD">
        <w:rPr>
          <w:rFonts w:ascii="Arial" w:hAnsi="Arial" w:cs="Arial"/>
          <w:sz w:val="24"/>
          <w:szCs w:val="24"/>
        </w:rPr>
        <w:t>Barrangou</w:t>
      </w:r>
      <w:proofErr w:type="spellEnd"/>
      <w:r w:rsidRPr="004240FD">
        <w:rPr>
          <w:rFonts w:ascii="Arial" w:hAnsi="Arial" w:cs="Arial"/>
          <w:sz w:val="24"/>
          <w:szCs w:val="24"/>
        </w:rPr>
        <w:t xml:space="preserve"> &amp; </w:t>
      </w:r>
      <w:proofErr w:type="spellStart"/>
      <w:r w:rsidRPr="004240FD">
        <w:rPr>
          <w:rFonts w:ascii="Arial" w:hAnsi="Arial" w:cs="Arial"/>
          <w:sz w:val="24"/>
          <w:szCs w:val="24"/>
        </w:rPr>
        <w:t>Horvarth</w:t>
      </w:r>
      <w:proofErr w:type="spellEnd"/>
      <w:r w:rsidRPr="004240FD">
        <w:rPr>
          <w:rFonts w:ascii="Arial" w:hAnsi="Arial" w:cs="Arial"/>
          <w:sz w:val="24"/>
          <w:szCs w:val="24"/>
        </w:rPr>
        <w:t>, 2017); la agricultura, como es el caso del desarrollo de mecanismos para evitar o promover la resistencia a antibióticos (</w:t>
      </w:r>
      <w:proofErr w:type="spellStart"/>
      <w:r w:rsidRPr="004240FD">
        <w:rPr>
          <w:rFonts w:ascii="Arial" w:hAnsi="Arial" w:cs="Arial"/>
          <w:sz w:val="24"/>
          <w:szCs w:val="24"/>
        </w:rPr>
        <w:t>Sampson</w:t>
      </w:r>
      <w:proofErr w:type="spellEnd"/>
      <w:r w:rsidRPr="004240FD">
        <w:rPr>
          <w:rFonts w:ascii="Arial" w:hAnsi="Arial" w:cs="Arial"/>
          <w:sz w:val="24"/>
          <w:szCs w:val="24"/>
        </w:rPr>
        <w:t xml:space="preserve"> </w:t>
      </w:r>
      <w:r w:rsidRPr="004240FD">
        <w:rPr>
          <w:rFonts w:ascii="Arial" w:hAnsi="Arial" w:cs="Arial"/>
          <w:i/>
          <w:sz w:val="24"/>
          <w:szCs w:val="24"/>
        </w:rPr>
        <w:t>et al.</w:t>
      </w:r>
      <w:r w:rsidRPr="004240FD">
        <w:rPr>
          <w:rFonts w:ascii="Arial" w:hAnsi="Arial" w:cs="Arial"/>
          <w:sz w:val="24"/>
          <w:szCs w:val="24"/>
        </w:rPr>
        <w:t xml:space="preserve">, 2014); o el desarrollo de aplicaciones “Gene drive” con efectos a nivel ecológico (manejo de especies invasoras), en salud pública (dengue, </w:t>
      </w:r>
      <w:proofErr w:type="spellStart"/>
      <w:r w:rsidRPr="004240FD">
        <w:rPr>
          <w:rFonts w:ascii="Arial" w:hAnsi="Arial" w:cs="Arial"/>
          <w:sz w:val="24"/>
          <w:szCs w:val="24"/>
        </w:rPr>
        <w:t>zika</w:t>
      </w:r>
      <w:proofErr w:type="spellEnd"/>
      <w:r w:rsidRPr="004240FD">
        <w:rPr>
          <w:rFonts w:ascii="Arial" w:hAnsi="Arial" w:cs="Arial"/>
          <w:sz w:val="24"/>
          <w:szCs w:val="24"/>
        </w:rPr>
        <w:t xml:space="preserve">, malaria) y en agricultura (manejo de plagas). </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Es indudable la utilidad potencial de este tipo de herramientas así como otro tipo de aproximaciones de la biología sintética, pero su continuo y acelerado avance requiere también el desarrollo de investigaciones en relación con los posibles efectos reales (positivos/negativos), que éstas puedan tener en caso de liberaciones al ambiente.  Para ilustrar esto se realizó una búsqueda de documentos en la base de datos </w:t>
      </w:r>
      <w:proofErr w:type="spellStart"/>
      <w:r w:rsidRPr="004240FD">
        <w:rPr>
          <w:rFonts w:ascii="Arial" w:hAnsi="Arial" w:cs="Arial"/>
          <w:sz w:val="24"/>
          <w:szCs w:val="24"/>
        </w:rPr>
        <w:t>Scopus</w:t>
      </w:r>
      <w:proofErr w:type="spellEnd"/>
      <w:r w:rsidRPr="004240FD">
        <w:rPr>
          <w:rFonts w:ascii="Arial" w:hAnsi="Arial" w:cs="Arial"/>
          <w:sz w:val="24"/>
          <w:szCs w:val="24"/>
        </w:rPr>
        <w:t xml:space="preserve"> en abril de 2016 usando como término de búsqueda “</w:t>
      </w:r>
      <w:proofErr w:type="spellStart"/>
      <w:r w:rsidRPr="004240FD">
        <w:rPr>
          <w:rFonts w:ascii="Arial" w:hAnsi="Arial" w:cs="Arial"/>
          <w:sz w:val="24"/>
          <w:szCs w:val="24"/>
        </w:rPr>
        <w:t>Synthetic</w:t>
      </w:r>
      <w:proofErr w:type="spellEnd"/>
      <w:r w:rsidRPr="004240FD">
        <w:rPr>
          <w:rFonts w:ascii="Arial" w:hAnsi="Arial" w:cs="Arial"/>
          <w:sz w:val="24"/>
          <w:szCs w:val="24"/>
        </w:rPr>
        <w:t xml:space="preserve"> </w:t>
      </w:r>
      <w:proofErr w:type="spellStart"/>
      <w:r w:rsidRPr="004240FD">
        <w:rPr>
          <w:rFonts w:ascii="Arial" w:hAnsi="Arial" w:cs="Arial"/>
          <w:sz w:val="24"/>
          <w:szCs w:val="24"/>
        </w:rPr>
        <w:t>Biology</w:t>
      </w:r>
      <w:proofErr w:type="spellEnd"/>
      <w:r w:rsidRPr="004240FD">
        <w:rPr>
          <w:rFonts w:ascii="Arial" w:hAnsi="Arial" w:cs="Arial"/>
          <w:sz w:val="24"/>
          <w:szCs w:val="24"/>
        </w:rPr>
        <w:t xml:space="preserve">” y el resultado fue de 4528 registros. A junio de 2017 se registran, con el mismo criterio de búsqueda y en la misma base 6966 documentos, es decir, un incremento del 53.8% en el número de publicaciones que abordan esta área del conocimiento. Cabe resaltar que 6953 del total de registros a 2017 (99.8%) han sido generados entre los años 2000 y 2017. </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El documento </w:t>
      </w:r>
      <w:proofErr w:type="spellStart"/>
      <w:r w:rsidRPr="004240FD">
        <w:rPr>
          <w:rFonts w:ascii="Arial" w:hAnsi="Arial" w:cs="Arial"/>
          <w:sz w:val="24"/>
          <w:szCs w:val="24"/>
        </w:rPr>
        <w:t>Synthetic</w:t>
      </w:r>
      <w:proofErr w:type="spellEnd"/>
      <w:r w:rsidRPr="004240FD">
        <w:rPr>
          <w:rFonts w:ascii="Arial" w:hAnsi="Arial" w:cs="Arial"/>
          <w:sz w:val="24"/>
          <w:szCs w:val="24"/>
        </w:rPr>
        <w:t xml:space="preserve"> </w:t>
      </w:r>
      <w:proofErr w:type="spellStart"/>
      <w:r w:rsidRPr="004240FD">
        <w:rPr>
          <w:rFonts w:ascii="Arial" w:hAnsi="Arial" w:cs="Arial"/>
          <w:sz w:val="24"/>
          <w:szCs w:val="24"/>
        </w:rPr>
        <w:t>Biology</w:t>
      </w:r>
      <w:proofErr w:type="spellEnd"/>
      <w:r w:rsidRPr="004240FD">
        <w:rPr>
          <w:rFonts w:ascii="Arial" w:hAnsi="Arial" w:cs="Arial"/>
          <w:sz w:val="24"/>
          <w:szCs w:val="24"/>
        </w:rPr>
        <w:t xml:space="preserve">, CBD </w:t>
      </w:r>
      <w:proofErr w:type="spellStart"/>
      <w:r w:rsidRPr="004240FD">
        <w:rPr>
          <w:rFonts w:ascii="Arial" w:hAnsi="Arial" w:cs="Arial"/>
          <w:sz w:val="24"/>
          <w:szCs w:val="24"/>
        </w:rPr>
        <w:t>Technical</w:t>
      </w:r>
      <w:proofErr w:type="spellEnd"/>
      <w:r w:rsidRPr="004240FD">
        <w:rPr>
          <w:rFonts w:ascii="Arial" w:hAnsi="Arial" w:cs="Arial"/>
          <w:sz w:val="24"/>
          <w:szCs w:val="24"/>
        </w:rPr>
        <w:t xml:space="preserve"> Series No. 82, corresponde a una síntesis relevante de la información que hasta el año 2014 se tenía en relación con el área de interés. Como complemento de este material ya existente se han identificado algunos estudios que podrían ser recopilados, revisados y quizás puestos a disposición a través de uno de los mecanismos de facilitación ya existentes. En particular se sugieren algunos: </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En relación con las aplicaciones de la biología sintética y sus potenciales impactos positivos o negativos:</w:t>
      </w:r>
    </w:p>
    <w:p w:rsidR="00672157" w:rsidRPr="004240FD" w:rsidRDefault="00672157" w:rsidP="00867D19">
      <w:pPr>
        <w:numPr>
          <w:ilvl w:val="3"/>
          <w:numId w:val="15"/>
        </w:numPr>
        <w:spacing w:after="0"/>
        <w:ind w:left="426"/>
        <w:jc w:val="both"/>
        <w:rPr>
          <w:rFonts w:ascii="Arial" w:hAnsi="Arial" w:cs="Arial"/>
          <w:sz w:val="24"/>
          <w:szCs w:val="24"/>
        </w:rPr>
      </w:pPr>
      <w:r w:rsidRPr="004240FD">
        <w:rPr>
          <w:rFonts w:ascii="Arial" w:hAnsi="Arial" w:cs="Arial"/>
          <w:sz w:val="24"/>
          <w:szCs w:val="24"/>
        </w:rPr>
        <w:t xml:space="preserve">A nivel microbiano con implicaciones en salud (humana, animal, vegetal): </w:t>
      </w:r>
      <w:proofErr w:type="spellStart"/>
      <w:r w:rsidRPr="004240FD">
        <w:rPr>
          <w:rFonts w:ascii="Arial" w:hAnsi="Arial" w:cs="Arial"/>
          <w:sz w:val="24"/>
          <w:szCs w:val="24"/>
        </w:rPr>
        <w:t>Heler</w:t>
      </w:r>
      <w:proofErr w:type="spellEnd"/>
      <w:r w:rsidRPr="004240FD">
        <w:rPr>
          <w:rFonts w:ascii="Arial" w:hAnsi="Arial" w:cs="Arial"/>
          <w:sz w:val="24"/>
          <w:szCs w:val="24"/>
        </w:rPr>
        <w:t xml:space="preserve"> et al., 2014., </w:t>
      </w:r>
      <w:proofErr w:type="spellStart"/>
      <w:r w:rsidRPr="004240FD">
        <w:rPr>
          <w:rFonts w:ascii="Arial" w:hAnsi="Arial" w:cs="Arial"/>
          <w:sz w:val="24"/>
          <w:szCs w:val="24"/>
        </w:rPr>
        <w:t>Vercoe</w:t>
      </w:r>
      <w:proofErr w:type="spellEnd"/>
      <w:r w:rsidRPr="004240FD">
        <w:rPr>
          <w:rFonts w:ascii="Arial" w:hAnsi="Arial" w:cs="Arial"/>
          <w:sz w:val="24"/>
          <w:szCs w:val="24"/>
        </w:rPr>
        <w:t xml:space="preserve"> et al., 2013.</w:t>
      </w:r>
    </w:p>
    <w:p w:rsidR="00672157" w:rsidRPr="004240FD" w:rsidRDefault="00672157" w:rsidP="00867D19">
      <w:pPr>
        <w:numPr>
          <w:ilvl w:val="3"/>
          <w:numId w:val="15"/>
        </w:numPr>
        <w:spacing w:after="0"/>
        <w:ind w:left="426"/>
        <w:jc w:val="both"/>
        <w:rPr>
          <w:rFonts w:ascii="Arial" w:hAnsi="Arial" w:cs="Arial"/>
          <w:sz w:val="24"/>
          <w:szCs w:val="24"/>
        </w:rPr>
      </w:pPr>
      <w:r w:rsidRPr="004240FD">
        <w:rPr>
          <w:rFonts w:ascii="Arial" w:hAnsi="Arial" w:cs="Arial"/>
          <w:sz w:val="24"/>
          <w:szCs w:val="24"/>
        </w:rPr>
        <w:t>A nivel ecológico: particularmente en relación a las implicaciones de gene drive mediado por CRISPR-Cas. En este sentido es importante debido a las implicaciones que puede tener la introducción de organismos con modificaciones tipo “Gene drive” en el ambiente considerar una sección dedicada a este tema.</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En cuanto a preocupaciones relacionadas con bioseguridad en general diferentes grupos de investigación han comenzado a generar lineamientos para seguir tomando en cuenta los posibles efectos que puedan tener la liberación al ambiente </w:t>
      </w:r>
      <w:r w:rsidRPr="004240FD">
        <w:rPr>
          <w:rFonts w:ascii="Arial" w:hAnsi="Arial" w:cs="Arial"/>
          <w:sz w:val="24"/>
          <w:szCs w:val="24"/>
        </w:rPr>
        <w:lastRenderedPageBreak/>
        <w:t xml:space="preserve">de </w:t>
      </w:r>
      <w:r w:rsidRPr="004240FD">
        <w:rPr>
          <w:rFonts w:ascii="Arial" w:hAnsi="Arial" w:cs="Arial"/>
          <w:i/>
          <w:sz w:val="24"/>
          <w:szCs w:val="24"/>
        </w:rPr>
        <w:t>organismos modificados a través de CRISPR-Cas para gene drive</w:t>
      </w:r>
      <w:r w:rsidRPr="004240FD">
        <w:rPr>
          <w:rFonts w:ascii="Arial" w:hAnsi="Arial" w:cs="Arial"/>
          <w:sz w:val="24"/>
          <w:szCs w:val="24"/>
        </w:rPr>
        <w:t xml:space="preserve">,  </w:t>
      </w:r>
      <w:proofErr w:type="spellStart"/>
      <w:r w:rsidRPr="004240FD">
        <w:rPr>
          <w:rFonts w:ascii="Arial" w:hAnsi="Arial" w:cs="Arial"/>
          <w:sz w:val="24"/>
          <w:szCs w:val="24"/>
        </w:rPr>
        <w:t>DiCarlo</w:t>
      </w:r>
      <w:proofErr w:type="spellEnd"/>
      <w:r w:rsidRPr="004240FD">
        <w:rPr>
          <w:rFonts w:ascii="Arial" w:hAnsi="Arial" w:cs="Arial"/>
          <w:sz w:val="24"/>
          <w:szCs w:val="24"/>
        </w:rPr>
        <w:t xml:space="preserve"> </w:t>
      </w:r>
      <w:r w:rsidRPr="004240FD">
        <w:rPr>
          <w:rFonts w:ascii="Arial" w:hAnsi="Arial" w:cs="Arial"/>
          <w:i/>
          <w:sz w:val="24"/>
          <w:szCs w:val="24"/>
        </w:rPr>
        <w:t>et al.</w:t>
      </w:r>
      <w:r w:rsidRPr="004240FD">
        <w:rPr>
          <w:rFonts w:ascii="Arial" w:hAnsi="Arial" w:cs="Arial"/>
          <w:sz w:val="24"/>
          <w:szCs w:val="24"/>
        </w:rPr>
        <w:t xml:space="preserve"> (2015); así como estrategias de contención p.ej. </w:t>
      </w:r>
      <w:proofErr w:type="spellStart"/>
      <w:r w:rsidRPr="004240FD">
        <w:rPr>
          <w:rFonts w:ascii="Arial" w:hAnsi="Arial" w:cs="Arial"/>
          <w:sz w:val="24"/>
          <w:szCs w:val="24"/>
        </w:rPr>
        <w:t>Akbari</w:t>
      </w:r>
      <w:proofErr w:type="spellEnd"/>
      <w:r w:rsidRPr="004240FD">
        <w:rPr>
          <w:rFonts w:ascii="Arial" w:hAnsi="Arial" w:cs="Arial"/>
          <w:sz w:val="24"/>
          <w:szCs w:val="24"/>
        </w:rPr>
        <w:t xml:space="preserve"> </w:t>
      </w:r>
      <w:r w:rsidRPr="004240FD">
        <w:rPr>
          <w:rFonts w:ascii="Arial" w:hAnsi="Arial" w:cs="Arial"/>
          <w:i/>
          <w:sz w:val="24"/>
          <w:szCs w:val="24"/>
        </w:rPr>
        <w:t>et al.</w:t>
      </w:r>
      <w:r w:rsidRPr="004240FD">
        <w:rPr>
          <w:rFonts w:ascii="Arial" w:hAnsi="Arial" w:cs="Arial"/>
          <w:sz w:val="24"/>
          <w:szCs w:val="24"/>
        </w:rPr>
        <w:t>, 2015. Estos aspectos también han sido puestos sobre la mesa en los últimos reportes de la NFS (2016, 2017).</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i/>
          <w:sz w:val="24"/>
          <w:szCs w:val="24"/>
        </w:rPr>
      </w:pPr>
      <w:r w:rsidRPr="004240FD">
        <w:rPr>
          <w:rFonts w:ascii="Arial" w:hAnsi="Arial" w:cs="Arial"/>
          <w:sz w:val="24"/>
          <w:szCs w:val="24"/>
        </w:rPr>
        <w:t xml:space="preserve">Por otro lado es importante tener en cuenta que a nivel económico, por ejemplo, el Foro Económico Mundial de 2016 clasifica la “Ingeniería de sistemas metabólicos” como una de las 10 tecnologías emergentes, fuente de compuestos químicos sintetizados a partir de </w:t>
      </w:r>
      <w:proofErr w:type="gramStart"/>
      <w:r w:rsidRPr="004240FD">
        <w:rPr>
          <w:rFonts w:ascii="Arial" w:hAnsi="Arial" w:cs="Arial"/>
          <w:sz w:val="24"/>
          <w:szCs w:val="24"/>
        </w:rPr>
        <w:t>plantas  (</w:t>
      </w:r>
      <w:proofErr w:type="gramEnd"/>
      <w:hyperlink r:id="rId17" w:history="1">
        <w:r w:rsidRPr="004240FD">
          <w:rPr>
            <w:rStyle w:val="Hipervnculo"/>
            <w:rFonts w:ascii="Arial" w:hAnsi="Arial" w:cs="Arial"/>
            <w:sz w:val="24"/>
            <w:szCs w:val="24"/>
          </w:rPr>
          <w:t>https://www.weforum.org/agenda/2016/06/top-10-emerging-technologies-2016/</w:t>
        </w:r>
      </w:hyperlink>
      <w:r w:rsidRPr="004240FD">
        <w:rPr>
          <w:rFonts w:ascii="Arial" w:hAnsi="Arial" w:cs="Arial"/>
          <w:sz w:val="24"/>
          <w:szCs w:val="24"/>
        </w:rPr>
        <w:t xml:space="preserve">).  </w:t>
      </w:r>
      <w:r w:rsidRPr="004240FD">
        <w:rPr>
          <w:rFonts w:ascii="Arial" w:hAnsi="Arial" w:cs="Arial"/>
          <w:i/>
          <w:sz w:val="24"/>
          <w:szCs w:val="24"/>
        </w:rPr>
        <w:t>En este contexto se hace relevante tener en mente la decisión XIII/16 relativa a la información de secuencias digitales de recursos genéticos, siendo un tema que puede afectar los 3 objetivos del CBD.</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En México, </w:t>
      </w:r>
      <w:r w:rsidR="00867D19">
        <w:rPr>
          <w:rFonts w:ascii="Arial" w:hAnsi="Arial" w:cs="Arial"/>
          <w:sz w:val="24"/>
          <w:szCs w:val="24"/>
        </w:rPr>
        <w:t>existen proyectos de investigación relacionados con biología sintética:</w:t>
      </w:r>
    </w:p>
    <w:p w:rsidR="00672157" w:rsidRPr="004240FD" w:rsidRDefault="00672157" w:rsidP="00672157">
      <w:pPr>
        <w:spacing w:after="0"/>
        <w:jc w:val="both"/>
        <w:rPr>
          <w:rFonts w:ascii="Arial" w:hAnsi="Arial" w:cs="Arial"/>
          <w:sz w:val="24"/>
          <w:szCs w:val="24"/>
        </w:rPr>
      </w:pPr>
    </w:p>
    <w:p w:rsidR="00672157" w:rsidRDefault="00867D19" w:rsidP="00672157">
      <w:pPr>
        <w:pStyle w:val="Prrafodelista"/>
        <w:numPr>
          <w:ilvl w:val="0"/>
          <w:numId w:val="17"/>
        </w:numPr>
        <w:spacing w:after="0"/>
        <w:jc w:val="both"/>
        <w:rPr>
          <w:rFonts w:ascii="Arial" w:hAnsi="Arial" w:cs="Arial"/>
          <w:sz w:val="24"/>
          <w:szCs w:val="24"/>
        </w:rPr>
      </w:pPr>
      <w:r w:rsidRPr="00867D19">
        <w:rPr>
          <w:rFonts w:ascii="Arial" w:hAnsi="Arial" w:cs="Arial"/>
          <w:sz w:val="24"/>
          <w:szCs w:val="24"/>
        </w:rPr>
        <w:t>“</w:t>
      </w:r>
      <w:r w:rsidR="00672157" w:rsidRPr="00867D19">
        <w:rPr>
          <w:rFonts w:ascii="Arial" w:hAnsi="Arial" w:cs="Arial"/>
          <w:sz w:val="24"/>
          <w:szCs w:val="24"/>
        </w:rPr>
        <w:t>Diseño y desarrollo de vectores sintéticos inducibles no convencionales para la producción de vacunas de ADN</w:t>
      </w:r>
      <w:r w:rsidRPr="00867D19">
        <w:rPr>
          <w:rFonts w:ascii="Arial" w:hAnsi="Arial" w:cs="Arial"/>
          <w:sz w:val="24"/>
          <w:szCs w:val="24"/>
        </w:rPr>
        <w:t xml:space="preserve">”, </w:t>
      </w:r>
      <w:r>
        <w:rPr>
          <w:rFonts w:ascii="Arial" w:hAnsi="Arial" w:cs="Arial"/>
          <w:sz w:val="24"/>
          <w:szCs w:val="24"/>
        </w:rPr>
        <w:t>de la</w:t>
      </w:r>
      <w:r w:rsidR="00672157" w:rsidRPr="00867D19">
        <w:rPr>
          <w:rFonts w:ascii="Arial" w:hAnsi="Arial" w:cs="Arial"/>
          <w:sz w:val="24"/>
          <w:szCs w:val="24"/>
        </w:rPr>
        <w:t xml:space="preserve"> Universidad Autónoma Metropolitana</w:t>
      </w:r>
      <w:r>
        <w:rPr>
          <w:rFonts w:ascii="Arial" w:hAnsi="Arial" w:cs="Arial"/>
          <w:sz w:val="24"/>
          <w:szCs w:val="24"/>
        </w:rPr>
        <w:t>;</w:t>
      </w:r>
    </w:p>
    <w:p w:rsidR="00672157" w:rsidRPr="00867D19" w:rsidRDefault="00867D19" w:rsidP="00672157">
      <w:pPr>
        <w:pStyle w:val="Prrafodelista"/>
        <w:numPr>
          <w:ilvl w:val="0"/>
          <w:numId w:val="17"/>
        </w:numPr>
        <w:spacing w:after="0"/>
        <w:jc w:val="both"/>
        <w:rPr>
          <w:rFonts w:ascii="Arial" w:hAnsi="Arial" w:cs="Arial"/>
          <w:sz w:val="24"/>
          <w:szCs w:val="24"/>
        </w:rPr>
      </w:pPr>
      <w:r>
        <w:rPr>
          <w:rFonts w:ascii="Arial" w:hAnsi="Arial" w:cs="Arial"/>
          <w:sz w:val="24"/>
          <w:szCs w:val="24"/>
        </w:rPr>
        <w:t>“</w:t>
      </w:r>
      <w:r w:rsidR="00672157" w:rsidRPr="00867D19">
        <w:rPr>
          <w:rFonts w:ascii="Arial" w:hAnsi="Arial" w:cs="Arial"/>
          <w:sz w:val="24"/>
          <w:szCs w:val="24"/>
        </w:rPr>
        <w:t xml:space="preserve">Desarrollo, evaluación de campo y análisis de factibilidad comercial de dos cultivos del Sureste mexicano con denominación de origen, editados genómicamente para conferirles resistencia contra patógenos fúngicos </w:t>
      </w:r>
      <w:proofErr w:type="spellStart"/>
      <w:r w:rsidR="00672157" w:rsidRPr="00867D19">
        <w:rPr>
          <w:rFonts w:ascii="Arial" w:hAnsi="Arial" w:cs="Arial"/>
          <w:sz w:val="24"/>
          <w:szCs w:val="24"/>
        </w:rPr>
        <w:t>oomicetos</w:t>
      </w:r>
      <w:proofErr w:type="spellEnd"/>
      <w:r>
        <w:rPr>
          <w:rFonts w:ascii="Arial" w:hAnsi="Arial" w:cs="Arial"/>
          <w:sz w:val="24"/>
          <w:szCs w:val="24"/>
        </w:rPr>
        <w:t xml:space="preserve">”, del </w:t>
      </w:r>
      <w:r w:rsidR="00672157" w:rsidRPr="00867D19">
        <w:rPr>
          <w:rFonts w:ascii="Arial" w:hAnsi="Arial" w:cs="Arial"/>
          <w:sz w:val="24"/>
          <w:szCs w:val="24"/>
        </w:rPr>
        <w:t xml:space="preserve">Centro de Investigación Científica de Yucatán, A.C. </w:t>
      </w:r>
    </w:p>
    <w:p w:rsidR="00672157" w:rsidRPr="004240FD" w:rsidRDefault="00672157" w:rsidP="00672157">
      <w:pPr>
        <w:spacing w:after="0"/>
        <w:jc w:val="both"/>
        <w:rPr>
          <w:rFonts w:ascii="Arial" w:hAnsi="Arial" w:cs="Arial"/>
          <w:sz w:val="24"/>
          <w:szCs w:val="24"/>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En cuanto a patentes en la actualidad se han registrado 22 relacionadas con el uso de CRISPR/Cas en México, para investigación básica (microorganismos) y aplicada (salud humana, plantas). Estas pueden ser consultadas en la página del Instituto Mexicano de la Propiedad Intelectual (IMPI) </w:t>
      </w:r>
      <w:hyperlink r:id="rId18" w:history="1">
        <w:r w:rsidRPr="004240FD">
          <w:rPr>
            <w:rStyle w:val="Hipervnculo"/>
            <w:rFonts w:ascii="Arial" w:hAnsi="Arial" w:cs="Arial"/>
            <w:sz w:val="24"/>
            <w:szCs w:val="24"/>
          </w:rPr>
          <w:t>http://siga.impi.gob.mx/newSIGA/content/common/busquedaEspecializada.jsf</w:t>
        </w:r>
      </w:hyperlink>
      <w:r w:rsidRPr="004240FD">
        <w:rPr>
          <w:rFonts w:ascii="Arial" w:hAnsi="Arial" w:cs="Arial"/>
          <w:sz w:val="24"/>
          <w:szCs w:val="24"/>
        </w:rPr>
        <w:t xml:space="preserve">. </w:t>
      </w:r>
    </w:p>
    <w:p w:rsidR="00672157" w:rsidRPr="004240FD" w:rsidRDefault="00672157" w:rsidP="00584264">
      <w:pPr>
        <w:spacing w:after="0"/>
        <w:jc w:val="both"/>
        <w:rPr>
          <w:rFonts w:ascii="Arial" w:hAnsi="Arial" w:cs="Arial"/>
          <w:sz w:val="24"/>
          <w:szCs w:val="24"/>
        </w:rPr>
      </w:pPr>
    </w:p>
    <w:p w:rsidR="00A33ED3" w:rsidRPr="004240FD" w:rsidRDefault="00A33ED3" w:rsidP="00F74FA0">
      <w:pPr>
        <w:spacing w:after="0"/>
        <w:jc w:val="both"/>
        <w:rPr>
          <w:rFonts w:ascii="Arial" w:hAnsi="Arial" w:cs="Arial"/>
          <w:b/>
          <w:sz w:val="24"/>
          <w:szCs w:val="24"/>
          <w:lang w:val="es-ES"/>
        </w:rPr>
      </w:pPr>
      <w:r w:rsidRPr="004240FD">
        <w:rPr>
          <w:rFonts w:ascii="Arial" w:hAnsi="Arial" w:cs="Arial"/>
          <w:b/>
          <w:sz w:val="24"/>
          <w:szCs w:val="24"/>
          <w:lang w:val="es-ES"/>
        </w:rPr>
        <w:t>d)</w:t>
      </w:r>
      <w:r w:rsidRPr="004240FD">
        <w:rPr>
          <w:rFonts w:ascii="Arial" w:hAnsi="Arial" w:cs="Arial"/>
          <w:b/>
          <w:sz w:val="24"/>
          <w:szCs w:val="24"/>
          <w:lang w:val="es-ES"/>
        </w:rPr>
        <w:tab/>
        <w:t>Ejemplos de gestión del riesgo y otras medidas que se hayan instrumentado para evitar o reducir al mínimo los posibles efectos adversos de los organismos, componentes y productos de la biología sintética, incluidas experiencias de uso seguro y mejores prácticas para la manipulación segura de organismos obtenidos mediante biología sintética;</w:t>
      </w:r>
    </w:p>
    <w:p w:rsidR="00F74FA0" w:rsidRDefault="00F74FA0" w:rsidP="00F74FA0">
      <w:pPr>
        <w:spacing w:after="0" w:line="240" w:lineRule="auto"/>
        <w:jc w:val="both"/>
        <w:rPr>
          <w:rFonts w:ascii="Arial" w:hAnsi="Arial" w:cs="Arial"/>
          <w:sz w:val="24"/>
          <w:szCs w:val="24"/>
          <w:lang w:val="es-ES"/>
        </w:rPr>
      </w:pPr>
    </w:p>
    <w:p w:rsidR="00720856" w:rsidRPr="004240FD" w:rsidRDefault="0034072A" w:rsidP="00720856">
      <w:pPr>
        <w:spacing w:after="0"/>
        <w:jc w:val="both"/>
        <w:rPr>
          <w:rFonts w:ascii="Arial" w:hAnsi="Arial" w:cs="Arial"/>
          <w:sz w:val="24"/>
          <w:szCs w:val="24"/>
          <w:lang w:val="es-ES"/>
        </w:rPr>
      </w:pPr>
      <w:r w:rsidRPr="004240FD">
        <w:rPr>
          <w:rFonts w:ascii="Arial" w:hAnsi="Arial" w:cs="Arial"/>
          <w:sz w:val="24"/>
          <w:szCs w:val="24"/>
          <w:lang w:val="es-ES"/>
        </w:rPr>
        <w:t>La NAS</w:t>
      </w:r>
      <w:r w:rsidR="00F74FA0">
        <w:rPr>
          <w:rFonts w:ascii="Arial" w:hAnsi="Arial" w:cs="Arial"/>
          <w:sz w:val="24"/>
          <w:szCs w:val="24"/>
          <w:lang w:val="es-ES"/>
        </w:rPr>
        <w:t>,</w:t>
      </w:r>
      <w:r w:rsidRPr="004240FD">
        <w:rPr>
          <w:rFonts w:ascii="Arial" w:hAnsi="Arial" w:cs="Arial"/>
          <w:sz w:val="24"/>
          <w:szCs w:val="24"/>
          <w:lang w:val="es-ES"/>
        </w:rPr>
        <w:t xml:space="preserve"> </w:t>
      </w:r>
      <w:r w:rsidR="008F5A39" w:rsidRPr="004240FD">
        <w:rPr>
          <w:rFonts w:ascii="Arial" w:hAnsi="Arial" w:cs="Arial"/>
          <w:sz w:val="24"/>
          <w:szCs w:val="24"/>
          <w:lang w:val="es-ES"/>
        </w:rPr>
        <w:t>2016, e</w:t>
      </w:r>
      <w:r w:rsidR="008F5A39" w:rsidRPr="004240FD">
        <w:rPr>
          <w:rFonts w:ascii="Arial" w:hAnsi="Arial" w:cs="Arial"/>
          <w:sz w:val="24"/>
          <w:szCs w:val="24"/>
        </w:rPr>
        <w:t>n el Capítulo 5</w:t>
      </w:r>
      <w:r w:rsidR="00720856" w:rsidRPr="004240FD">
        <w:rPr>
          <w:rFonts w:ascii="Arial" w:hAnsi="Arial" w:cs="Arial"/>
          <w:sz w:val="24"/>
          <w:szCs w:val="24"/>
        </w:rPr>
        <w:t xml:space="preserve"> </w:t>
      </w:r>
      <w:r w:rsidR="008F5A39" w:rsidRPr="004240FD">
        <w:rPr>
          <w:rFonts w:ascii="Arial" w:hAnsi="Arial" w:cs="Arial"/>
          <w:sz w:val="24"/>
          <w:szCs w:val="24"/>
        </w:rPr>
        <w:t xml:space="preserve">del </w:t>
      </w:r>
      <w:r w:rsidR="00720856" w:rsidRPr="004240FD">
        <w:rPr>
          <w:rFonts w:ascii="Arial" w:hAnsi="Arial" w:cs="Arial"/>
          <w:sz w:val="24"/>
          <w:szCs w:val="24"/>
        </w:rPr>
        <w:t xml:space="preserve">denominado </w:t>
      </w:r>
      <w:r w:rsidR="00720856" w:rsidRPr="004240FD">
        <w:rPr>
          <w:rFonts w:ascii="Arial" w:hAnsi="Arial" w:cs="Arial"/>
          <w:i/>
          <w:sz w:val="24"/>
          <w:szCs w:val="24"/>
        </w:rPr>
        <w:t>“</w:t>
      </w:r>
      <w:proofErr w:type="spellStart"/>
      <w:r w:rsidR="00720856" w:rsidRPr="004240FD">
        <w:rPr>
          <w:rFonts w:ascii="Arial" w:hAnsi="Arial" w:cs="Arial"/>
          <w:i/>
          <w:sz w:val="24"/>
          <w:szCs w:val="24"/>
        </w:rPr>
        <w:t>Phased</w:t>
      </w:r>
      <w:proofErr w:type="spellEnd"/>
      <w:r w:rsidR="00720856" w:rsidRPr="004240FD">
        <w:rPr>
          <w:rFonts w:ascii="Arial" w:hAnsi="Arial" w:cs="Arial"/>
          <w:i/>
          <w:sz w:val="24"/>
          <w:szCs w:val="24"/>
        </w:rPr>
        <w:t xml:space="preserve"> </w:t>
      </w:r>
      <w:proofErr w:type="spellStart"/>
      <w:r w:rsidR="00720856" w:rsidRPr="004240FD">
        <w:rPr>
          <w:rFonts w:ascii="Arial" w:hAnsi="Arial" w:cs="Arial"/>
          <w:i/>
          <w:sz w:val="24"/>
          <w:szCs w:val="24"/>
        </w:rPr>
        <w:t>Testing</w:t>
      </w:r>
      <w:proofErr w:type="spellEnd"/>
      <w:r w:rsidR="00720856" w:rsidRPr="004240FD">
        <w:rPr>
          <w:rFonts w:ascii="Arial" w:hAnsi="Arial" w:cs="Arial"/>
          <w:i/>
          <w:sz w:val="24"/>
          <w:szCs w:val="24"/>
        </w:rPr>
        <w:t xml:space="preserve"> and </w:t>
      </w:r>
      <w:proofErr w:type="spellStart"/>
      <w:r w:rsidR="00720856" w:rsidRPr="004240FD">
        <w:rPr>
          <w:rFonts w:ascii="Arial" w:hAnsi="Arial" w:cs="Arial"/>
          <w:i/>
          <w:sz w:val="24"/>
          <w:szCs w:val="24"/>
        </w:rPr>
        <w:t>Scientific</w:t>
      </w:r>
      <w:proofErr w:type="spellEnd"/>
      <w:r w:rsidR="00720856" w:rsidRPr="004240FD">
        <w:rPr>
          <w:rFonts w:ascii="Arial" w:hAnsi="Arial" w:cs="Arial"/>
          <w:i/>
          <w:sz w:val="24"/>
          <w:szCs w:val="24"/>
        </w:rPr>
        <w:t xml:space="preserve"> </w:t>
      </w:r>
      <w:proofErr w:type="spellStart"/>
      <w:r w:rsidR="00720856" w:rsidRPr="004240FD">
        <w:rPr>
          <w:rFonts w:ascii="Arial" w:hAnsi="Arial" w:cs="Arial"/>
          <w:i/>
          <w:sz w:val="24"/>
          <w:szCs w:val="24"/>
        </w:rPr>
        <w:t>Approaches</w:t>
      </w:r>
      <w:proofErr w:type="spellEnd"/>
      <w:r w:rsidR="00720856" w:rsidRPr="004240FD">
        <w:rPr>
          <w:rFonts w:ascii="Arial" w:hAnsi="Arial" w:cs="Arial"/>
          <w:i/>
          <w:sz w:val="24"/>
          <w:szCs w:val="24"/>
        </w:rPr>
        <w:t xml:space="preserve"> to</w:t>
      </w:r>
      <w:r w:rsidR="008F5A39" w:rsidRPr="004240FD">
        <w:rPr>
          <w:rFonts w:ascii="Arial" w:hAnsi="Arial" w:cs="Arial"/>
          <w:i/>
          <w:sz w:val="24"/>
          <w:szCs w:val="24"/>
        </w:rPr>
        <w:t xml:space="preserve"> </w:t>
      </w:r>
      <w:proofErr w:type="spellStart"/>
      <w:r w:rsidR="00720856" w:rsidRPr="004240FD">
        <w:rPr>
          <w:rFonts w:ascii="Arial" w:hAnsi="Arial" w:cs="Arial"/>
          <w:i/>
          <w:sz w:val="24"/>
          <w:szCs w:val="24"/>
          <w:lang w:val="es-ES"/>
        </w:rPr>
        <w:t>Reducing</w:t>
      </w:r>
      <w:proofErr w:type="spellEnd"/>
      <w:r w:rsidR="00720856" w:rsidRPr="004240FD">
        <w:rPr>
          <w:rFonts w:ascii="Arial" w:hAnsi="Arial" w:cs="Arial"/>
          <w:i/>
          <w:sz w:val="24"/>
          <w:szCs w:val="24"/>
          <w:lang w:val="es-ES"/>
        </w:rPr>
        <w:t xml:space="preserve"> </w:t>
      </w:r>
      <w:proofErr w:type="spellStart"/>
      <w:r w:rsidR="00720856" w:rsidRPr="004240FD">
        <w:rPr>
          <w:rFonts w:ascii="Arial" w:hAnsi="Arial" w:cs="Arial"/>
          <w:i/>
          <w:sz w:val="24"/>
          <w:szCs w:val="24"/>
          <w:lang w:val="es-ES"/>
        </w:rPr>
        <w:t>Potential</w:t>
      </w:r>
      <w:proofErr w:type="spellEnd"/>
      <w:r w:rsidR="00720856" w:rsidRPr="004240FD">
        <w:rPr>
          <w:rFonts w:ascii="Arial" w:hAnsi="Arial" w:cs="Arial"/>
          <w:i/>
          <w:sz w:val="24"/>
          <w:szCs w:val="24"/>
          <w:lang w:val="es-ES"/>
        </w:rPr>
        <w:t xml:space="preserve"> </w:t>
      </w:r>
      <w:proofErr w:type="spellStart"/>
      <w:r w:rsidR="00720856" w:rsidRPr="004240FD">
        <w:rPr>
          <w:rFonts w:ascii="Arial" w:hAnsi="Arial" w:cs="Arial"/>
          <w:i/>
          <w:sz w:val="24"/>
          <w:szCs w:val="24"/>
          <w:lang w:val="es-ES"/>
        </w:rPr>
        <w:t>Harms</w:t>
      </w:r>
      <w:proofErr w:type="spellEnd"/>
      <w:r w:rsidR="00720856" w:rsidRPr="004240FD">
        <w:rPr>
          <w:rFonts w:ascii="Arial" w:hAnsi="Arial" w:cs="Arial"/>
          <w:i/>
          <w:sz w:val="24"/>
          <w:szCs w:val="24"/>
          <w:lang w:val="es-ES"/>
        </w:rPr>
        <w:t xml:space="preserve"> of Gene Drives”</w:t>
      </w:r>
      <w:r w:rsidR="00720856" w:rsidRPr="004240FD">
        <w:rPr>
          <w:rFonts w:ascii="Arial" w:hAnsi="Arial" w:cs="Arial"/>
          <w:sz w:val="24"/>
          <w:szCs w:val="24"/>
          <w:lang w:val="es-ES"/>
        </w:rPr>
        <w:t xml:space="preserve"> incluye recomendaciones </w:t>
      </w:r>
      <w:r w:rsidR="00F74FA0">
        <w:rPr>
          <w:rFonts w:ascii="Arial" w:hAnsi="Arial" w:cs="Arial"/>
          <w:sz w:val="24"/>
          <w:szCs w:val="24"/>
          <w:lang w:val="es-ES"/>
        </w:rPr>
        <w:t xml:space="preserve">específicas </w:t>
      </w:r>
      <w:r w:rsidR="00720856" w:rsidRPr="004240FD">
        <w:rPr>
          <w:rFonts w:ascii="Arial" w:hAnsi="Arial" w:cs="Arial"/>
          <w:sz w:val="24"/>
          <w:szCs w:val="24"/>
          <w:lang w:val="es-ES"/>
        </w:rPr>
        <w:t>para mejorar la gestión de los riesgos de los proyectos llevados a cabo con “gene drives”, desde su desarrollo en laboratorio en confinamiento, hasta su liberación al medio ambiente.</w:t>
      </w:r>
    </w:p>
    <w:p w:rsidR="0034072A" w:rsidRPr="00047423" w:rsidRDefault="0034072A" w:rsidP="00F74FA0">
      <w:pPr>
        <w:autoSpaceDE w:val="0"/>
        <w:autoSpaceDN w:val="0"/>
        <w:adjustRightInd w:val="0"/>
        <w:spacing w:after="0" w:line="240" w:lineRule="auto"/>
        <w:rPr>
          <w:rFonts w:ascii="Arial" w:hAnsi="Arial" w:cs="Arial"/>
          <w:i/>
          <w:sz w:val="24"/>
          <w:szCs w:val="24"/>
        </w:rPr>
      </w:pPr>
    </w:p>
    <w:p w:rsidR="0034072A" w:rsidRPr="004240FD" w:rsidRDefault="0034072A" w:rsidP="0034072A">
      <w:pPr>
        <w:spacing w:after="0"/>
        <w:jc w:val="both"/>
        <w:rPr>
          <w:rFonts w:ascii="Arial" w:hAnsi="Arial" w:cs="Arial"/>
          <w:sz w:val="24"/>
          <w:szCs w:val="24"/>
        </w:rPr>
      </w:pPr>
      <w:r w:rsidRPr="004240FD">
        <w:rPr>
          <w:rFonts w:ascii="Arial" w:hAnsi="Arial" w:cs="Arial"/>
          <w:sz w:val="24"/>
          <w:szCs w:val="24"/>
        </w:rPr>
        <w:lastRenderedPageBreak/>
        <w:t>Para el caso de México se puede mencionar que en todos los permisos para la liberación al ambiente de Organismos Genéticamente Modificados se aplican medidas de bioseguridad que mitigan posibles riesgos derivados de la l</w:t>
      </w:r>
      <w:r w:rsidR="00F74FA0">
        <w:rPr>
          <w:rFonts w:ascii="Arial" w:hAnsi="Arial" w:cs="Arial"/>
          <w:sz w:val="24"/>
          <w:szCs w:val="24"/>
        </w:rPr>
        <w:t>iberación. Para el caso del</w:t>
      </w:r>
      <w:r w:rsidRPr="004240FD">
        <w:rPr>
          <w:rFonts w:ascii="Arial" w:hAnsi="Arial" w:cs="Arial"/>
          <w:sz w:val="24"/>
          <w:szCs w:val="24"/>
        </w:rPr>
        <w:t xml:space="preserve"> maíz, se estableció el Acuerdo por el que se determinan los Centros de Origen y Centros de Diversidad Genética del Maíz publicado en el Diario Oficial de Federación </w:t>
      </w:r>
      <w:r w:rsidR="00F74FA0">
        <w:rPr>
          <w:rFonts w:ascii="Arial" w:hAnsi="Arial" w:cs="Arial"/>
          <w:sz w:val="24"/>
          <w:szCs w:val="24"/>
        </w:rPr>
        <w:t>(</w:t>
      </w:r>
      <w:r w:rsidRPr="004240FD">
        <w:rPr>
          <w:rFonts w:ascii="Arial" w:hAnsi="Arial" w:cs="Arial"/>
          <w:sz w:val="24"/>
          <w:szCs w:val="24"/>
        </w:rPr>
        <w:t>02-11-12</w:t>
      </w:r>
      <w:r w:rsidR="00F74FA0">
        <w:rPr>
          <w:rFonts w:ascii="Arial" w:hAnsi="Arial" w:cs="Arial"/>
          <w:sz w:val="24"/>
          <w:szCs w:val="24"/>
        </w:rPr>
        <w:t>),</w:t>
      </w:r>
      <w:r w:rsidRPr="004240FD">
        <w:rPr>
          <w:rFonts w:ascii="Arial" w:hAnsi="Arial" w:cs="Arial"/>
          <w:sz w:val="24"/>
          <w:szCs w:val="24"/>
        </w:rPr>
        <w:t xml:space="preserve"> </w:t>
      </w:r>
      <w:r w:rsidR="00F74FA0">
        <w:rPr>
          <w:rFonts w:ascii="Arial" w:hAnsi="Arial" w:cs="Arial"/>
          <w:sz w:val="24"/>
          <w:szCs w:val="24"/>
        </w:rPr>
        <w:t>e</w:t>
      </w:r>
      <w:r w:rsidRPr="004240FD">
        <w:rPr>
          <w:rFonts w:ascii="Arial" w:hAnsi="Arial" w:cs="Arial"/>
          <w:sz w:val="24"/>
          <w:szCs w:val="24"/>
        </w:rPr>
        <w:t>n el cual se determinan las medidas para la protección de las especies de los parientes silvestres, las razas y variedades del maíz.</w:t>
      </w:r>
    </w:p>
    <w:p w:rsidR="00720856" w:rsidRPr="004240FD" w:rsidRDefault="00F74FA0" w:rsidP="0034072A">
      <w:pPr>
        <w:spacing w:after="0"/>
        <w:jc w:val="both"/>
        <w:rPr>
          <w:rFonts w:ascii="Arial" w:hAnsi="Arial" w:cs="Arial"/>
          <w:sz w:val="24"/>
          <w:szCs w:val="24"/>
        </w:rPr>
      </w:pPr>
      <w:r>
        <w:rPr>
          <w:rFonts w:ascii="Arial" w:hAnsi="Arial" w:cs="Arial"/>
          <w:sz w:val="24"/>
          <w:szCs w:val="24"/>
        </w:rPr>
        <w:t>También, se</w:t>
      </w:r>
      <w:r w:rsidR="0034072A" w:rsidRPr="004240FD">
        <w:rPr>
          <w:rFonts w:ascii="Arial" w:hAnsi="Arial" w:cs="Arial"/>
          <w:sz w:val="24"/>
          <w:szCs w:val="24"/>
        </w:rPr>
        <w:t xml:space="preserve"> implementó una estrategia de conservación y aprovechamiento sostenible de 44 cultivos con centros de origen, domesticación y diversidad en México, </w:t>
      </w:r>
      <w:r>
        <w:rPr>
          <w:rFonts w:ascii="Arial" w:hAnsi="Arial" w:cs="Arial"/>
          <w:sz w:val="24"/>
          <w:szCs w:val="24"/>
        </w:rPr>
        <w:t>incluyendo a</w:t>
      </w:r>
      <w:r w:rsidR="0034072A" w:rsidRPr="004240FD">
        <w:rPr>
          <w:rFonts w:ascii="Arial" w:hAnsi="Arial" w:cs="Arial"/>
          <w:sz w:val="24"/>
          <w:szCs w:val="24"/>
        </w:rPr>
        <w:t>l maíz.</w:t>
      </w:r>
      <w:r w:rsidR="00047423">
        <w:rPr>
          <w:rFonts w:ascii="Arial" w:hAnsi="Arial" w:cs="Arial"/>
          <w:sz w:val="24"/>
          <w:szCs w:val="24"/>
        </w:rPr>
        <w:t xml:space="preserve"> Esto como un equivalente de la aplicación a los productos de biología sintética en su liberación al ambiente, bajo el contexto legal nacional de los OGM.</w:t>
      </w:r>
      <w:bookmarkStart w:id="0" w:name="_GoBack"/>
      <w:bookmarkEnd w:id="0"/>
    </w:p>
    <w:p w:rsidR="00672157" w:rsidRPr="004240FD" w:rsidRDefault="00672157" w:rsidP="0034072A">
      <w:pPr>
        <w:spacing w:after="0"/>
        <w:jc w:val="both"/>
        <w:rPr>
          <w:rFonts w:ascii="Arial" w:hAnsi="Arial" w:cs="Arial"/>
          <w:sz w:val="24"/>
          <w:szCs w:val="24"/>
        </w:rPr>
      </w:pPr>
    </w:p>
    <w:p w:rsidR="00A33ED3" w:rsidRPr="004240FD" w:rsidRDefault="00A33ED3" w:rsidP="00034DBC">
      <w:pPr>
        <w:pStyle w:val="Prrafodelista"/>
        <w:numPr>
          <w:ilvl w:val="0"/>
          <w:numId w:val="13"/>
        </w:numPr>
        <w:spacing w:after="0"/>
        <w:jc w:val="both"/>
        <w:rPr>
          <w:rFonts w:ascii="Arial" w:hAnsi="Arial" w:cs="Arial"/>
          <w:b/>
          <w:sz w:val="24"/>
          <w:szCs w:val="24"/>
          <w:lang w:val="es-ES"/>
        </w:rPr>
      </w:pPr>
      <w:r w:rsidRPr="004240FD">
        <w:rPr>
          <w:rFonts w:ascii="Arial" w:hAnsi="Arial" w:cs="Arial"/>
          <w:b/>
          <w:sz w:val="24"/>
          <w:szCs w:val="24"/>
          <w:lang w:val="es-ES"/>
        </w:rPr>
        <w:t>Normas, políticas y orientaciones vigentes o que se estén formulando que atañan directamente a la biología sintética;</w:t>
      </w:r>
    </w:p>
    <w:p w:rsidR="008F5A39" w:rsidRPr="004240FD" w:rsidRDefault="008F5A39" w:rsidP="008F5A39">
      <w:pPr>
        <w:pStyle w:val="Prrafodelista"/>
        <w:spacing w:after="0"/>
        <w:ind w:left="705"/>
        <w:jc w:val="both"/>
        <w:rPr>
          <w:rFonts w:ascii="Arial" w:hAnsi="Arial" w:cs="Arial"/>
          <w:b/>
          <w:sz w:val="24"/>
          <w:szCs w:val="24"/>
          <w:lang w:val="es-ES"/>
        </w:rPr>
      </w:pPr>
    </w:p>
    <w:p w:rsidR="004A4956" w:rsidRPr="004240FD" w:rsidRDefault="00672157" w:rsidP="004A4956">
      <w:pPr>
        <w:spacing w:after="0"/>
        <w:jc w:val="both"/>
        <w:rPr>
          <w:rFonts w:ascii="Arial" w:hAnsi="Arial" w:cs="Arial"/>
          <w:sz w:val="24"/>
          <w:szCs w:val="24"/>
          <w:lang w:val="es-ES"/>
        </w:rPr>
      </w:pPr>
      <w:r w:rsidRPr="004240FD">
        <w:rPr>
          <w:rFonts w:ascii="Arial" w:hAnsi="Arial" w:cs="Arial"/>
          <w:sz w:val="24"/>
          <w:szCs w:val="24"/>
          <w:lang w:val="es-ES"/>
        </w:rPr>
        <w:t>N</w:t>
      </w:r>
      <w:r w:rsidR="00877BB1" w:rsidRPr="004240FD">
        <w:rPr>
          <w:rFonts w:ascii="Arial" w:hAnsi="Arial" w:cs="Arial"/>
          <w:sz w:val="24"/>
          <w:szCs w:val="24"/>
          <w:lang w:val="es-ES"/>
        </w:rPr>
        <w:t>o se cuenta actualmente con ningún documento jurídico normativo que regule específicamente a la biología sintética. Sin embargo</w:t>
      </w:r>
      <w:r w:rsidR="00A0709B">
        <w:rPr>
          <w:rFonts w:ascii="Arial" w:hAnsi="Arial" w:cs="Arial"/>
          <w:sz w:val="24"/>
          <w:szCs w:val="24"/>
          <w:lang w:val="es-ES"/>
        </w:rPr>
        <w:t>,</w:t>
      </w:r>
      <w:r w:rsidR="00877BB1" w:rsidRPr="004240FD">
        <w:rPr>
          <w:rFonts w:ascii="Arial" w:hAnsi="Arial" w:cs="Arial"/>
          <w:sz w:val="24"/>
          <w:szCs w:val="24"/>
          <w:lang w:val="es-ES"/>
        </w:rPr>
        <w:t xml:space="preserve"> se refiere que a</w:t>
      </w:r>
      <w:r w:rsidR="00107214" w:rsidRPr="004240FD">
        <w:rPr>
          <w:rFonts w:ascii="Arial" w:hAnsi="Arial" w:cs="Arial"/>
          <w:sz w:val="24"/>
          <w:szCs w:val="24"/>
          <w:lang w:val="es-ES"/>
        </w:rPr>
        <w:t>dicionalmente a las ya desglosadas en los rubros anteriores, l</w:t>
      </w:r>
      <w:r w:rsidR="004A4956" w:rsidRPr="004240FD">
        <w:rPr>
          <w:rFonts w:ascii="Arial" w:hAnsi="Arial" w:cs="Arial"/>
          <w:sz w:val="24"/>
          <w:szCs w:val="24"/>
          <w:lang w:val="es-ES"/>
        </w:rPr>
        <w:t>as siguientes recomendaciones emanan del documento producido por la Academia Nacional de Ciencias de los Estados Unidos de Norteamérica (NAS, 2016):</w:t>
      </w:r>
    </w:p>
    <w:p w:rsidR="004A4956" w:rsidRPr="004240FD" w:rsidRDefault="004A4956" w:rsidP="004A4956">
      <w:pPr>
        <w:spacing w:after="0"/>
        <w:jc w:val="both"/>
        <w:rPr>
          <w:rFonts w:ascii="Arial" w:hAnsi="Arial" w:cs="Arial"/>
          <w:b/>
          <w:sz w:val="24"/>
          <w:szCs w:val="24"/>
        </w:rPr>
      </w:pPr>
      <w:r w:rsidRPr="004240FD">
        <w:rPr>
          <w:rFonts w:ascii="Arial" w:hAnsi="Arial" w:cs="Arial"/>
          <w:b/>
          <w:sz w:val="24"/>
          <w:szCs w:val="24"/>
        </w:rPr>
        <w:t xml:space="preserve"> </w:t>
      </w:r>
    </w:p>
    <w:p w:rsidR="004A4956" w:rsidRPr="004240FD" w:rsidRDefault="004A4956" w:rsidP="004A4956">
      <w:pPr>
        <w:spacing w:after="0"/>
        <w:jc w:val="both"/>
        <w:rPr>
          <w:rFonts w:ascii="Arial" w:hAnsi="Arial" w:cs="Arial"/>
          <w:b/>
          <w:bCs/>
          <w:i/>
          <w:sz w:val="24"/>
          <w:szCs w:val="24"/>
          <w:lang w:val="en-US"/>
        </w:rPr>
      </w:pPr>
      <w:r w:rsidRPr="004240FD">
        <w:rPr>
          <w:rFonts w:ascii="Arial" w:hAnsi="Arial" w:cs="Arial"/>
          <w:b/>
          <w:bCs/>
          <w:i/>
          <w:sz w:val="24"/>
          <w:szCs w:val="24"/>
          <w:lang w:val="en-US"/>
        </w:rPr>
        <w:t>“…There is insufficient evidence available at this time to support the release of gene</w:t>
      </w:r>
      <w:r w:rsidR="005A5564" w:rsidRPr="004240FD">
        <w:rPr>
          <w:rFonts w:ascii="Arial" w:hAnsi="Arial" w:cs="Arial"/>
          <w:b/>
          <w:bCs/>
          <w:i/>
          <w:sz w:val="24"/>
          <w:szCs w:val="24"/>
          <w:lang w:val="en-US"/>
        </w:rPr>
        <w:t xml:space="preserve"> </w:t>
      </w:r>
      <w:r w:rsidRPr="004240FD">
        <w:rPr>
          <w:rFonts w:ascii="Arial" w:hAnsi="Arial" w:cs="Arial"/>
          <w:b/>
          <w:bCs/>
          <w:i/>
          <w:sz w:val="24"/>
          <w:szCs w:val="24"/>
          <w:lang w:val="en-US"/>
        </w:rPr>
        <w:t>drive modified organisms into the environment. However, the potential benefits of gene drives for basic and applied research are significant and justify proceeding with laboratory research and highly controlled field trials.</w:t>
      </w:r>
      <w:r w:rsidR="00A0709B">
        <w:rPr>
          <w:rFonts w:ascii="Arial" w:hAnsi="Arial" w:cs="Arial"/>
          <w:b/>
          <w:bCs/>
          <w:i/>
          <w:sz w:val="24"/>
          <w:szCs w:val="24"/>
          <w:lang w:val="en-US"/>
        </w:rPr>
        <w:t>”</w:t>
      </w:r>
    </w:p>
    <w:p w:rsidR="00A0709B" w:rsidRDefault="00A0709B" w:rsidP="004A4956">
      <w:pPr>
        <w:spacing w:after="0"/>
        <w:jc w:val="both"/>
        <w:rPr>
          <w:rFonts w:ascii="Arial" w:hAnsi="Arial" w:cs="Arial"/>
          <w:bCs/>
          <w:i/>
          <w:sz w:val="24"/>
          <w:szCs w:val="24"/>
          <w:lang w:val="en-US"/>
        </w:rPr>
      </w:pPr>
    </w:p>
    <w:p w:rsidR="00A0709B" w:rsidRDefault="00A0709B" w:rsidP="004A4956">
      <w:pPr>
        <w:spacing w:after="0"/>
        <w:jc w:val="both"/>
        <w:rPr>
          <w:rFonts w:ascii="Arial" w:hAnsi="Arial" w:cs="Arial"/>
          <w:bCs/>
          <w:i/>
          <w:sz w:val="24"/>
          <w:szCs w:val="24"/>
          <w:lang w:val="en-US"/>
        </w:rPr>
      </w:pPr>
    </w:p>
    <w:p w:rsidR="004A4956" w:rsidRPr="004240FD" w:rsidRDefault="004A4956" w:rsidP="004A4956">
      <w:pPr>
        <w:spacing w:after="0"/>
        <w:jc w:val="both"/>
        <w:rPr>
          <w:rFonts w:ascii="Arial" w:hAnsi="Arial" w:cs="Arial"/>
          <w:bCs/>
          <w:i/>
          <w:sz w:val="24"/>
          <w:szCs w:val="24"/>
          <w:lang w:val="en-US"/>
        </w:rPr>
      </w:pPr>
      <w:r w:rsidRPr="004240FD">
        <w:rPr>
          <w:rFonts w:ascii="Arial" w:hAnsi="Arial" w:cs="Arial"/>
          <w:bCs/>
          <w:i/>
          <w:sz w:val="24"/>
          <w:szCs w:val="24"/>
          <w:lang w:val="en-US"/>
        </w:rPr>
        <w:t>Funders of gene drive research should coordinate, and if feasible collaborate, to reduce gaps in knowledge not only about the molecular biology of gene drives, but also in other areas of fundamental and applied research that will be crucial to the responsible development and application of gene drive technology, including population genetics, evolutionary biology, ecosystem dynamics, modeling, ecological risk assessment, and public engagement.</w:t>
      </w:r>
    </w:p>
    <w:p w:rsidR="004A4956" w:rsidRPr="004240FD" w:rsidRDefault="004A4956" w:rsidP="004A4956">
      <w:pPr>
        <w:spacing w:after="0"/>
        <w:jc w:val="both"/>
        <w:rPr>
          <w:rFonts w:ascii="Arial" w:hAnsi="Arial" w:cs="Arial"/>
          <w:bCs/>
          <w:i/>
          <w:sz w:val="24"/>
          <w:szCs w:val="24"/>
          <w:lang w:val="en-US"/>
        </w:rPr>
      </w:pPr>
      <w:r w:rsidRPr="004240FD">
        <w:rPr>
          <w:rFonts w:ascii="Arial" w:hAnsi="Arial" w:cs="Arial"/>
          <w:bCs/>
          <w:i/>
          <w:sz w:val="24"/>
          <w:szCs w:val="24"/>
          <w:lang w:val="en-US"/>
        </w:rPr>
        <w:t>Funders of gene drive research should establish open access, online repositories of data on gene drives as well as standard operating procedures for gene drive research to share knowledge, improve frameworks for ecological risk assessment, and guide research design and monitoring standards around the world.</w:t>
      </w:r>
    </w:p>
    <w:p w:rsidR="004A4956" w:rsidRPr="004240FD" w:rsidRDefault="004A4956" w:rsidP="004A4956">
      <w:pPr>
        <w:spacing w:after="0"/>
        <w:jc w:val="both"/>
        <w:rPr>
          <w:rFonts w:ascii="Arial" w:hAnsi="Arial" w:cs="Arial"/>
          <w:bCs/>
          <w:i/>
          <w:sz w:val="24"/>
          <w:szCs w:val="24"/>
          <w:lang w:val="en-US"/>
        </w:rPr>
      </w:pPr>
      <w:r w:rsidRPr="004240FD">
        <w:rPr>
          <w:rFonts w:ascii="Arial" w:hAnsi="Arial" w:cs="Arial"/>
          <w:bCs/>
          <w:i/>
          <w:sz w:val="24"/>
          <w:szCs w:val="24"/>
          <w:lang w:val="en-US"/>
        </w:rPr>
        <w:t>The distinguishing characteristics of gene drives—including their intentional spread and the potential irreversibility of their environmental effects—should be used to frame the societal appraisal of the technology, and they should be considered in</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lastRenderedPageBreak/>
        <w:t>ecological risk assessment, public engagement, regulatory reform, and decision making.</w:t>
      </w:r>
    </w:p>
    <w:p w:rsidR="004A4956" w:rsidRPr="004240FD" w:rsidRDefault="004A4956" w:rsidP="004A4956">
      <w:pPr>
        <w:spacing w:after="0"/>
        <w:jc w:val="both"/>
        <w:rPr>
          <w:rFonts w:ascii="Arial" w:hAnsi="Arial" w:cs="Arial"/>
          <w:bCs/>
          <w:i/>
          <w:sz w:val="24"/>
          <w:szCs w:val="24"/>
          <w:lang w:val="en-US"/>
        </w:rPr>
      </w:pPr>
      <w:r w:rsidRPr="004240FD">
        <w:rPr>
          <w:rFonts w:ascii="Arial" w:hAnsi="Arial" w:cs="Arial"/>
          <w:bCs/>
          <w:i/>
          <w:sz w:val="24"/>
          <w:szCs w:val="24"/>
          <w:lang w:val="en-US"/>
        </w:rPr>
        <w:t>Proposed field tests or environmental releases of gene-drive modified</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organisms should be subject to ecological risk assessment and structured decision making</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processes. These processes should include modeling of off-target and non-target effects from</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the genome level through ecosystem level. When possible, empirical estimates of such variables</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as gene flow, population change, trophic interactions, and community dynamics should</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be developed as part of the models.</w:t>
      </w:r>
    </w:p>
    <w:p w:rsidR="004A4956" w:rsidRPr="004240FD" w:rsidRDefault="004A4956" w:rsidP="004A4956">
      <w:pPr>
        <w:spacing w:after="0"/>
        <w:jc w:val="both"/>
        <w:rPr>
          <w:rFonts w:ascii="Arial" w:hAnsi="Arial" w:cs="Arial"/>
          <w:bCs/>
          <w:i/>
          <w:sz w:val="24"/>
          <w:szCs w:val="24"/>
          <w:lang w:val="en-US"/>
        </w:rPr>
      </w:pPr>
      <w:r w:rsidRPr="004240FD">
        <w:rPr>
          <w:rFonts w:ascii="Arial" w:hAnsi="Arial" w:cs="Arial"/>
          <w:bCs/>
          <w:i/>
          <w:sz w:val="24"/>
          <w:szCs w:val="24"/>
          <w:lang w:val="en-US"/>
        </w:rPr>
        <w:t>Governing authorities, including research institutions, funders, and</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regulators, should develop and maintain clear policies and mechanisms for how public engagement</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will factor into research, ecological risk assessments, and public policy decisions</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on gene drives. Defined mechanisms and avenues for such engagement should be built into</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the risk assessment and decision-making processes from the beginning.</w:t>
      </w:r>
    </w:p>
    <w:p w:rsidR="00877BB1" w:rsidRPr="004240FD" w:rsidRDefault="004A4956" w:rsidP="005A5564">
      <w:pPr>
        <w:spacing w:after="0"/>
        <w:jc w:val="both"/>
        <w:rPr>
          <w:rFonts w:ascii="Arial" w:hAnsi="Arial" w:cs="Arial"/>
          <w:bCs/>
          <w:i/>
          <w:sz w:val="24"/>
          <w:szCs w:val="24"/>
          <w:lang w:val="en-US"/>
        </w:rPr>
      </w:pPr>
      <w:r w:rsidRPr="004240FD">
        <w:rPr>
          <w:rFonts w:ascii="Arial" w:hAnsi="Arial" w:cs="Arial"/>
          <w:bCs/>
          <w:i/>
          <w:sz w:val="24"/>
          <w:szCs w:val="24"/>
          <w:lang w:val="en-US"/>
        </w:rPr>
        <w:t>In selecting sites for field testing and environmental releases, researchers</w:t>
      </w:r>
      <w:r w:rsidR="005A5564" w:rsidRPr="004240FD">
        <w:rPr>
          <w:rFonts w:ascii="Arial" w:hAnsi="Arial" w:cs="Arial"/>
          <w:bCs/>
          <w:i/>
          <w:sz w:val="24"/>
          <w:szCs w:val="24"/>
          <w:lang w:val="en-US"/>
        </w:rPr>
        <w:t xml:space="preserve"> </w:t>
      </w:r>
      <w:r w:rsidRPr="004240FD">
        <w:rPr>
          <w:rFonts w:ascii="Arial" w:hAnsi="Arial" w:cs="Arial"/>
          <w:bCs/>
          <w:i/>
          <w:sz w:val="24"/>
          <w:szCs w:val="24"/>
          <w:lang w:val="en-US"/>
        </w:rPr>
        <w:t>and funders should be guided by their professional judgment, the feasibility of</w:t>
      </w:r>
      <w:r w:rsidR="005A5564" w:rsidRPr="004240FD">
        <w:rPr>
          <w:rFonts w:ascii="Arial" w:hAnsi="Arial" w:cs="Arial"/>
          <w:bCs/>
          <w:i/>
          <w:sz w:val="24"/>
          <w:szCs w:val="24"/>
          <w:lang w:val="en-US"/>
        </w:rPr>
        <w:t xml:space="preserve"> risk assessment and community engagement, and the community’s values and understanding of the balance of benefits and harms. In site selection, preference should be given to locations in countries with the existing scientific capacity and governance frameworks to conduct and oversee the safe investigation of gene drives and development of gene-drive modified organisms.</w:t>
      </w:r>
    </w:p>
    <w:p w:rsidR="004A4956" w:rsidRPr="004240FD" w:rsidRDefault="004A4956" w:rsidP="004A4956">
      <w:pPr>
        <w:spacing w:after="0"/>
        <w:jc w:val="both"/>
        <w:rPr>
          <w:rFonts w:ascii="Arial" w:hAnsi="Arial" w:cs="Arial"/>
          <w:b/>
          <w:sz w:val="24"/>
          <w:szCs w:val="24"/>
          <w:lang w:val="en-US"/>
        </w:rPr>
      </w:pPr>
    </w:p>
    <w:p w:rsidR="00672157" w:rsidRPr="004240FD" w:rsidRDefault="00672157" w:rsidP="00672157">
      <w:pPr>
        <w:spacing w:after="0"/>
        <w:jc w:val="both"/>
        <w:rPr>
          <w:rFonts w:ascii="Arial" w:hAnsi="Arial" w:cs="Arial"/>
          <w:sz w:val="24"/>
          <w:szCs w:val="24"/>
        </w:rPr>
      </w:pPr>
      <w:r w:rsidRPr="004240FD">
        <w:rPr>
          <w:rFonts w:ascii="Arial" w:hAnsi="Arial" w:cs="Arial"/>
          <w:sz w:val="24"/>
          <w:szCs w:val="24"/>
        </w:rPr>
        <w:t xml:space="preserve">En países como Colombia se han realizado análisis que buscan definir lineamientos para tener en cuenta en el caso de legislaciones en relación con el uso de tecnologías como el CRISPR/Cas9 </w:t>
      </w:r>
      <w:r w:rsidR="00441562">
        <w:rPr>
          <w:rFonts w:ascii="Arial" w:hAnsi="Arial" w:cs="Arial"/>
          <w:sz w:val="24"/>
          <w:szCs w:val="24"/>
        </w:rPr>
        <w:t>(</w:t>
      </w:r>
      <w:r w:rsidRPr="004240FD">
        <w:rPr>
          <w:rFonts w:ascii="Arial" w:hAnsi="Arial" w:cs="Arial"/>
          <w:sz w:val="24"/>
          <w:szCs w:val="24"/>
        </w:rPr>
        <w:t>Lamprea y Lizarazo</w:t>
      </w:r>
      <w:r w:rsidR="00441562">
        <w:rPr>
          <w:rFonts w:ascii="Arial" w:hAnsi="Arial" w:cs="Arial"/>
          <w:sz w:val="24"/>
          <w:szCs w:val="24"/>
        </w:rPr>
        <w:t>,</w:t>
      </w:r>
      <w:r w:rsidRPr="004240FD">
        <w:rPr>
          <w:rFonts w:ascii="Arial" w:hAnsi="Arial" w:cs="Arial"/>
          <w:sz w:val="24"/>
          <w:szCs w:val="24"/>
        </w:rPr>
        <w:t xml:space="preserve"> 2016). Se destaca también el trabajo de Oye </w:t>
      </w:r>
      <w:r w:rsidRPr="004240FD">
        <w:rPr>
          <w:rFonts w:ascii="Arial" w:hAnsi="Arial" w:cs="Arial"/>
          <w:i/>
          <w:sz w:val="24"/>
          <w:szCs w:val="24"/>
        </w:rPr>
        <w:t>et al.</w:t>
      </w:r>
      <w:r w:rsidRPr="004240FD">
        <w:rPr>
          <w:rFonts w:ascii="Arial" w:hAnsi="Arial" w:cs="Arial"/>
          <w:sz w:val="24"/>
          <w:szCs w:val="24"/>
        </w:rPr>
        <w:t xml:space="preserve"> (2014) en el cual se citan algunos de los huecos que deben ser atendidos en relación específicamente con “Gene drives”.</w:t>
      </w:r>
    </w:p>
    <w:p w:rsidR="00672157" w:rsidRPr="004240FD" w:rsidRDefault="00672157" w:rsidP="004A4956">
      <w:pPr>
        <w:spacing w:after="0"/>
        <w:jc w:val="both"/>
        <w:rPr>
          <w:rFonts w:ascii="Arial" w:hAnsi="Arial" w:cs="Arial"/>
          <w:b/>
          <w:sz w:val="24"/>
          <w:szCs w:val="24"/>
        </w:rPr>
      </w:pPr>
    </w:p>
    <w:p w:rsidR="00A33ED3" w:rsidRPr="004240FD" w:rsidRDefault="00A33ED3" w:rsidP="008F5A39">
      <w:pPr>
        <w:pStyle w:val="Prrafodelista"/>
        <w:numPr>
          <w:ilvl w:val="0"/>
          <w:numId w:val="13"/>
        </w:numPr>
        <w:spacing w:after="0"/>
        <w:jc w:val="both"/>
        <w:rPr>
          <w:rFonts w:ascii="Arial" w:hAnsi="Arial" w:cs="Arial"/>
          <w:b/>
          <w:sz w:val="24"/>
          <w:szCs w:val="24"/>
          <w:lang w:val="es-ES"/>
        </w:rPr>
      </w:pPr>
      <w:r w:rsidRPr="004240FD">
        <w:rPr>
          <w:rFonts w:ascii="Arial" w:hAnsi="Arial" w:cs="Arial"/>
          <w:b/>
          <w:sz w:val="24"/>
          <w:szCs w:val="24"/>
          <w:lang w:val="es-ES"/>
        </w:rPr>
        <w:t>Conocimientos, experiencia y perspectivas de los pueblos indígenas y comunidades locales, en el contexto de la idea de vivir en armonía con la naturaleza, para poder comparar y comprender mejor los posibles beneficios y efectos adversos de la biología sintética;</w:t>
      </w:r>
    </w:p>
    <w:p w:rsidR="008F5A39" w:rsidRPr="004240FD" w:rsidRDefault="008F5A39" w:rsidP="008F5A39">
      <w:pPr>
        <w:spacing w:after="0"/>
        <w:jc w:val="both"/>
        <w:rPr>
          <w:rFonts w:ascii="Arial" w:hAnsi="Arial" w:cs="Arial"/>
          <w:sz w:val="24"/>
          <w:szCs w:val="24"/>
          <w:lang w:val="es-ES"/>
        </w:rPr>
      </w:pPr>
    </w:p>
    <w:p w:rsidR="00877BB1" w:rsidRPr="004240FD" w:rsidRDefault="00877BB1" w:rsidP="00877BB1">
      <w:pPr>
        <w:jc w:val="both"/>
        <w:rPr>
          <w:rFonts w:ascii="Arial" w:hAnsi="Arial" w:cs="Arial"/>
          <w:sz w:val="24"/>
          <w:szCs w:val="24"/>
        </w:rPr>
      </w:pPr>
      <w:r w:rsidRPr="004240FD">
        <w:rPr>
          <w:rFonts w:ascii="Arial" w:hAnsi="Arial" w:cs="Arial"/>
          <w:sz w:val="24"/>
          <w:szCs w:val="24"/>
        </w:rPr>
        <w:t xml:space="preserve">No se dispone de conocimientos y protocolos específicos para biología sintética. Sin embargo para </w:t>
      </w:r>
      <w:proofErr w:type="spellStart"/>
      <w:r w:rsidRPr="004240FD">
        <w:rPr>
          <w:rFonts w:ascii="Arial" w:hAnsi="Arial" w:cs="Arial"/>
          <w:sz w:val="24"/>
          <w:szCs w:val="24"/>
        </w:rPr>
        <w:t>OGMs</w:t>
      </w:r>
      <w:proofErr w:type="spellEnd"/>
      <w:r w:rsidRPr="004240FD">
        <w:rPr>
          <w:rFonts w:ascii="Arial" w:hAnsi="Arial" w:cs="Arial"/>
          <w:sz w:val="24"/>
          <w:szCs w:val="24"/>
        </w:rPr>
        <w:t xml:space="preserve"> se cuenta con el protocolo para la implementación de consultas a pueblos y comunidades indígenas de conformidad con estándares del Convenio 169 de la Organización Internacional del Trabajo sobre Pueblos Indígenas y Tribales en Países Independientes. Se sugiere revisar, “</w:t>
      </w:r>
      <w:hyperlink r:id="rId19" w:history="1">
        <w:r w:rsidRPr="004240FD">
          <w:rPr>
            <w:rFonts w:ascii="Arial" w:hAnsi="Arial" w:cs="Arial"/>
            <w:sz w:val="24"/>
            <w:szCs w:val="24"/>
          </w:rPr>
          <w:t>Consulta indígena en materia ambiental</w:t>
        </w:r>
      </w:hyperlink>
      <w:r w:rsidRPr="004240FD">
        <w:rPr>
          <w:rFonts w:ascii="Arial" w:hAnsi="Arial" w:cs="Arial"/>
          <w:sz w:val="24"/>
          <w:szCs w:val="24"/>
        </w:rPr>
        <w:t xml:space="preserve">” </w:t>
      </w:r>
      <w:hyperlink r:id="rId20" w:history="1">
        <w:r w:rsidRPr="004240FD">
          <w:rPr>
            <w:rStyle w:val="Hipervnculo"/>
            <w:rFonts w:ascii="Arial" w:hAnsi="Arial" w:cs="Arial"/>
            <w:sz w:val="24"/>
            <w:szCs w:val="24"/>
          </w:rPr>
          <w:t>http://www.conacyt.gob.mx/cibiogem/index.php/talleres-capacitacion-biotec-bioseg/occidente/presentaciones-occidente/2505--223</w:t>
        </w:r>
      </w:hyperlink>
      <w:r w:rsidRPr="004240FD">
        <w:rPr>
          <w:rFonts w:ascii="Arial" w:hAnsi="Arial" w:cs="Arial"/>
          <w:sz w:val="24"/>
          <w:szCs w:val="24"/>
        </w:rPr>
        <w:t xml:space="preserve"> </w:t>
      </w:r>
    </w:p>
    <w:p w:rsidR="00877BB1" w:rsidRPr="004240FD" w:rsidRDefault="00826F52" w:rsidP="00877BB1">
      <w:pPr>
        <w:jc w:val="both"/>
        <w:rPr>
          <w:rFonts w:ascii="Arial" w:hAnsi="Arial" w:cs="Arial"/>
          <w:sz w:val="24"/>
          <w:szCs w:val="24"/>
        </w:rPr>
      </w:pPr>
      <w:r>
        <w:rPr>
          <w:rFonts w:ascii="Arial" w:hAnsi="Arial" w:cs="Arial"/>
          <w:sz w:val="24"/>
          <w:szCs w:val="24"/>
        </w:rPr>
        <w:lastRenderedPageBreak/>
        <w:t>E</w:t>
      </w:r>
      <w:r w:rsidR="00877BB1" w:rsidRPr="004240FD">
        <w:rPr>
          <w:rFonts w:ascii="Arial" w:hAnsi="Arial" w:cs="Arial"/>
          <w:sz w:val="24"/>
          <w:szCs w:val="24"/>
        </w:rPr>
        <w:t>ntre 2008 y 2011 a través de la Comisión Nacional para el Desarrollo de los Pueblos Indígenas llevó a cabo la “Consulta sobre Mecanismos para la Protección de los Conocimientos Tradicionales, Expresiones Culturales, Recursos Naturales, Biológicos y Genéticos de los Pueblos Indígenas”</w:t>
      </w:r>
      <w:r>
        <w:rPr>
          <w:rFonts w:ascii="Arial" w:hAnsi="Arial" w:cs="Arial"/>
          <w:sz w:val="24"/>
          <w:szCs w:val="24"/>
        </w:rPr>
        <w:t xml:space="preserve"> (</w:t>
      </w:r>
      <w:hyperlink r:id="rId21" w:history="1">
        <w:r w:rsidRPr="00016678">
          <w:rPr>
            <w:rStyle w:val="Hipervnculo"/>
            <w:rFonts w:ascii="Arial" w:hAnsi="Arial" w:cs="Arial"/>
            <w:sz w:val="24"/>
            <w:szCs w:val="24"/>
          </w:rPr>
          <w:t>https://www.gob.mx/cms/uploads/attachment/file/37014/cdi_consulta_proteccion_conocimientos_tradicionales.pdf</w:t>
        </w:r>
      </w:hyperlink>
      <w:r>
        <w:rPr>
          <w:rFonts w:ascii="Arial" w:hAnsi="Arial" w:cs="Arial"/>
          <w:sz w:val="24"/>
          <w:szCs w:val="24"/>
        </w:rPr>
        <w:t>)</w:t>
      </w:r>
      <w:r w:rsidR="00877BB1" w:rsidRPr="004240FD">
        <w:rPr>
          <w:rFonts w:ascii="Arial" w:hAnsi="Arial" w:cs="Arial"/>
          <w:sz w:val="24"/>
          <w:szCs w:val="24"/>
        </w:rPr>
        <w:t xml:space="preserve">, en la que se plasmaron la opinión de los Pueblos Indígenas de México sobre algunos temas, </w:t>
      </w:r>
      <w:r>
        <w:rPr>
          <w:rFonts w:ascii="Arial" w:hAnsi="Arial" w:cs="Arial"/>
          <w:sz w:val="24"/>
          <w:szCs w:val="24"/>
        </w:rPr>
        <w:t>incluido</w:t>
      </w:r>
      <w:r w:rsidR="00877BB1" w:rsidRPr="004240FD">
        <w:rPr>
          <w:rFonts w:ascii="Arial" w:hAnsi="Arial" w:cs="Arial"/>
          <w:sz w:val="24"/>
          <w:szCs w:val="24"/>
        </w:rPr>
        <w:t xml:space="preserve"> el uso de organismos genéticamente modificados.</w:t>
      </w:r>
    </w:p>
    <w:p w:rsidR="00672157" w:rsidRPr="004240FD" w:rsidRDefault="00826F52" w:rsidP="00672157">
      <w:pPr>
        <w:jc w:val="both"/>
        <w:rPr>
          <w:rFonts w:ascii="Arial" w:hAnsi="Arial" w:cs="Arial"/>
          <w:sz w:val="24"/>
          <w:szCs w:val="24"/>
        </w:rPr>
      </w:pPr>
      <w:r>
        <w:rPr>
          <w:rFonts w:ascii="Arial" w:hAnsi="Arial" w:cs="Arial"/>
          <w:sz w:val="24"/>
          <w:szCs w:val="24"/>
        </w:rPr>
        <w:t>S</w:t>
      </w:r>
      <w:r w:rsidR="00672157" w:rsidRPr="004240FD">
        <w:rPr>
          <w:rFonts w:ascii="Arial" w:hAnsi="Arial" w:cs="Arial"/>
          <w:sz w:val="24"/>
          <w:szCs w:val="24"/>
        </w:rPr>
        <w:t xml:space="preserve">e considera prioritario que en países </w:t>
      </w:r>
      <w:proofErr w:type="spellStart"/>
      <w:r w:rsidR="00672157" w:rsidRPr="004240FD">
        <w:rPr>
          <w:rFonts w:ascii="Arial" w:hAnsi="Arial" w:cs="Arial"/>
          <w:sz w:val="24"/>
          <w:szCs w:val="24"/>
        </w:rPr>
        <w:t>megadiversos</w:t>
      </w:r>
      <w:proofErr w:type="spellEnd"/>
      <w:r w:rsidR="00672157" w:rsidRPr="004240FD">
        <w:rPr>
          <w:rFonts w:ascii="Arial" w:hAnsi="Arial" w:cs="Arial"/>
          <w:sz w:val="24"/>
          <w:szCs w:val="24"/>
        </w:rPr>
        <w:t xml:space="preserve"> y centro de origen y diversidad genética de buena parte de los cultivos que hoy sostienen la alimentación global, como es el caso de México, se inicie un proceso de inclusión de los diferentes actores en relación con las discusiones y con el acceso a la información relacionada.</w:t>
      </w:r>
    </w:p>
    <w:p w:rsidR="00672157" w:rsidRDefault="00826F52" w:rsidP="00672157">
      <w:pPr>
        <w:jc w:val="both"/>
        <w:rPr>
          <w:rFonts w:ascii="Arial" w:hAnsi="Arial" w:cs="Arial"/>
          <w:sz w:val="24"/>
          <w:szCs w:val="24"/>
        </w:rPr>
      </w:pPr>
      <w:r>
        <w:rPr>
          <w:rFonts w:ascii="Arial" w:hAnsi="Arial" w:cs="Arial"/>
          <w:sz w:val="24"/>
          <w:szCs w:val="24"/>
        </w:rPr>
        <w:t>Asimismo,</w:t>
      </w:r>
      <w:r w:rsidR="00672157" w:rsidRPr="004240FD">
        <w:rPr>
          <w:rFonts w:ascii="Arial" w:hAnsi="Arial" w:cs="Arial"/>
          <w:sz w:val="24"/>
          <w:szCs w:val="24"/>
        </w:rPr>
        <w:t xml:space="preserve"> el desarrollo de un sistema de información que puede ser parte de los mecanismos de facilitación que ya hacen parte del CBD, podría ser de utilidad para movilizar el conocimiento de la información a través de diferentes tipos de actores.</w:t>
      </w:r>
    </w:p>
    <w:p w:rsidR="00102F2C" w:rsidRDefault="00102F2C" w:rsidP="00672157">
      <w:pPr>
        <w:jc w:val="both"/>
        <w:rPr>
          <w:rFonts w:ascii="Arial" w:hAnsi="Arial" w:cs="Arial"/>
          <w:sz w:val="24"/>
          <w:szCs w:val="24"/>
        </w:rPr>
      </w:pPr>
    </w:p>
    <w:p w:rsidR="00102F2C" w:rsidRDefault="00102F2C" w:rsidP="00672157">
      <w:pPr>
        <w:jc w:val="both"/>
        <w:rPr>
          <w:rFonts w:ascii="Arial" w:hAnsi="Arial" w:cs="Arial"/>
          <w:sz w:val="24"/>
          <w:szCs w:val="24"/>
        </w:rPr>
      </w:pPr>
      <w:r>
        <w:rPr>
          <w:rFonts w:ascii="Arial" w:hAnsi="Arial" w:cs="Arial"/>
          <w:sz w:val="24"/>
          <w:szCs w:val="24"/>
        </w:rPr>
        <w:t>La documentación de referencia anteriormente citada, así como material de apoyo se encuentra disponible en el enlace siguiente:</w:t>
      </w:r>
    </w:p>
    <w:p w:rsidR="00102F2C" w:rsidRDefault="00D52349" w:rsidP="00672157">
      <w:pPr>
        <w:jc w:val="both"/>
        <w:rPr>
          <w:rFonts w:ascii="Arial" w:hAnsi="Arial" w:cs="Arial"/>
          <w:sz w:val="24"/>
          <w:szCs w:val="24"/>
        </w:rPr>
      </w:pPr>
      <w:hyperlink r:id="rId22" w:history="1">
        <w:r w:rsidR="00102F2C" w:rsidRPr="00016678">
          <w:rPr>
            <w:rStyle w:val="Hipervnculo"/>
            <w:rFonts w:ascii="Arial" w:hAnsi="Arial" w:cs="Arial"/>
            <w:sz w:val="24"/>
            <w:szCs w:val="24"/>
          </w:rPr>
          <w:t>https://www.dropbox.com/sh/5w6tkbo3cdaqp27/AACMn2sGJ6thfbyDdjDiOtQDa?dl=0</w:t>
        </w:r>
      </w:hyperlink>
    </w:p>
    <w:p w:rsidR="00102F2C" w:rsidRPr="004240FD" w:rsidRDefault="00102F2C" w:rsidP="00672157">
      <w:pPr>
        <w:jc w:val="both"/>
        <w:rPr>
          <w:rFonts w:ascii="Arial" w:hAnsi="Arial" w:cs="Arial"/>
          <w:sz w:val="24"/>
          <w:szCs w:val="24"/>
        </w:rPr>
      </w:pPr>
      <w:r>
        <w:rPr>
          <w:rFonts w:ascii="Arial" w:hAnsi="Arial" w:cs="Arial"/>
          <w:sz w:val="24"/>
          <w:szCs w:val="24"/>
        </w:rPr>
        <w:t>Se incluye también la opinión de México compartida con el Secretariado Ejecutivo del Convenio sobre la Diversidad Biológica en 2016 sobre el tema de Biología Sintética.</w:t>
      </w:r>
    </w:p>
    <w:p w:rsidR="00877BB1" w:rsidRPr="004240FD" w:rsidRDefault="00877BB1" w:rsidP="00877BB1">
      <w:pPr>
        <w:jc w:val="both"/>
        <w:rPr>
          <w:rFonts w:ascii="Arial" w:hAnsi="Arial" w:cs="Arial"/>
          <w:sz w:val="24"/>
          <w:szCs w:val="24"/>
        </w:rPr>
      </w:pPr>
    </w:p>
    <w:p w:rsidR="00877BB1" w:rsidRPr="004240FD" w:rsidRDefault="00877BB1" w:rsidP="008F5A39">
      <w:pPr>
        <w:spacing w:after="0"/>
        <w:jc w:val="both"/>
        <w:rPr>
          <w:rFonts w:ascii="Arial" w:hAnsi="Arial" w:cs="Arial"/>
          <w:sz w:val="24"/>
          <w:szCs w:val="24"/>
        </w:rPr>
      </w:pPr>
    </w:p>
    <w:sectPr w:rsidR="00877BB1" w:rsidRPr="004240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49" w:rsidRDefault="00D52349" w:rsidP="00BF5307">
      <w:pPr>
        <w:spacing w:after="0" w:line="240" w:lineRule="auto"/>
      </w:pPr>
      <w:r>
        <w:separator/>
      </w:r>
    </w:p>
  </w:endnote>
  <w:endnote w:type="continuationSeparator" w:id="0">
    <w:p w:rsidR="00D52349" w:rsidRDefault="00D52349" w:rsidP="00BF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49" w:rsidRDefault="00D52349" w:rsidP="00BF5307">
      <w:pPr>
        <w:spacing w:after="0" w:line="240" w:lineRule="auto"/>
      </w:pPr>
      <w:r>
        <w:separator/>
      </w:r>
    </w:p>
  </w:footnote>
  <w:footnote w:type="continuationSeparator" w:id="0">
    <w:p w:rsidR="00D52349" w:rsidRDefault="00D52349" w:rsidP="00BF5307">
      <w:pPr>
        <w:spacing w:after="0" w:line="240" w:lineRule="auto"/>
      </w:pPr>
      <w:r>
        <w:continuationSeparator/>
      </w:r>
    </w:p>
  </w:footnote>
  <w:footnote w:id="1">
    <w:p w:rsidR="000B65D1" w:rsidRPr="007C17CC" w:rsidRDefault="000B65D1" w:rsidP="00AD33B0">
      <w:pPr>
        <w:pStyle w:val="Textonotapie"/>
        <w:rPr>
          <w:rFonts w:ascii="Arial" w:hAnsi="Arial" w:cs="Arial"/>
          <w:sz w:val="16"/>
          <w:szCs w:val="16"/>
        </w:rPr>
      </w:pPr>
      <w:r w:rsidRPr="007C17CC">
        <w:rPr>
          <w:rStyle w:val="Refdenotaalpie"/>
          <w:rFonts w:ascii="Arial" w:hAnsi="Arial" w:cs="Arial"/>
          <w:sz w:val="16"/>
          <w:szCs w:val="16"/>
        </w:rPr>
        <w:footnoteRef/>
      </w:r>
      <w:r w:rsidRPr="007C17CC">
        <w:rPr>
          <w:rFonts w:ascii="Arial" w:hAnsi="Arial" w:cs="Arial"/>
          <w:sz w:val="16"/>
          <w:szCs w:val="16"/>
        </w:rPr>
        <w:t xml:space="preserve"> </w:t>
      </w:r>
      <w:proofErr w:type="spellStart"/>
      <w:r w:rsidRPr="007C17CC">
        <w:rPr>
          <w:rFonts w:ascii="Arial" w:hAnsi="Arial" w:cs="Arial"/>
          <w:sz w:val="16"/>
          <w:szCs w:val="16"/>
        </w:rPr>
        <w:t>Stezano</w:t>
      </w:r>
      <w:proofErr w:type="spellEnd"/>
      <w:r w:rsidRPr="007C17CC">
        <w:rPr>
          <w:rFonts w:ascii="Arial" w:hAnsi="Arial" w:cs="Arial"/>
          <w:sz w:val="16"/>
          <w:szCs w:val="16"/>
        </w:rPr>
        <w:t xml:space="preserve"> F., Transferencia de conocimientos entre ciencia e industria en el sector de la biotecnología en México Cp. 5. En:  Villavicencio, D. Dilemas de la Innovación en México. Dinámicas sectoriales, territoriales e institucionales Tijuana, Baja California, México. El Colegio de la Frontera Norte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9BA"/>
    <w:multiLevelType w:val="hybridMultilevel"/>
    <w:tmpl w:val="07B03C5E"/>
    <w:lvl w:ilvl="0" w:tplc="424CAED8">
      <w:start w:val="1"/>
      <w:numFmt w:val="lowerLetter"/>
      <w:lvlText w:val="%1)"/>
      <w:lvlJc w:val="left"/>
      <w:pPr>
        <w:ind w:left="1080" w:hanging="360"/>
      </w:pPr>
      <w:rPr>
        <w:rFonts w:ascii="Arial" w:hAnsi="Arial" w:hint="default"/>
        <w:b w:val="0"/>
        <w:i/>
        <w:color w:val="auto"/>
        <w:sz w:val="18"/>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D7F6B8D"/>
    <w:multiLevelType w:val="hybridMultilevel"/>
    <w:tmpl w:val="07B03C5E"/>
    <w:lvl w:ilvl="0" w:tplc="424CAED8">
      <w:start w:val="1"/>
      <w:numFmt w:val="lowerLetter"/>
      <w:lvlText w:val="%1)"/>
      <w:lvlJc w:val="left"/>
      <w:pPr>
        <w:ind w:left="1080" w:hanging="360"/>
      </w:pPr>
      <w:rPr>
        <w:rFonts w:ascii="Arial" w:hAnsi="Arial" w:hint="default"/>
        <w:b w:val="0"/>
        <w:i/>
        <w:color w:val="auto"/>
        <w:sz w:val="18"/>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434FCA"/>
    <w:multiLevelType w:val="hybridMultilevel"/>
    <w:tmpl w:val="9D762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E73629C"/>
    <w:multiLevelType w:val="hybridMultilevel"/>
    <w:tmpl w:val="A3626696"/>
    <w:lvl w:ilvl="0" w:tplc="080A000F">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26A66A15"/>
    <w:multiLevelType w:val="hybridMultilevel"/>
    <w:tmpl w:val="0B726DA2"/>
    <w:lvl w:ilvl="0" w:tplc="9446D60C">
      <w:start w:val="5"/>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FAC270F"/>
    <w:multiLevelType w:val="hybridMultilevel"/>
    <w:tmpl w:val="97B2EF96"/>
    <w:lvl w:ilvl="0" w:tplc="1AB4F4A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53AE0"/>
    <w:multiLevelType w:val="hybridMultilevel"/>
    <w:tmpl w:val="55E482D0"/>
    <w:lvl w:ilvl="0" w:tplc="76F63D8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A32985"/>
    <w:multiLevelType w:val="hybridMultilevel"/>
    <w:tmpl w:val="1570BFD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91768"/>
    <w:multiLevelType w:val="hybridMultilevel"/>
    <w:tmpl w:val="0C2070F2"/>
    <w:lvl w:ilvl="0" w:tplc="299C8CA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59490B8F"/>
    <w:multiLevelType w:val="hybridMultilevel"/>
    <w:tmpl w:val="75B65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A23FA2"/>
    <w:multiLevelType w:val="hybridMultilevel"/>
    <w:tmpl w:val="AB94D81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EC4535"/>
    <w:multiLevelType w:val="hybridMultilevel"/>
    <w:tmpl w:val="4D4E1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1F1FEC"/>
    <w:multiLevelType w:val="hybridMultilevel"/>
    <w:tmpl w:val="6CF2EDB0"/>
    <w:lvl w:ilvl="0" w:tplc="11C27B5E">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B3642BA"/>
    <w:multiLevelType w:val="hybridMultilevel"/>
    <w:tmpl w:val="D8CE0EDE"/>
    <w:lvl w:ilvl="0" w:tplc="411426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032626"/>
    <w:multiLevelType w:val="hybridMultilevel"/>
    <w:tmpl w:val="5E3CB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D5E81"/>
    <w:multiLevelType w:val="hybridMultilevel"/>
    <w:tmpl w:val="2D44E798"/>
    <w:lvl w:ilvl="0" w:tplc="45C2876C">
      <w:start w:val="1"/>
      <w:numFmt w:val="lowerLetter"/>
      <w:lvlText w:val="%1)"/>
      <w:lvlJc w:val="left"/>
      <w:pPr>
        <w:ind w:left="1080" w:hanging="360"/>
      </w:pPr>
      <w:rPr>
        <w:rFonts w:hint="default"/>
        <w:b w:val="0"/>
        <w:color w:val="auto"/>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1"/>
  </w:num>
  <w:num w:numId="5">
    <w:abstractNumId w:val="16"/>
  </w:num>
  <w:num w:numId="6">
    <w:abstractNumId w:val="10"/>
  </w:num>
  <w:num w:numId="7">
    <w:abstractNumId w:val="5"/>
  </w:num>
  <w:num w:numId="8">
    <w:abstractNumId w:val="0"/>
  </w:num>
  <w:num w:numId="9">
    <w:abstractNumId w:val="13"/>
  </w:num>
  <w:num w:numId="10">
    <w:abstractNumId w:val="3"/>
  </w:num>
  <w:num w:numId="11">
    <w:abstractNumId w:val="14"/>
  </w:num>
  <w:num w:numId="12">
    <w:abstractNumId w:val="2"/>
  </w:num>
  <w:num w:numId="13">
    <w:abstractNumId w:val="4"/>
  </w:num>
  <w:num w:numId="14">
    <w:abstractNumId w:val="7"/>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B0"/>
    <w:rsid w:val="00034DBC"/>
    <w:rsid w:val="00036F43"/>
    <w:rsid w:val="00047423"/>
    <w:rsid w:val="00060CC1"/>
    <w:rsid w:val="000646F7"/>
    <w:rsid w:val="00073AB0"/>
    <w:rsid w:val="000761B8"/>
    <w:rsid w:val="0009390A"/>
    <w:rsid w:val="000B65D1"/>
    <w:rsid w:val="000D742B"/>
    <w:rsid w:val="000E3CE9"/>
    <w:rsid w:val="000E6645"/>
    <w:rsid w:val="00102F2C"/>
    <w:rsid w:val="00107214"/>
    <w:rsid w:val="001869C8"/>
    <w:rsid w:val="001942FF"/>
    <w:rsid w:val="001B798E"/>
    <w:rsid w:val="001F3543"/>
    <w:rsid w:val="00233C7C"/>
    <w:rsid w:val="00266603"/>
    <w:rsid w:val="002A08F1"/>
    <w:rsid w:val="002A417C"/>
    <w:rsid w:val="002F35AD"/>
    <w:rsid w:val="00322CAC"/>
    <w:rsid w:val="003342B9"/>
    <w:rsid w:val="0034072A"/>
    <w:rsid w:val="00396708"/>
    <w:rsid w:val="003B54B6"/>
    <w:rsid w:val="004240FD"/>
    <w:rsid w:val="0042522A"/>
    <w:rsid w:val="004377A4"/>
    <w:rsid w:val="00440B39"/>
    <w:rsid w:val="00441562"/>
    <w:rsid w:val="00475296"/>
    <w:rsid w:val="00475794"/>
    <w:rsid w:val="00485BB2"/>
    <w:rsid w:val="00493345"/>
    <w:rsid w:val="00493B22"/>
    <w:rsid w:val="004976B3"/>
    <w:rsid w:val="004A4956"/>
    <w:rsid w:val="004B64F6"/>
    <w:rsid w:val="004D5221"/>
    <w:rsid w:val="004F5311"/>
    <w:rsid w:val="00524763"/>
    <w:rsid w:val="00524950"/>
    <w:rsid w:val="00527F9A"/>
    <w:rsid w:val="00532B21"/>
    <w:rsid w:val="00533AA3"/>
    <w:rsid w:val="00584264"/>
    <w:rsid w:val="00584857"/>
    <w:rsid w:val="00597E15"/>
    <w:rsid w:val="005A5564"/>
    <w:rsid w:val="005B38CF"/>
    <w:rsid w:val="0061737C"/>
    <w:rsid w:val="00624472"/>
    <w:rsid w:val="00663DF9"/>
    <w:rsid w:val="00672157"/>
    <w:rsid w:val="006959C9"/>
    <w:rsid w:val="0069664F"/>
    <w:rsid w:val="006C6184"/>
    <w:rsid w:val="006E7566"/>
    <w:rsid w:val="00720856"/>
    <w:rsid w:val="007602F5"/>
    <w:rsid w:val="007B345C"/>
    <w:rsid w:val="007C17CC"/>
    <w:rsid w:val="007F4456"/>
    <w:rsid w:val="00826F52"/>
    <w:rsid w:val="00867D19"/>
    <w:rsid w:val="00873560"/>
    <w:rsid w:val="00877BB1"/>
    <w:rsid w:val="008A0DE7"/>
    <w:rsid w:val="008B05A7"/>
    <w:rsid w:val="008E2531"/>
    <w:rsid w:val="008E55B7"/>
    <w:rsid w:val="008F5A39"/>
    <w:rsid w:val="00907FE7"/>
    <w:rsid w:val="00920813"/>
    <w:rsid w:val="00922BAA"/>
    <w:rsid w:val="00975B58"/>
    <w:rsid w:val="00983C6F"/>
    <w:rsid w:val="00A04F51"/>
    <w:rsid w:val="00A0709B"/>
    <w:rsid w:val="00A33ED3"/>
    <w:rsid w:val="00A37280"/>
    <w:rsid w:val="00A63C91"/>
    <w:rsid w:val="00A75621"/>
    <w:rsid w:val="00A92F7B"/>
    <w:rsid w:val="00A95C91"/>
    <w:rsid w:val="00AD33B0"/>
    <w:rsid w:val="00AD4E01"/>
    <w:rsid w:val="00AD5BA7"/>
    <w:rsid w:val="00AE0106"/>
    <w:rsid w:val="00B01DC1"/>
    <w:rsid w:val="00B16E35"/>
    <w:rsid w:val="00B30C72"/>
    <w:rsid w:val="00B462B4"/>
    <w:rsid w:val="00B8428C"/>
    <w:rsid w:val="00BF5307"/>
    <w:rsid w:val="00C151F5"/>
    <w:rsid w:val="00C33CE4"/>
    <w:rsid w:val="00C77CB5"/>
    <w:rsid w:val="00C82D85"/>
    <w:rsid w:val="00C95A0C"/>
    <w:rsid w:val="00CA633D"/>
    <w:rsid w:val="00CC1CF0"/>
    <w:rsid w:val="00CC358F"/>
    <w:rsid w:val="00CE2A69"/>
    <w:rsid w:val="00D52349"/>
    <w:rsid w:val="00D57AC7"/>
    <w:rsid w:val="00D70D80"/>
    <w:rsid w:val="00DA78C6"/>
    <w:rsid w:val="00DD5CDA"/>
    <w:rsid w:val="00E93D31"/>
    <w:rsid w:val="00EA2B96"/>
    <w:rsid w:val="00EE56A4"/>
    <w:rsid w:val="00EF359C"/>
    <w:rsid w:val="00EF7C28"/>
    <w:rsid w:val="00F04105"/>
    <w:rsid w:val="00F216A8"/>
    <w:rsid w:val="00F23774"/>
    <w:rsid w:val="00F369A7"/>
    <w:rsid w:val="00F61E13"/>
    <w:rsid w:val="00F74FA0"/>
    <w:rsid w:val="00F86B92"/>
    <w:rsid w:val="00FB04B4"/>
    <w:rsid w:val="00FD036B"/>
    <w:rsid w:val="00FE23ED"/>
    <w:rsid w:val="00FF7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FE98"/>
  <w15:docId w15:val="{1A203492-CF9F-4266-8A32-AE3B550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17C"/>
    <w:pPr>
      <w:ind w:left="720"/>
      <w:contextualSpacing/>
    </w:pPr>
  </w:style>
  <w:style w:type="character" w:styleId="Hipervnculo">
    <w:name w:val="Hyperlink"/>
    <w:basedOn w:val="Fuentedeprrafopredeter"/>
    <w:uiPriority w:val="99"/>
    <w:unhideWhenUsed/>
    <w:rsid w:val="00396708"/>
    <w:rPr>
      <w:color w:val="0000FF" w:themeColor="hyperlink"/>
      <w:u w:val="single"/>
    </w:rPr>
  </w:style>
  <w:style w:type="table" w:styleId="Tablaconcuadrcula">
    <w:name w:val="Table Grid"/>
    <w:basedOn w:val="Tablanormal"/>
    <w:uiPriority w:val="39"/>
    <w:rsid w:val="00F0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53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307"/>
    <w:rPr>
      <w:sz w:val="20"/>
      <w:szCs w:val="20"/>
    </w:rPr>
  </w:style>
  <w:style w:type="character" w:styleId="Refdenotaalpie">
    <w:name w:val="footnote reference"/>
    <w:basedOn w:val="Fuentedeprrafopredeter"/>
    <w:uiPriority w:val="99"/>
    <w:semiHidden/>
    <w:unhideWhenUsed/>
    <w:rsid w:val="00BF5307"/>
    <w:rPr>
      <w:vertAlign w:val="superscript"/>
    </w:rPr>
  </w:style>
  <w:style w:type="character" w:styleId="Hipervnculovisitado">
    <w:name w:val="FollowedHyperlink"/>
    <w:basedOn w:val="Fuentedeprrafopredeter"/>
    <w:uiPriority w:val="99"/>
    <w:semiHidden/>
    <w:unhideWhenUsed/>
    <w:rsid w:val="00AE0106"/>
    <w:rPr>
      <w:color w:val="800080" w:themeColor="followedHyperlink"/>
      <w:u w:val="single"/>
    </w:rPr>
  </w:style>
  <w:style w:type="character" w:customStyle="1" w:styleId="apple-converted-space">
    <w:name w:val="apple-converted-space"/>
    <w:basedOn w:val="Fuentedeprrafopredeter"/>
    <w:rsid w:val="003342B9"/>
  </w:style>
  <w:style w:type="paragraph" w:styleId="Sinespaciado">
    <w:name w:val="No Spacing"/>
    <w:uiPriority w:val="1"/>
    <w:qFormat/>
    <w:rsid w:val="00877BB1"/>
    <w:pPr>
      <w:spacing w:after="0" w:line="240" w:lineRule="auto"/>
    </w:pPr>
  </w:style>
  <w:style w:type="paragraph" w:styleId="Textodeglobo">
    <w:name w:val="Balloon Text"/>
    <w:basedOn w:val="Normal"/>
    <w:link w:val="TextodegloboCar"/>
    <w:uiPriority w:val="99"/>
    <w:semiHidden/>
    <w:unhideWhenUsed/>
    <w:rsid w:val="000474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jis.journals.yorku.ca/index.php/gjis/article/viewFile/40254/36422" TargetMode="External"/><Relationship Id="rId13" Type="http://schemas.openxmlformats.org/officeDocument/2006/relationships/hyperlink" Target="https://pdfs.semanticscholar.org/fee0/0e41a52a81f5f1a1b4dd2d902d82f5d53788.pdf" TargetMode="External"/><Relationship Id="rId18" Type="http://schemas.openxmlformats.org/officeDocument/2006/relationships/hyperlink" Target="http://siga.impi.gob.mx/newSIGA/content/common/busquedaEspecializada.jsf" TargetMode="External"/><Relationship Id="rId3" Type="http://schemas.openxmlformats.org/officeDocument/2006/relationships/styles" Target="styles.xml"/><Relationship Id="rId21" Type="http://schemas.openxmlformats.org/officeDocument/2006/relationships/hyperlink" Target="https://www.gob.mx/cms/uploads/attachment/file/37014/cdi_consulta_proteccion_conocimientos_tradicionales.pdf" TargetMode="External"/><Relationship Id="rId7" Type="http://schemas.openxmlformats.org/officeDocument/2006/relationships/endnotes" Target="endnotes.xml"/><Relationship Id="rId12" Type="http://schemas.openxmlformats.org/officeDocument/2006/relationships/hyperlink" Target="https://link.springer.com/article/10.1007/s11693-008-9019-y" TargetMode="External"/><Relationship Id="rId17" Type="http://schemas.openxmlformats.org/officeDocument/2006/relationships/hyperlink" Target="https://www.weforum.org/agenda/2016/06/top-10-emerging-technologies-2016/" TargetMode="External"/><Relationship Id="rId2" Type="http://schemas.openxmlformats.org/officeDocument/2006/relationships/numbering" Target="numbering.xml"/><Relationship Id="rId16" Type="http://schemas.openxmlformats.org/officeDocument/2006/relationships/hyperlink" Target="https://books.google.com.mx/books?hl=es&amp;lr=&amp;id=KtDTCQAAQBAJ&amp;oi=fnd&amp;pg=PA9&amp;dq=DILEMAS+DE+LA+INNOVACI%C3%93N+EN+M%C3%89XICO&amp;ots=WKLDp3cLga&amp;sig=mY-Ix-4EsgLyOF8puljXM6Arc6Q&amp;redir_esc=y" TargetMode="External"/><Relationship Id="rId20" Type="http://schemas.openxmlformats.org/officeDocument/2006/relationships/hyperlink" Target="http://www.conacyt.gob.mx/cibiogem/index.php/talleres-capacitacion-biotec-bioseg/occidente/presentaciones-occidente/250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news/synthetic-biology-s-first-malaria-drug-meets-market-resistance-1.194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sintetica.mx/" TargetMode="External"/><Relationship Id="rId23" Type="http://schemas.openxmlformats.org/officeDocument/2006/relationships/fontTable" Target="fontTable.xml"/><Relationship Id="rId10" Type="http://schemas.openxmlformats.org/officeDocument/2006/relationships/hyperlink" Target="https://www.researchgate.net/publication/308669894" TargetMode="External"/><Relationship Id="rId19" Type="http://schemas.openxmlformats.org/officeDocument/2006/relationships/hyperlink" Target="http://www.conacyt.gob.mx/cibiogem/index.php/talleres-capacitacion-biotec-bioseg/occidente/presentaciones-occidente/2505--223" TargetMode="External"/><Relationship Id="rId4" Type="http://schemas.openxmlformats.org/officeDocument/2006/relationships/settings" Target="settings.xml"/><Relationship Id="rId9" Type="http://schemas.openxmlformats.org/officeDocument/2006/relationships/hyperlink" Target="http://www.G20-insights.org" TargetMode="External"/><Relationship Id="rId14" Type="http://schemas.openxmlformats.org/officeDocument/2006/relationships/hyperlink" Target="http://dx.doi.org/10.1016/j.jinsphys.2017.01.007" TargetMode="External"/><Relationship Id="rId22" Type="http://schemas.openxmlformats.org/officeDocument/2006/relationships/hyperlink" Target="https://www.dropbox.com/sh/5w6tkbo3cdaqp27/AACMn2sGJ6thfbyDdjDiOtQDa?d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5C27-8CBB-414A-A578-438FA2FD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4331</Words>
  <Characters>23824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Barrios</dc:creator>
  <cp:lastModifiedBy>User</cp:lastModifiedBy>
  <cp:revision>2</cp:revision>
  <dcterms:created xsi:type="dcterms:W3CDTF">2017-06-17T00:02:00Z</dcterms:created>
  <dcterms:modified xsi:type="dcterms:W3CDTF">2017-06-17T00:02:00Z</dcterms:modified>
</cp:coreProperties>
</file>