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7789"/>
        <w:gridCol w:w="2126"/>
      </w:tblGrid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Wright, C. and Wimberley, M.C. 2012.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Recent land use change in the Western corn belt threatens grasslands and wetlands.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PNAS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vol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110, no. 10. </w:t>
            </w:r>
            <w:hyperlink r:id="rId7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http://www.pnas.org/content/110/10/4134.abstract</w:t>
              </w:r>
            </w:hyperlink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Lapola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D. et al.  2010.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Indirect land use changes can overcome carbon savings from biofuels in Brazil.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PNAS. 107, no. 8. </w:t>
            </w:r>
            <w:hyperlink r:id="rId8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http://www.pnas.org/content/107/8/3388.full</w:t>
              </w:r>
            </w:hyperlink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Petrenko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C. L. and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Friedland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A. J. (2015),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Mineral soil carbon pool responses to forest clearing in Northeastern hardwood forests.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GCB Bioenergy, 7: 1283–1293. doi:10.1111/gcbb.12221 </w:t>
            </w:r>
            <w:hyperlink r:id="rId9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US"/>
                </w:rPr>
                <w:t>http://onlinelibrary.wiley.com/doi/10.1111/gcbb.12221/abstract</w:t>
              </w:r>
            </w:hyperlink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Brunner, K. 2017.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Biofuelwatch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 xml:space="preserve"> Responds to First Open Pond Testing of GMO Algae.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  <w:hyperlink r:id="rId10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color w:val="auto"/>
                  <w:kern w:val="22"/>
                  <w:lang w:val="en-CA"/>
                </w:rPr>
                <w:t>http://www.biofuelwatch.org.uk/2017/biofuelwatch-responds-to-first-open-pond-testing-of-gmo-algae/</w:t>
              </w:r>
            </w:hyperlink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Flynn KJ,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Mitra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A, </w:t>
            </w:r>
            <w:proofErr w:type="gram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Greenwell</w:t>
            </w:r>
            <w:proofErr w:type="gram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HC, Sui J. 2013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Monster potential meets potential monster: pros and cons of deploying genetically modified microalgae for biofuels production.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Interface Focus 3: 20120037. </w:t>
            </w:r>
            <w:hyperlink r:id="rId11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https://www.ncbi.nlm.nih.gov/pmc/articles/PMC3638280/</w:t>
              </w:r>
            </w:hyperlink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tabs>
                <w:tab w:val="left" w:pos="720"/>
              </w:tabs>
              <w:spacing w:before="120" w:after="120"/>
              <w:jc w:val="both"/>
              <w:rPr>
                <w:rFonts w:asciiTheme="majorBidi" w:eastAsia="Times New Roman" w:hAnsiTheme="majorBidi" w:cstheme="majorBidi"/>
                <w:kern w:val="22"/>
                <w:lang w:val="en-US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Smolker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 xml:space="preserve">, R. In Press. </w:t>
            </w:r>
            <w:r w:rsidRPr="0033362F">
              <w:rPr>
                <w:rFonts w:asciiTheme="majorBidi" w:eastAsia="Times New Roman" w:hAnsiTheme="majorBidi" w:cstheme="majorBidi"/>
                <w:b/>
                <w:bCs/>
                <w:kern w:val="22"/>
                <w:lang w:val="en-US"/>
              </w:rPr>
              <w:t xml:space="preserve">Microalgae Biofuels: Myths and Risks.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kern w:val="22"/>
                <w:lang w:val="en-US"/>
              </w:rPr>
              <w:t>Biofuelwatch</w:t>
            </w:r>
            <w:proofErr w:type="spellEnd"/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Smolker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R. 2015. </w:t>
            </w:r>
            <w:r w:rsidRPr="0033362F">
              <w:rPr>
                <w:rFonts w:asciiTheme="majorBidi" w:eastAsia="Times New Roman" w:hAnsiTheme="majorBidi" w:cstheme="majorBidi"/>
                <w:b/>
                <w:bCs/>
                <w:kern w:val="22"/>
                <w:lang w:val="en-CA"/>
              </w:rPr>
              <w:t>EPA Workshop for Public Input on Considerations for Risk Assessment of Genetically Engineered Algae.</w:t>
            </w:r>
            <w:r w:rsidRPr="0033362F">
              <w:rPr>
                <w:rFonts w:asciiTheme="majorBidi" w:eastAsia="Times New Roman" w:hAnsiTheme="majorBidi" w:cstheme="majorBidi"/>
                <w:kern w:val="22"/>
                <w:lang w:val="en-CA"/>
              </w:rPr>
              <w:t xml:space="preserve"> </w:t>
            </w:r>
            <w:hyperlink r:id="rId12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http://www.biofuelwatch.org.uk/2015/gealgae-epa-comment/</w:t>
              </w:r>
            </w:hyperlink>
            <w:r w:rsidRPr="0033362F">
              <w:rPr>
                <w:rFonts w:asciiTheme="majorBidi" w:eastAsia="Times New Roman" w:hAnsiTheme="majorBidi" w:cstheme="majorBidi"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Biofuelwatch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2016.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Beware False Promises: Algal Oils and Other Products of Synthetic Biology Aren’t About to Save the Orangutan.... But Carry Serious New Risks.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  <w:hyperlink r:id="rId13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http://www.biofuelwatch.org.uk/2016/synbio-and-palmoil-briefing/</w:t>
              </w:r>
            </w:hyperlink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33362F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Schaefer KA, Wu WH,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Colgan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DF, Tsang SH, </w:t>
            </w: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Bassuk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AG, Mahajan VB.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>Unexpected mutations after CRISPR– Cas9 editing in vivo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. </w:t>
            </w:r>
            <w:hyperlink r:id="rId14" w:tooltip="Nature methods." w:history="1">
              <w:r w:rsidRPr="0033362F">
                <w:rPr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Nat Methods.</w:t>
              </w:r>
            </w:hyperlink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2017 May 30</w:t>
            </w:r>
            <w:proofErr w:type="gram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;14</w:t>
            </w:r>
            <w:proofErr w:type="gram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(6):547-548. </w:t>
            </w:r>
            <w:proofErr w:type="spellStart"/>
            <w:proofErr w:type="gram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doi</w:t>
            </w:r>
            <w:proofErr w:type="spellEnd"/>
            <w:proofErr w:type="gram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: 10.1038/nmeth.4293.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  <w:tr w:rsidR="0033362F" w:rsidRPr="009D37FB" w:rsidTr="00B34B0E">
        <w:trPr>
          <w:jc w:val="center"/>
        </w:trPr>
        <w:tc>
          <w:tcPr>
            <w:tcW w:w="7789" w:type="dxa"/>
            <w:vAlign w:val="center"/>
          </w:tcPr>
          <w:p w:rsidR="0033362F" w:rsidRPr="0033362F" w:rsidRDefault="0033362F" w:rsidP="00B34B0E">
            <w:pPr>
              <w:pStyle w:val="ListParagraph"/>
              <w:tabs>
                <w:tab w:val="left" w:pos="720"/>
              </w:tabs>
              <w:spacing w:before="120" w:after="120" w:line="276" w:lineRule="auto"/>
              <w:ind w:left="0"/>
              <w:contextualSpacing w:val="0"/>
              <w:jc w:val="both"/>
              <w:outlineLvl w:val="0"/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>Ernsting</w:t>
            </w:r>
            <w:proofErr w:type="spellEnd"/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, A. </w:t>
            </w:r>
            <w:r w:rsidRPr="0033362F">
              <w:rPr>
                <w:rFonts w:asciiTheme="majorBidi" w:eastAsia="Times New Roman" w:hAnsiTheme="majorBidi" w:cstheme="majorBidi"/>
                <w:b/>
                <w:kern w:val="22"/>
                <w:lang w:val="en-CA"/>
              </w:rPr>
              <w:t xml:space="preserve">Precautionary approach to synthetic biology needs to be translated into effective regulation. </w:t>
            </w:r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Square Brackets May 2016(10): 26 </w:t>
            </w:r>
            <w:hyperlink r:id="rId15" w:history="1"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https://www.cbd.int/ngo/square-brackets/square-brackets-201</w:t>
              </w:r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6</w:t>
              </w:r>
              <w:r w:rsidRPr="0033362F">
                <w:rPr>
                  <w:rStyle w:val="Hyperlink"/>
                  <w:rFonts w:asciiTheme="majorBidi" w:eastAsia="Times New Roman" w:hAnsiTheme="majorBidi" w:cstheme="majorBidi"/>
                  <w:bCs/>
                  <w:kern w:val="22"/>
                  <w:lang w:val="en-CA"/>
                </w:rPr>
                <w:t>-04-en.pdf</w:t>
              </w:r>
            </w:hyperlink>
            <w:r w:rsidRPr="0033362F">
              <w:rPr>
                <w:rFonts w:asciiTheme="majorBidi" w:eastAsia="Times New Roman" w:hAnsiTheme="majorBidi" w:cstheme="majorBidi"/>
                <w:bCs/>
                <w:kern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362F" w:rsidRPr="0033362F" w:rsidRDefault="0033362F" w:rsidP="00B34B0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362F">
              <w:rPr>
                <w:rFonts w:asciiTheme="majorBidi" w:eastAsia="Times New Roman" w:hAnsiTheme="majorBidi" w:cstheme="majorBidi"/>
                <w:bCs/>
                <w:kern w:val="22"/>
              </w:rPr>
              <w:t>Biofuelwatch</w:t>
            </w:r>
            <w:proofErr w:type="spellEnd"/>
          </w:p>
        </w:tc>
      </w:tr>
    </w:tbl>
    <w:p w:rsidR="00451FCC" w:rsidRDefault="00451FCC"/>
    <w:sectPr w:rsidR="00451F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54" w:rsidRDefault="00041054" w:rsidP="00B77661">
      <w:pPr>
        <w:spacing w:after="0" w:line="240" w:lineRule="auto"/>
      </w:pPr>
      <w:r>
        <w:separator/>
      </w:r>
    </w:p>
  </w:endnote>
  <w:endnote w:type="continuationSeparator" w:id="0">
    <w:p w:rsidR="00041054" w:rsidRDefault="00041054" w:rsidP="00B7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2F" w:rsidRDefault="00333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2F" w:rsidRDefault="00333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2F" w:rsidRDefault="0033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54" w:rsidRDefault="00041054" w:rsidP="00B77661">
      <w:pPr>
        <w:spacing w:after="0" w:line="240" w:lineRule="auto"/>
      </w:pPr>
      <w:r>
        <w:separator/>
      </w:r>
    </w:p>
  </w:footnote>
  <w:footnote w:type="continuationSeparator" w:id="0">
    <w:p w:rsidR="00041054" w:rsidRDefault="00041054" w:rsidP="00B7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2F" w:rsidRDefault="00333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61" w:rsidRPr="002B3603" w:rsidRDefault="00B77661" w:rsidP="0033362F">
    <w:pPr>
      <w:pStyle w:val="Header"/>
    </w:pPr>
    <w:r>
      <w:t xml:space="preserve">Document submitted </w:t>
    </w:r>
    <w:r w:rsidRPr="005A268D">
      <w:t xml:space="preserve">by </w:t>
    </w:r>
    <w:proofErr w:type="spellStart"/>
    <w:r w:rsidR="0033362F" w:rsidRPr="0033362F">
      <w:rPr>
        <w:bCs/>
      </w:rPr>
      <w:t>Biofuelwatch</w:t>
    </w:r>
    <w:proofErr w:type="spellEnd"/>
    <w:r w:rsidR="0033362F" w:rsidRPr="0033362F">
      <w:rPr>
        <w:bCs/>
      </w:rPr>
      <w:t xml:space="preserve"> </w:t>
    </w:r>
    <w:bookmarkStart w:id="0" w:name="_GoBack"/>
    <w:bookmarkEnd w:id="0"/>
    <w:r w:rsidRPr="005A268D">
      <w:t>in response to</w:t>
    </w:r>
    <w:r>
      <w:t xml:space="preserve"> notification </w:t>
    </w:r>
    <w:r w:rsidRPr="002B3603">
      <w:rPr>
        <w:b/>
        <w:bCs/>
      </w:rPr>
      <w:t>SCBD/SPS/DC/DA/MW/86375</w:t>
    </w:r>
    <w:r w:rsidRPr="002B3603">
      <w:t> (2017-025) - 2017-03-16</w:t>
    </w:r>
    <w:r>
      <w:t xml:space="preserve">: </w:t>
    </w:r>
    <w:r w:rsidRPr="002B3603">
      <w:t>Submission of information on synthetic biology and nomination of experts to participate in the Open-ended Online Forum on Synthetic Biology</w:t>
    </w:r>
    <w:r>
      <w:t xml:space="preserve"> </w:t>
    </w:r>
  </w:p>
  <w:p w:rsidR="00B77661" w:rsidRDefault="00B77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2F" w:rsidRDefault="00333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1"/>
    <w:rsid w:val="00041054"/>
    <w:rsid w:val="0033362F"/>
    <w:rsid w:val="00451FCC"/>
    <w:rsid w:val="009C14D9"/>
    <w:rsid w:val="00B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7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661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7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61"/>
  </w:style>
  <w:style w:type="paragraph" w:styleId="Footer">
    <w:name w:val="footer"/>
    <w:basedOn w:val="Normal"/>
    <w:link w:val="Foot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61"/>
  </w:style>
  <w:style w:type="character" w:styleId="FollowedHyperlink">
    <w:name w:val="FollowedHyperlink"/>
    <w:basedOn w:val="DefaultParagraphFont"/>
    <w:uiPriority w:val="99"/>
    <w:semiHidden/>
    <w:unhideWhenUsed/>
    <w:rsid w:val="00333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7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661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7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61"/>
  </w:style>
  <w:style w:type="paragraph" w:styleId="Footer">
    <w:name w:val="footer"/>
    <w:basedOn w:val="Normal"/>
    <w:link w:val="FooterChar"/>
    <w:uiPriority w:val="99"/>
    <w:unhideWhenUsed/>
    <w:rsid w:val="00B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61"/>
  </w:style>
  <w:style w:type="character" w:styleId="FollowedHyperlink">
    <w:name w:val="FollowedHyperlink"/>
    <w:basedOn w:val="DefaultParagraphFont"/>
    <w:uiPriority w:val="99"/>
    <w:semiHidden/>
    <w:unhideWhenUsed/>
    <w:rsid w:val="00333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as.org/content/107/8/3388.full" TargetMode="External"/><Relationship Id="rId13" Type="http://schemas.openxmlformats.org/officeDocument/2006/relationships/hyperlink" Target="http://www.biofuelwatch.org.uk/2016/synbio-and-palmoil-briefin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pnas.org/content/110/10/4134.abstract" TargetMode="External"/><Relationship Id="rId12" Type="http://schemas.openxmlformats.org/officeDocument/2006/relationships/hyperlink" Target="http://www.biofuelwatch.org.uk/2015/gealgae-epa-comment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36382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d.int/ngo/square-brackets/square-brackets-2016-04-e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ofuelwatch.org.uk/2017/biofuelwatch-responds-to-first-open-pond-testing-of-gmo-alga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gcbb.12221/abstract" TargetMode="External"/><Relationship Id="rId14" Type="http://schemas.openxmlformats.org/officeDocument/2006/relationships/hyperlink" Target="https://www.ncbi.nlm.nih.gov/pubmed/285579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Abdelhakim</dc:creator>
  <cp:lastModifiedBy>Dina Abdelhakim</cp:lastModifiedBy>
  <cp:revision>2</cp:revision>
  <dcterms:created xsi:type="dcterms:W3CDTF">2017-08-29T17:17:00Z</dcterms:created>
  <dcterms:modified xsi:type="dcterms:W3CDTF">2017-08-29T17:17:00Z</dcterms:modified>
</cp:coreProperties>
</file>