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C92491">
        <w:rPr>
          <w:b/>
          <w:lang w:val="es-ES"/>
        </w:rPr>
        <w:t>1</w:t>
      </w:r>
      <w:r w:rsidR="00614F69">
        <w:rPr>
          <w:b/>
          <w:lang w:val="es-ES"/>
        </w:rPr>
        <w:t>9</w:t>
      </w:r>
      <w:r w:rsidR="000100EE">
        <w:rPr>
          <w:b/>
          <w:lang w:val="es-ES"/>
        </w:rPr>
        <w:t>/201</w:t>
      </w:r>
      <w:r w:rsidR="00CA68FA">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AA1DBD" w:rsidRDefault="00CA68FA"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t>Bayer de México, S.A. de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CA68FA"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Etapa Experimental</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A720A0" w:rsidRPr="00EC0691"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EC0691" w:rsidRDefault="00EC0691" w:rsidP="004A485E">
            <w:pPr>
              <w:jc w:val="both"/>
              <w:cnfStyle w:val="000000000000" w:firstRow="0" w:lastRow="0" w:firstColumn="0" w:lastColumn="0" w:oddVBand="0" w:evenVBand="0" w:oddHBand="0" w:evenHBand="0" w:firstRowFirstColumn="0" w:firstRowLastColumn="0" w:lastRowFirstColumn="0" w:lastRowLastColumn="0"/>
              <w:rPr>
                <w:rFonts w:cs="Calibri"/>
                <w:lang w:val="es-ES"/>
              </w:rPr>
            </w:pPr>
            <w:r w:rsidRPr="00EC0691">
              <w:rPr>
                <w:rFonts w:cs="Calibri"/>
                <w:lang w:val="es-ES"/>
              </w:rPr>
              <w:t>BCS-GHØØ2-5 x ACS-GHØØ</w:t>
            </w:r>
            <w:r w:rsidR="00EF0D0A" w:rsidRPr="00EC0691">
              <w:rPr>
                <w:rFonts w:cs="Calibri"/>
                <w:lang w:val="es-ES"/>
              </w:rPr>
              <w:t xml:space="preserve">1-3 </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9E500B" w:rsidRDefault="00A720A0" w:rsidP="004A485E">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1335F9">
              <w:rPr>
                <w:rFonts w:cs="Calibri"/>
                <w:color w:val="000000"/>
              </w:rPr>
              <w:t>Tolerancia a</w:t>
            </w:r>
            <w:r w:rsidR="007078F8">
              <w:rPr>
                <w:rFonts w:cs="Calibri"/>
                <w:color w:val="000000"/>
              </w:rPr>
              <w:t xml:space="preserve"> </w:t>
            </w:r>
            <w:r w:rsidRPr="001335F9">
              <w:rPr>
                <w:rFonts w:cs="Calibri"/>
                <w:color w:val="000000"/>
              </w:rPr>
              <w:t>l</w:t>
            </w:r>
            <w:r w:rsidR="007078F8">
              <w:rPr>
                <w:rFonts w:cs="Calibri"/>
                <w:color w:val="000000"/>
              </w:rPr>
              <w:t>os</w:t>
            </w:r>
            <w:r w:rsidRPr="001335F9">
              <w:rPr>
                <w:rFonts w:cs="Calibri"/>
                <w:color w:val="000000"/>
              </w:rPr>
              <w:t xml:space="preserve"> herbicida</w:t>
            </w:r>
            <w:r w:rsidR="007078F8">
              <w:rPr>
                <w:rFonts w:cs="Calibri"/>
                <w:color w:val="000000"/>
              </w:rPr>
              <w:t>s</w:t>
            </w:r>
            <w:r w:rsidRPr="001335F9">
              <w:rPr>
                <w:rFonts w:cs="Calibri"/>
                <w:color w:val="000000"/>
              </w:rPr>
              <w:t xml:space="preserve"> c</w:t>
            </w:r>
            <w:r w:rsidR="000100EE">
              <w:rPr>
                <w:rFonts w:cs="Calibri"/>
                <w:color w:val="000000"/>
              </w:rPr>
              <w:t>on ingrediente activo glifosato</w:t>
            </w:r>
            <w:r w:rsidR="007078F8">
              <w:rPr>
                <w:rFonts w:cs="Calibri"/>
                <w:color w:val="000000"/>
              </w:rPr>
              <w:t xml:space="preserve"> y glufosinato de amonio</w:t>
            </w:r>
            <w:r w:rsidR="000100EE">
              <w:rPr>
                <w:rFonts w:cs="Calibri"/>
                <w:color w:val="000000"/>
              </w:rPr>
              <w:t>.</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EF0D0A" w:rsidP="00EF0D0A">
            <w:pPr>
              <w:jc w:val="both"/>
              <w:cnfStyle w:val="000000000000" w:firstRow="0" w:lastRow="0" w:firstColumn="0" w:lastColumn="0" w:oddVBand="0" w:evenVBand="0" w:oddHBand="0" w:evenHBand="0" w:firstRowFirstColumn="0" w:firstRowLastColumn="0" w:lastRowFirstColumn="0" w:lastRowLastColumn="0"/>
              <w:rPr>
                <w:rFonts w:cs="Calibri"/>
              </w:rPr>
            </w:pPr>
            <w:r>
              <w:t>Baja California y Sonora.</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EF0D0A" w:rsidP="00B669F8">
            <w:pPr>
              <w:jc w:val="both"/>
              <w:cnfStyle w:val="000000100000" w:firstRow="0" w:lastRow="0" w:firstColumn="0" w:lastColumn="0" w:oddVBand="0" w:evenVBand="0" w:oddHBand="1" w:evenHBand="0" w:firstRowFirstColumn="0" w:firstRowLastColumn="0" w:lastRowFirstColumn="0" w:lastRowLastColumn="0"/>
              <w:rPr>
                <w:rFonts w:cs="Calibri"/>
              </w:rPr>
            </w:pPr>
            <w:r w:rsidRPr="00EF0D0A">
              <w:t xml:space="preserve">Región ecológica “Desierto del Alto Golfo (Altar, El Pinacate, corredor Mexicali-San Felipe, cuencas de Asunción, </w:t>
            </w:r>
            <w:proofErr w:type="spellStart"/>
            <w:r w:rsidRPr="00EF0D0A">
              <w:t>Sonoyta</w:t>
            </w:r>
            <w:proofErr w:type="spellEnd"/>
            <w:r w:rsidRPr="00EF0D0A">
              <w:t xml:space="preserve"> y San Ignacio-</w:t>
            </w:r>
            <w:proofErr w:type="spellStart"/>
            <w:r w:rsidRPr="00EF0D0A">
              <w:t>Aribaipa</w:t>
            </w:r>
            <w:proofErr w:type="spellEnd"/>
            <w:r w:rsidRPr="00EF0D0A">
              <w:t>).</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C92491" w:rsidP="00CA68FA">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Primavera </w:t>
            </w:r>
            <w:proofErr w:type="gramStart"/>
            <w:r>
              <w:rPr>
                <w:rFonts w:cs="Calibri"/>
              </w:rPr>
              <w:t>Verano</w:t>
            </w:r>
            <w:proofErr w:type="gramEnd"/>
            <w:r>
              <w:rPr>
                <w:rFonts w:cs="Calibri"/>
              </w:rPr>
              <w:t xml:space="preserve"> 201</w:t>
            </w:r>
            <w:r w:rsidR="00CA68FA">
              <w:rPr>
                <w:rFonts w:cs="Calibri"/>
              </w:rPr>
              <w:t>7</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27A47" w:rsidRPr="00657D2D" w:rsidRDefault="00EC0691" w:rsidP="00E27A47">
            <w:pPr>
              <w:pStyle w:val="Prrafodelista"/>
              <w:numPr>
                <w:ilvl w:val="0"/>
                <w:numId w:val="24"/>
              </w:numPr>
              <w:tabs>
                <w:tab w:val="left" w:pos="1318"/>
              </w:tabs>
              <w:rPr>
                <w:lang w:val="es-ES"/>
              </w:rPr>
            </w:pPr>
            <w:r>
              <w:rPr>
                <w:b w:val="0"/>
                <w:lang w:val="es-ES"/>
              </w:rPr>
              <w:t xml:space="preserve">No existen antecedentes de liberaciones previas </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F0D0A" w:rsidRPr="00EF0D0A" w:rsidRDefault="00EF0D0A" w:rsidP="00EC0691">
            <w:pPr>
              <w:pStyle w:val="Prrafodelista"/>
              <w:numPr>
                <w:ilvl w:val="0"/>
                <w:numId w:val="26"/>
              </w:numPr>
              <w:tabs>
                <w:tab w:val="left" w:pos="1318"/>
              </w:tabs>
              <w:spacing w:line="276" w:lineRule="auto"/>
              <w:jc w:val="both"/>
              <w:rPr>
                <w:b w:val="0"/>
              </w:rPr>
            </w:pPr>
            <w:r w:rsidRPr="00EF0D0A">
              <w:rPr>
                <w:b w:val="0"/>
              </w:rPr>
              <w:t xml:space="preserve">Evaluar la equivalencia agronómica y fenotípica de la tecnología GlyTol® </w:t>
            </w:r>
            <w:proofErr w:type="spellStart"/>
            <w:r w:rsidRPr="00EF0D0A">
              <w:rPr>
                <w:b w:val="0"/>
              </w:rPr>
              <w:t>LibertyLink</w:t>
            </w:r>
            <w:proofErr w:type="spellEnd"/>
            <w:r w:rsidRPr="00EF0D0A">
              <w:rPr>
                <w:b w:val="0"/>
              </w:rPr>
              <w:t xml:space="preserve">® en relación con el algodón convencional. </w:t>
            </w:r>
          </w:p>
          <w:p w:rsidR="00EF0D0A" w:rsidRPr="00EF0D0A" w:rsidRDefault="00EF0D0A" w:rsidP="00EC0691">
            <w:pPr>
              <w:pStyle w:val="Prrafodelista"/>
              <w:numPr>
                <w:ilvl w:val="0"/>
                <w:numId w:val="26"/>
              </w:numPr>
              <w:tabs>
                <w:tab w:val="left" w:pos="1318"/>
              </w:tabs>
              <w:spacing w:line="276" w:lineRule="auto"/>
              <w:jc w:val="both"/>
              <w:rPr>
                <w:b w:val="0"/>
              </w:rPr>
            </w:pPr>
            <w:r w:rsidRPr="00EF0D0A">
              <w:rPr>
                <w:b w:val="0"/>
              </w:rPr>
              <w:t xml:space="preserve">Evaluar la efectividad biológica de la tecnología GlyTol® </w:t>
            </w:r>
            <w:proofErr w:type="spellStart"/>
            <w:r w:rsidRPr="00EF0D0A">
              <w:rPr>
                <w:b w:val="0"/>
              </w:rPr>
              <w:t>LibertyLink</w:t>
            </w:r>
            <w:proofErr w:type="spellEnd"/>
            <w:r w:rsidRPr="00EF0D0A">
              <w:rPr>
                <w:b w:val="0"/>
              </w:rPr>
              <w:t xml:space="preserve">® para tolerar aplicaciones totales de los herbicidas glifosato y glufosinato de amonio, así como el control de maleza y </w:t>
            </w:r>
            <w:proofErr w:type="spellStart"/>
            <w:r w:rsidRPr="00EF0D0A">
              <w:rPr>
                <w:b w:val="0"/>
              </w:rPr>
              <w:t>fitotoxidad</w:t>
            </w:r>
            <w:proofErr w:type="spellEnd"/>
            <w:r w:rsidRPr="00EF0D0A">
              <w:rPr>
                <w:b w:val="0"/>
              </w:rPr>
              <w:t xml:space="preserve"> al cultivo del algodón. </w:t>
            </w:r>
          </w:p>
          <w:p w:rsidR="00EF0D0A" w:rsidRPr="00EF0D0A" w:rsidRDefault="00EF0D0A" w:rsidP="00EC0691">
            <w:pPr>
              <w:pStyle w:val="Prrafodelista"/>
              <w:numPr>
                <w:ilvl w:val="0"/>
                <w:numId w:val="26"/>
              </w:numPr>
              <w:tabs>
                <w:tab w:val="left" w:pos="1318"/>
              </w:tabs>
              <w:spacing w:line="276" w:lineRule="auto"/>
              <w:jc w:val="both"/>
              <w:rPr>
                <w:b w:val="0"/>
              </w:rPr>
            </w:pPr>
            <w:r w:rsidRPr="00EF0D0A">
              <w:rPr>
                <w:b w:val="0"/>
              </w:rPr>
              <w:t xml:space="preserve">Evaluar la dinámica poblacional de maleza en el sitio de liberación (abundancia, frecuencia y diversidad de especies). </w:t>
            </w:r>
          </w:p>
          <w:p w:rsidR="00362E2B" w:rsidRPr="00EF0D0A" w:rsidRDefault="00EF0D0A" w:rsidP="00EC0691">
            <w:pPr>
              <w:pStyle w:val="Prrafodelista"/>
              <w:numPr>
                <w:ilvl w:val="0"/>
                <w:numId w:val="26"/>
              </w:numPr>
              <w:tabs>
                <w:tab w:val="left" w:pos="1318"/>
              </w:tabs>
              <w:spacing w:line="276" w:lineRule="auto"/>
              <w:jc w:val="both"/>
              <w:rPr>
                <w:b w:val="0"/>
                <w:lang w:val="es-ES"/>
              </w:rPr>
            </w:pPr>
            <w:r w:rsidRPr="00EF0D0A">
              <w:rPr>
                <w:b w:val="0"/>
              </w:rPr>
              <w:t xml:space="preserve">Evaluar la presencia, comportamiento e impacto de plagas sobre el algodón GlyTol® </w:t>
            </w:r>
            <w:proofErr w:type="spellStart"/>
            <w:r w:rsidRPr="00EF0D0A">
              <w:rPr>
                <w:b w:val="0"/>
              </w:rPr>
              <w:t>LibertyLink</w:t>
            </w:r>
            <w:proofErr w:type="spellEnd"/>
            <w:r w:rsidRPr="00EF0D0A">
              <w:rPr>
                <w:b w:val="0"/>
              </w:rPr>
              <w:t>® con relación al algodón convencional.</w:t>
            </w:r>
          </w:p>
        </w:tc>
      </w:tr>
    </w:tbl>
    <w:p w:rsidR="00F91B20" w:rsidRDefault="00F91B20" w:rsidP="001B7EF2"/>
    <w:p w:rsidR="00EC0691" w:rsidRDefault="00EC0691" w:rsidP="001B7EF2"/>
    <w:p w:rsidR="00EC0691" w:rsidRDefault="00EC0691"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lastRenderedPageBreak/>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F51091" w:rsidRPr="000C6122" w:rsidRDefault="00F51091" w:rsidP="00F51091">
            <w:pPr>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Pr>
                <w:bCs/>
                <w:i/>
                <w:color w:val="000000" w:themeColor="text1"/>
                <w:lang w:val="en-US"/>
              </w:rPr>
              <w:t>Zea mays</w:t>
            </w:r>
            <w:r w:rsidR="00EF0D0A">
              <w:rPr>
                <w:bCs/>
                <w:i/>
                <w:color w:val="000000" w:themeColor="text1"/>
                <w:lang w:val="en-US"/>
              </w:rPr>
              <w:t xml:space="preserve"> y</w:t>
            </w:r>
            <w:r>
              <w:rPr>
                <w:bCs/>
                <w:color w:val="000000" w:themeColor="text1"/>
                <w:lang w:val="en-US"/>
              </w:rPr>
              <w:t xml:space="preserve"> </w:t>
            </w:r>
            <w:r w:rsidRPr="000C6122">
              <w:rPr>
                <w:bCs/>
                <w:i/>
                <w:color w:val="000000" w:themeColor="text1"/>
                <w:lang w:val="en-US"/>
              </w:rPr>
              <w:t>Streptomyces</w:t>
            </w:r>
          </w:p>
          <w:p w:rsidR="00543515" w:rsidRPr="00F51091" w:rsidRDefault="00EF0D0A" w:rsidP="00EF0D0A">
            <w:pPr>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Pr>
                <w:bCs/>
                <w:i/>
                <w:color w:val="000000" w:themeColor="text1"/>
                <w:lang w:val="en-US"/>
              </w:rPr>
              <w:t>h</w:t>
            </w:r>
            <w:r w:rsidR="00F51091" w:rsidRPr="000C6122">
              <w:rPr>
                <w:bCs/>
                <w:i/>
                <w:color w:val="000000" w:themeColor="text1"/>
                <w:lang w:val="en-US"/>
              </w:rPr>
              <w:t>ygroscopicus</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5966F5">
              <w:rPr>
                <w:color w:val="000000" w:themeColor="text1"/>
                <w:lang w:val="en-US"/>
              </w:rPr>
            </w:r>
            <w:r w:rsidR="005966F5">
              <w:rPr>
                <w:color w:val="000000" w:themeColor="text1"/>
                <w:lang w:val="en-US"/>
              </w:rPr>
              <w:fldChar w:fldCharType="separate"/>
            </w:r>
            <w:r w:rsidRPr="00E273DD">
              <w:rPr>
                <w:color w:val="000000" w:themeColor="text1"/>
                <w:lang w:val="en-US"/>
              </w:rPr>
              <w:fldChar w:fldCharType="end"/>
            </w:r>
            <w:bookmarkEnd w:id="0"/>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5966F5">
              <w:rPr>
                <w:color w:val="000000" w:themeColor="text1"/>
                <w:lang w:val="en-US"/>
              </w:rPr>
            </w:r>
            <w:r w:rsidR="005966F5">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D0A" w:rsidRPr="00EF0D0A" w:rsidRDefault="00EF0D0A" w:rsidP="00EC0691">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lang w:val="es-MX" w:eastAsia="es-MX"/>
              </w:rPr>
            </w:pPr>
            <w:r w:rsidRPr="00EF0D0A">
              <w:rPr>
                <w:rFonts w:asciiTheme="minorHAnsi" w:hAnsiTheme="minorHAnsi" w:cs="Times New Roman"/>
                <w:sz w:val="22"/>
                <w:szCs w:val="22"/>
              </w:rPr>
              <w:t>El algodón GL fue desarrollado mediante cruza mendeliana convencional entre los eventos GHB614 y LLCotton25 de Bayer. El evento GHB614 se produjo mediante la inserción estable de la secuencia codificante para la proteína 2mEPSPS derivada del maíz (</w:t>
            </w:r>
            <w:r w:rsidRPr="00EF0D0A">
              <w:rPr>
                <w:rFonts w:asciiTheme="minorHAnsi" w:hAnsiTheme="minorHAnsi" w:cs="Times New Roman"/>
                <w:i/>
                <w:iCs/>
                <w:sz w:val="22"/>
                <w:szCs w:val="22"/>
              </w:rPr>
              <w:t xml:space="preserve">Zea mays </w:t>
            </w:r>
            <w:r w:rsidRPr="00EF0D0A">
              <w:rPr>
                <w:rFonts w:asciiTheme="minorHAnsi" w:hAnsiTheme="minorHAnsi" w:cs="Times New Roman"/>
                <w:sz w:val="22"/>
                <w:szCs w:val="22"/>
              </w:rPr>
              <w:t>L.). El evento LLCotton25 se produjo a través de la inserción estable de las secuencias codificantes de la proteína PAT/</w:t>
            </w:r>
            <w:r w:rsidRPr="00EF0D0A">
              <w:rPr>
                <w:rFonts w:asciiTheme="minorHAnsi" w:hAnsiTheme="minorHAnsi" w:cs="Times New Roman"/>
                <w:i/>
                <w:iCs/>
                <w:sz w:val="22"/>
                <w:szCs w:val="22"/>
              </w:rPr>
              <w:t xml:space="preserve">bar </w:t>
            </w:r>
            <w:r w:rsidRPr="00EF0D0A">
              <w:rPr>
                <w:rFonts w:asciiTheme="minorHAnsi" w:hAnsiTheme="minorHAnsi" w:cs="Times New Roman"/>
                <w:sz w:val="22"/>
                <w:szCs w:val="22"/>
              </w:rPr>
              <w:t xml:space="preserve">derivado de la bacteria </w:t>
            </w:r>
            <w:r w:rsidRPr="00EF0D0A">
              <w:rPr>
                <w:rFonts w:asciiTheme="minorHAnsi" w:hAnsiTheme="minorHAnsi" w:cs="Times New Roman"/>
                <w:i/>
                <w:iCs/>
                <w:sz w:val="22"/>
                <w:szCs w:val="22"/>
              </w:rPr>
              <w:t>Streptomyces hygroscopicus</w:t>
            </w:r>
            <w:r w:rsidRPr="00EF0D0A">
              <w:rPr>
                <w:rFonts w:asciiTheme="minorHAnsi" w:hAnsiTheme="minorHAnsi" w:cs="Times New Roman"/>
                <w:sz w:val="22"/>
                <w:szCs w:val="22"/>
              </w:rPr>
              <w:t>. La combinación de estos eventos en el algodón GL provee de tolerancia a los herbicidas glifosato y glufosinato de amonio.</w:t>
            </w:r>
          </w:p>
          <w:p w:rsidR="00AE5929" w:rsidRPr="00EF0D0A" w:rsidRDefault="00EF0D0A" w:rsidP="00EC0691">
            <w:pPr>
              <w:tabs>
                <w:tab w:val="left" w:pos="1087"/>
              </w:tabs>
              <w:spacing w:line="276" w:lineRule="auto"/>
              <w:jc w:val="both"/>
              <w:cnfStyle w:val="000000000000" w:firstRow="0" w:lastRow="0" w:firstColumn="0" w:lastColumn="0" w:oddVBand="0" w:evenVBand="0" w:oddHBand="0" w:evenHBand="0" w:firstRowFirstColumn="0" w:firstRowLastColumn="0" w:lastRowFirstColumn="0" w:lastRowLastColumn="0"/>
            </w:pPr>
            <w:r w:rsidRPr="00EF0D0A">
              <w:rPr>
                <w:lang w:eastAsia="es-MX"/>
              </w:rPr>
              <w:t>En adición al análisis de integridad y estabilidad estructural descrito anteriormente, se determinaron los niveles de expresión de las proteínas 2mEPSPS y PAT/</w:t>
            </w:r>
            <w:r w:rsidRPr="00EF0D0A">
              <w:rPr>
                <w:i/>
                <w:iCs/>
                <w:lang w:eastAsia="es-MX"/>
              </w:rPr>
              <w:t xml:space="preserve">bar </w:t>
            </w:r>
            <w:r w:rsidRPr="00EF0D0A">
              <w:rPr>
                <w:lang w:eastAsia="es-MX"/>
              </w:rPr>
              <w:t>para el evento apilado GL en hoja, cuadros y semilla en distintas etapas de desarrollo de las plantas (V4-V7, inicio de cuadros y madurez). El análisis de expresión de las proteínas fue realizado a partir de muestras de ensayos de campo con y sin aplicaciones de herbicida, establecidos en regiones representativas para la producción de algodón en Estados Unidos durante el ciclo 2012.</w:t>
            </w:r>
            <w:r w:rsidRPr="00EF0D0A">
              <w:tab/>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EF0D0A" w:rsidRDefault="00EF0D0A" w:rsidP="00EF0D0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2"/>
                <w:szCs w:val="22"/>
                <w:lang w:val="es-MX" w:eastAsia="es-MX"/>
              </w:rPr>
            </w:pPr>
            <w:r w:rsidRPr="00EF0D0A">
              <w:rPr>
                <w:rFonts w:asciiTheme="minorHAnsi" w:hAnsiTheme="minorHAnsi" w:cs="Times New Roman"/>
                <w:color w:val="auto"/>
                <w:sz w:val="22"/>
                <w:szCs w:val="22"/>
                <w:lang w:val="es-MX" w:eastAsia="es-MX"/>
              </w:rPr>
              <w:t xml:space="preserve">En el caso en el cual ocurriera recombinación que involucrara los insertos en el evento GlyTol® </w:t>
            </w:r>
            <w:proofErr w:type="spellStart"/>
            <w:r w:rsidRPr="00EF0D0A">
              <w:rPr>
                <w:rFonts w:asciiTheme="minorHAnsi" w:hAnsiTheme="minorHAnsi" w:cs="Times New Roman"/>
                <w:color w:val="auto"/>
                <w:sz w:val="22"/>
                <w:szCs w:val="22"/>
                <w:lang w:val="es-MX" w:eastAsia="es-MX"/>
              </w:rPr>
              <w:t>LibertyLink</w:t>
            </w:r>
            <w:proofErr w:type="spellEnd"/>
            <w:r w:rsidRPr="00EF0D0A">
              <w:rPr>
                <w:rFonts w:asciiTheme="minorHAnsi" w:hAnsiTheme="minorHAnsi" w:cs="Times New Roman"/>
                <w:color w:val="auto"/>
                <w:sz w:val="22"/>
                <w:szCs w:val="22"/>
                <w:lang w:val="es-MX" w:eastAsia="es-MX"/>
              </w:rPr>
              <w:t>®, éste sería un proceso de translocación entre las secuencias que son homólogas entre los insertos de GHB614 y LLCotton25, limitadas al promotor 35S. La consecuencia posible sería la modificación del nivel de expresión de los genes afectados y no una modificación de la calidad de la proteína producida.</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F1B" w:rsidRPr="00EF0D0A" w:rsidRDefault="00EF0D0A" w:rsidP="00EC0691">
            <w:pPr>
              <w:spacing w:line="276" w:lineRule="auto"/>
              <w:jc w:val="both"/>
              <w:cnfStyle w:val="000000000000" w:firstRow="0" w:lastRow="0" w:firstColumn="0" w:lastColumn="0" w:oddVBand="0" w:evenVBand="0" w:oddHBand="0" w:evenHBand="0" w:firstRowFirstColumn="0" w:firstRowLastColumn="0" w:lastRowFirstColumn="0" w:lastRowLastColumn="0"/>
              <w:rPr>
                <w:rFonts w:eastAsia="Batang"/>
                <w:kern w:val="18"/>
              </w:rPr>
            </w:pPr>
            <w:r w:rsidRPr="00EF0D0A">
              <w:t xml:space="preserve">La presencia de malezas es uno de los principales problemas que limitan la producción del cultivo de algodón. Las malezas presentan una alta adaptación a las áreas disturbadas por las labores agrícolas y si no son controladas oportuna y eficientemente, disminuyen significativamente el rendimiento y la calidad de fibra del algodón. La competencia de la maleza afecta el desarrollo y rendimiento del algodón y su severidad depende de las malezas presentes, densidad del cultivo y la maleza, época de emergencia de la maleza, sistema de siembra, condición de humedad, nivel de fertilidad del suelo y duración del período de competencia, entre otros. En general, la competencia es más crítica durante la primera etapa del desarrollo vegetativo del cultivo. Lo anterior ha dado como resultado la </w:t>
            </w:r>
            <w:r w:rsidRPr="00EF0D0A">
              <w:lastRenderedPageBreak/>
              <w:t>definición de este lapso como el período crítico de competencia (PCC): el tiempo máximo que el cultivo tolera la competencia de maleza sin reducciones significativas de su rendimiento y el tiempo mínimo de ausencia de maleza que requiere el cultivo para expresar su máximo rendimiento. En este aspecto, se considera que las reducciones significativas o umbral económico ocurren cuando las pérdidas de rendimiento igualan al costo de control de maleza. Con fines prácticos se ha considerado un 5% de reducción de rendimiento como el umbral económico en la mayoría de los cultivos anuales. Además de la competencia, existe otro tipo de daños causados por la presencia de maleza en algodón, comúnmente llamados daños indirectos. Estos daños incluyen: mayor incidencia de insectos y patógenos que utilizan a las malezas como hospederas alternantes; disminución en la calidad de la producción por el incremento de humedad e impurezas en la fibra; dificultad de cosecha mecánica y depreciación de los terrenos agrícolas por altas infestaciones de maleza.</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lastRenderedPageBreak/>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543515" w:rsidTr="00E273DD">
        <w:trPr>
          <w:trHeight w:val="10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F0D0A" w:rsidRDefault="00EF0D0A" w:rsidP="00EC0691">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F0D0A">
              <w:rPr>
                <w:rFonts w:asciiTheme="minorHAnsi" w:hAnsiTheme="minorHAnsi" w:cs="Times New Roman"/>
                <w:sz w:val="22"/>
                <w:szCs w:val="22"/>
                <w:lang w:val="es-MX" w:eastAsia="es-MX"/>
              </w:rPr>
              <w:t xml:space="preserve">Once especies diploides de </w:t>
            </w:r>
            <w:r w:rsidRPr="00EF0D0A">
              <w:rPr>
                <w:rFonts w:asciiTheme="minorHAnsi" w:hAnsiTheme="minorHAnsi" w:cs="Times New Roman"/>
                <w:i/>
                <w:iCs/>
                <w:sz w:val="22"/>
                <w:szCs w:val="22"/>
                <w:lang w:val="es-MX" w:eastAsia="es-MX"/>
              </w:rPr>
              <w:t xml:space="preserve">Gossypium </w:t>
            </w:r>
            <w:r w:rsidRPr="00EF0D0A">
              <w:rPr>
                <w:rFonts w:asciiTheme="minorHAnsi" w:hAnsiTheme="minorHAnsi" w:cs="Times New Roman"/>
                <w:sz w:val="22"/>
                <w:szCs w:val="22"/>
                <w:lang w:val="es-MX" w:eastAsia="es-MX"/>
              </w:rPr>
              <w:t>se presentan en México como parte de la vegetación natural. Todas las especies se agrupan taxonómicamente en el mismo subgénero (</w:t>
            </w:r>
            <w:proofErr w:type="spellStart"/>
            <w:r w:rsidRPr="00EF0D0A">
              <w:rPr>
                <w:rFonts w:asciiTheme="minorHAnsi" w:hAnsiTheme="minorHAnsi" w:cs="Times New Roman"/>
                <w:sz w:val="22"/>
                <w:szCs w:val="22"/>
                <w:lang w:val="es-MX" w:eastAsia="es-MX"/>
              </w:rPr>
              <w:t>Houzingenia</w:t>
            </w:r>
            <w:proofErr w:type="spellEnd"/>
            <w:r w:rsidRPr="00EF0D0A">
              <w:rPr>
                <w:rFonts w:asciiTheme="minorHAnsi" w:hAnsiTheme="minorHAnsi" w:cs="Times New Roman"/>
                <w:sz w:val="22"/>
                <w:szCs w:val="22"/>
                <w:lang w:val="es-MX" w:eastAsia="es-MX"/>
              </w:rPr>
              <w:t xml:space="preserve">) y pertenecen al grupo cromosómico del genoma D, al igual que uno de los </w:t>
            </w:r>
            <w:proofErr w:type="spellStart"/>
            <w:r w:rsidRPr="00EF0D0A">
              <w:rPr>
                <w:rFonts w:asciiTheme="minorHAnsi" w:hAnsiTheme="minorHAnsi" w:cs="Times New Roman"/>
                <w:sz w:val="22"/>
                <w:szCs w:val="22"/>
                <w:lang w:val="es-MX" w:eastAsia="es-MX"/>
              </w:rPr>
              <w:t>subgenomas</w:t>
            </w:r>
            <w:proofErr w:type="spellEnd"/>
            <w:r w:rsidRPr="00EF0D0A">
              <w:rPr>
                <w:rFonts w:asciiTheme="minorHAnsi" w:hAnsiTheme="minorHAnsi" w:cs="Times New Roman"/>
                <w:sz w:val="22"/>
                <w:szCs w:val="22"/>
                <w:lang w:val="es-MX" w:eastAsia="es-MX"/>
              </w:rPr>
              <w:t xml:space="preserve"> del algodón tetraploide cultivado. Sin embargo las especies son divergentes y por lo mismo se agrupan en 2 Secciones y 4 Subsecciones dentro de la clasificación genérica de </w:t>
            </w:r>
            <w:r w:rsidRPr="00EF0D0A">
              <w:rPr>
                <w:rFonts w:asciiTheme="minorHAnsi" w:hAnsiTheme="minorHAnsi" w:cs="Times New Roman"/>
                <w:i/>
                <w:iCs/>
                <w:sz w:val="22"/>
                <w:szCs w:val="22"/>
                <w:lang w:val="es-MX" w:eastAsia="es-MX"/>
              </w:rPr>
              <w:t xml:space="preserve">Gossypium. </w:t>
            </w:r>
            <w:r w:rsidRPr="00EF0D0A">
              <w:rPr>
                <w:rFonts w:asciiTheme="minorHAnsi" w:hAnsiTheme="minorHAnsi" w:cs="Times New Roman"/>
                <w:sz w:val="22"/>
                <w:szCs w:val="22"/>
              </w:rPr>
              <w:t xml:space="preserve">Entre los algodones cultivados, </w:t>
            </w:r>
            <w:r w:rsidRPr="00EF0D0A">
              <w:rPr>
                <w:rFonts w:asciiTheme="minorHAnsi" w:hAnsiTheme="minorHAnsi" w:cs="Times New Roman"/>
                <w:i/>
                <w:iCs/>
                <w:sz w:val="22"/>
                <w:szCs w:val="22"/>
              </w:rPr>
              <w:t xml:space="preserve">G. hirsutum </w:t>
            </w:r>
            <w:r w:rsidRPr="00EF0D0A">
              <w:rPr>
                <w:rFonts w:asciiTheme="minorHAnsi" w:hAnsiTheme="minorHAnsi" w:cs="Times New Roman"/>
                <w:sz w:val="22"/>
                <w:szCs w:val="22"/>
              </w:rPr>
              <w:t xml:space="preserve">y </w:t>
            </w:r>
            <w:r w:rsidRPr="00EF0D0A">
              <w:rPr>
                <w:rFonts w:asciiTheme="minorHAnsi" w:hAnsiTheme="minorHAnsi" w:cs="Times New Roman"/>
                <w:i/>
                <w:iCs/>
                <w:sz w:val="22"/>
                <w:szCs w:val="22"/>
              </w:rPr>
              <w:t xml:space="preserve">G. barbadense </w:t>
            </w:r>
            <w:r w:rsidRPr="00EF0D0A">
              <w:rPr>
                <w:rFonts w:asciiTheme="minorHAnsi" w:hAnsiTheme="minorHAnsi" w:cs="Times New Roman"/>
                <w:sz w:val="22"/>
                <w:szCs w:val="22"/>
              </w:rPr>
              <w:t xml:space="preserve">(esto también incluye a las especies diploides </w:t>
            </w:r>
            <w:r w:rsidRPr="00EF0D0A">
              <w:rPr>
                <w:rFonts w:asciiTheme="minorHAnsi" w:hAnsiTheme="minorHAnsi" w:cs="Times New Roman"/>
                <w:i/>
                <w:iCs/>
                <w:sz w:val="22"/>
                <w:szCs w:val="22"/>
              </w:rPr>
              <w:t xml:space="preserve">G. </w:t>
            </w:r>
            <w:proofErr w:type="spellStart"/>
            <w:r w:rsidRPr="00EF0D0A">
              <w:rPr>
                <w:rFonts w:asciiTheme="minorHAnsi" w:hAnsiTheme="minorHAnsi" w:cs="Times New Roman"/>
                <w:i/>
                <w:iCs/>
                <w:sz w:val="22"/>
                <w:szCs w:val="22"/>
              </w:rPr>
              <w:t>arboreum</w:t>
            </w:r>
            <w:r w:rsidRPr="00EF0D0A">
              <w:rPr>
                <w:rFonts w:asciiTheme="minorHAnsi" w:hAnsiTheme="minorHAnsi" w:cs="Times New Roman"/>
                <w:sz w:val="22"/>
                <w:szCs w:val="22"/>
              </w:rPr>
              <w:t>y</w:t>
            </w:r>
            <w:proofErr w:type="spellEnd"/>
            <w:r w:rsidRPr="00EF0D0A">
              <w:rPr>
                <w:rFonts w:asciiTheme="minorHAnsi" w:hAnsiTheme="minorHAnsi" w:cs="Times New Roman"/>
                <w:sz w:val="22"/>
                <w:szCs w:val="22"/>
              </w:rPr>
              <w:t xml:space="preserve"> </w:t>
            </w:r>
            <w:r w:rsidRPr="00EF0D0A">
              <w:rPr>
                <w:rFonts w:asciiTheme="minorHAnsi" w:hAnsiTheme="minorHAnsi" w:cs="Times New Roman"/>
                <w:i/>
                <w:iCs/>
                <w:sz w:val="22"/>
                <w:szCs w:val="22"/>
              </w:rPr>
              <w:t xml:space="preserve">G. </w:t>
            </w:r>
            <w:proofErr w:type="spellStart"/>
            <w:r w:rsidRPr="00EF0D0A">
              <w:rPr>
                <w:rFonts w:asciiTheme="minorHAnsi" w:hAnsiTheme="minorHAnsi" w:cs="Times New Roman"/>
                <w:i/>
                <w:iCs/>
                <w:sz w:val="22"/>
                <w:szCs w:val="22"/>
              </w:rPr>
              <w:t>herbaceum</w:t>
            </w:r>
            <w:proofErr w:type="spellEnd"/>
            <w:r w:rsidRPr="00EF0D0A">
              <w:rPr>
                <w:rFonts w:asciiTheme="minorHAnsi" w:hAnsiTheme="minorHAnsi" w:cs="Times New Roman"/>
                <w:sz w:val="22"/>
                <w:szCs w:val="22"/>
              </w:rPr>
              <w:t xml:space="preserve">), la introgresión para obtener una </w:t>
            </w:r>
            <w:proofErr w:type="spellStart"/>
            <w:r w:rsidRPr="00EF0D0A">
              <w:rPr>
                <w:rFonts w:asciiTheme="minorHAnsi" w:hAnsiTheme="minorHAnsi" w:cs="Times New Roman"/>
                <w:sz w:val="22"/>
                <w:szCs w:val="22"/>
              </w:rPr>
              <w:t>ploidía</w:t>
            </w:r>
            <w:proofErr w:type="spellEnd"/>
            <w:r w:rsidRPr="00EF0D0A">
              <w:rPr>
                <w:rFonts w:asciiTheme="minorHAnsi" w:hAnsiTheme="minorHAnsi" w:cs="Times New Roman"/>
                <w:sz w:val="22"/>
                <w:szCs w:val="22"/>
              </w:rPr>
              <w:t xml:space="preserve"> diferente o tipo de genoma es común históricamente debido a la expansión del rango de distribución natural del algodón ocasionado por la intervención humana y su cultivo.</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43515"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F0D0A" w:rsidRDefault="00EF0D0A" w:rsidP="0003534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EF0D0A">
              <w:rPr>
                <w:rFonts w:asciiTheme="minorHAnsi" w:hAnsiTheme="minorHAnsi" w:cs="Times New Roman"/>
                <w:sz w:val="22"/>
                <w:szCs w:val="22"/>
                <w:lang w:val="es-MX" w:eastAsia="es-MX"/>
              </w:rPr>
              <w:t xml:space="preserve">Para que sea considerada la posibilidad de hibridación entre algodón cultivado y especies silvestres de </w:t>
            </w:r>
            <w:r w:rsidRPr="00EF0D0A">
              <w:rPr>
                <w:rFonts w:asciiTheme="minorHAnsi" w:hAnsiTheme="minorHAnsi" w:cs="Times New Roman"/>
                <w:i/>
                <w:iCs/>
                <w:sz w:val="22"/>
                <w:szCs w:val="22"/>
                <w:lang w:val="es-MX" w:eastAsia="es-MX"/>
              </w:rPr>
              <w:t xml:space="preserve">Gossypium </w:t>
            </w:r>
            <w:r w:rsidRPr="00EF0D0A">
              <w:rPr>
                <w:rFonts w:asciiTheme="minorHAnsi" w:hAnsiTheme="minorHAnsi" w:cs="Times New Roman"/>
                <w:sz w:val="22"/>
                <w:szCs w:val="22"/>
                <w:lang w:val="es-MX" w:eastAsia="es-MX"/>
              </w:rPr>
              <w:t>se tienen que cumplir con requisitos de presencia y compatibilidad sexual y genética.</w:t>
            </w:r>
          </w:p>
        </w:tc>
      </w:tr>
      <w:tr w:rsidR="005966F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6F5" w:rsidRDefault="005966F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6F5" w:rsidRPr="00C11DA0" w:rsidDel="00CA0E1A" w:rsidRDefault="005966F5" w:rsidP="00353BE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lang w:val="es-ES"/>
              </w:rPr>
            </w:pPr>
            <w:r>
              <w:rPr>
                <w:lang w:val="es-ES"/>
              </w:rPr>
              <w:t>Existe la probabilidad de interacción con organismos no blanco presentes en los cultivos  de algodón, sin embargo, en los diferentes estudios reportados en la literatura no han mostrado afectación</w:t>
            </w:r>
          </w:p>
        </w:tc>
      </w:tr>
      <w:tr w:rsidR="005966F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6F5" w:rsidRDefault="005966F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6F5" w:rsidRPr="00186780" w:rsidDel="00CA0E1A" w:rsidRDefault="005966F5"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E3145A" w:rsidRDefault="00E3145A" w:rsidP="00E3145A">
      <w:pPr>
        <w:spacing w:after="0" w:line="240" w:lineRule="auto"/>
        <w:rPr>
          <w:rFonts w:eastAsia="Times New Roman" w:cstheme="minorHAnsi"/>
          <w:sz w:val="20"/>
          <w:szCs w:val="20"/>
          <w:lang w:val="es-ES"/>
        </w:rPr>
      </w:pP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lastRenderedPageBreak/>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5966F5" w:rsidRDefault="005966F5" w:rsidP="005966F5">
      <w:pPr>
        <w:spacing w:after="0" w:line="240" w:lineRule="auto"/>
        <w:jc w:val="right"/>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5966F5" w:rsidRPr="00C265F8" w:rsidTr="00353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5966F5" w:rsidRPr="00C265F8" w:rsidRDefault="005966F5" w:rsidP="00353BE1">
            <w:pPr>
              <w:rPr>
                <w:rFonts w:eastAsia="Times New Roman" w:cstheme="minorHAnsi"/>
                <w:lang w:val="es-ES"/>
              </w:rPr>
            </w:pPr>
            <w:r w:rsidRPr="00C265F8">
              <w:rPr>
                <w:rFonts w:eastAsia="Times New Roman" w:cstheme="minorHAnsi"/>
                <w:lang w:val="es-ES"/>
              </w:rPr>
              <w:t>Preliberación</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5966F5" w:rsidRPr="00202B0F" w:rsidRDefault="005966F5" w:rsidP="00353BE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5966F5" w:rsidRPr="004F18A6" w:rsidRDefault="005966F5" w:rsidP="00353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rPr>
              <w:t>Proporcionar</w:t>
            </w:r>
            <w:r>
              <w:rPr>
                <w:rFonts w:eastAsia="Times New Roman" w:cstheme="minorHAnsi"/>
              </w:rPr>
              <w:t xml:space="preserve"> capacitación a todo el personal involucrado en la liberación en temas de biotecnología vegetal, acciones en materia de bioseguridad, las implicaciones y responsabilidades legales que contrae la utilización de OGM.</w:t>
            </w:r>
          </w:p>
        </w:tc>
      </w:tr>
      <w:tr w:rsidR="005966F5" w:rsidRPr="002C7408" w:rsidTr="00353BE1">
        <w:tc>
          <w:tcPr>
            <w:cnfStyle w:val="001000000000" w:firstRow="0" w:lastRow="0" w:firstColumn="1" w:lastColumn="0" w:oddVBand="0" w:evenVBand="0" w:oddHBand="0" w:evenHBand="0" w:firstRowFirstColumn="0" w:firstRowLastColumn="0" w:lastRowFirstColumn="0" w:lastRowLastColumn="0"/>
            <w:tcW w:w="485" w:type="dxa"/>
          </w:tcPr>
          <w:p w:rsidR="005966F5" w:rsidRPr="004F18A6" w:rsidRDefault="005966F5" w:rsidP="00353BE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5966F5" w:rsidRPr="004F18A6" w:rsidRDefault="005966F5" w:rsidP="00353BE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entregar a la SAGARPA el material de referencia del evento.</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5966F5" w:rsidRPr="004F18A6" w:rsidRDefault="005966F5" w:rsidP="00353BE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5966F5" w:rsidRPr="004F18A6" w:rsidRDefault="005966F5" w:rsidP="00353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que los empaques y sacos que contienen semilla de algodón estén debidamente identificados con etiquetas, deben ser de un material resistente a rupturas</w:t>
            </w:r>
          </w:p>
        </w:tc>
      </w:tr>
      <w:tr w:rsidR="005966F5" w:rsidRPr="002C7408" w:rsidTr="00353BE1">
        <w:tc>
          <w:tcPr>
            <w:cnfStyle w:val="001000000000" w:firstRow="0" w:lastRow="0" w:firstColumn="1" w:lastColumn="0" w:oddVBand="0" w:evenVBand="0" w:oddHBand="0" w:evenHBand="0" w:firstRowFirstColumn="0" w:firstRowLastColumn="0" w:lastRowFirstColumn="0" w:lastRowLastColumn="0"/>
            <w:tcW w:w="485" w:type="dxa"/>
          </w:tcPr>
          <w:p w:rsidR="005966F5" w:rsidRPr="0076772D" w:rsidRDefault="005966F5" w:rsidP="00353BE1">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Pr>
                <w:rFonts w:cstheme="minorHAnsi"/>
                <w:lang w:val="es-ES"/>
              </w:rPr>
            </w:r>
            <w:r>
              <w:rPr>
                <w:rFonts w:cstheme="minorHAnsi"/>
                <w:lang w:val="es-ES"/>
              </w:rPr>
              <w:fldChar w:fldCharType="separate"/>
            </w:r>
            <w:r w:rsidRPr="00202B0F">
              <w:rPr>
                <w:rFonts w:cstheme="minorHAnsi"/>
                <w:lang w:val="es-ES"/>
              </w:rPr>
              <w:fldChar w:fldCharType="end"/>
            </w:r>
          </w:p>
        </w:tc>
        <w:tc>
          <w:tcPr>
            <w:tcW w:w="8569" w:type="dxa"/>
          </w:tcPr>
          <w:p w:rsidR="005966F5" w:rsidRPr="004F18A6" w:rsidRDefault="005966F5" w:rsidP="00353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Entregar el listado de medidas preventivas en caso de movilización de semilla o material propagativo de algodón GM dentro del país, así como un plan de acción en caso de existir alguna liberación accidental, incluyendo la justificación de las mismas.</w:t>
            </w:r>
          </w:p>
        </w:tc>
      </w:tr>
    </w:tbl>
    <w:p w:rsidR="005966F5" w:rsidRDefault="005966F5" w:rsidP="005966F5">
      <w:pPr>
        <w:spacing w:after="0" w:line="240" w:lineRule="auto"/>
        <w:rPr>
          <w:rFonts w:eastAsia="Times New Roman" w:cstheme="minorHAnsi"/>
          <w:sz w:val="20"/>
          <w:szCs w:val="20"/>
        </w:rPr>
      </w:pPr>
    </w:p>
    <w:p w:rsidR="005966F5" w:rsidRPr="00162474" w:rsidRDefault="005966F5" w:rsidP="005966F5">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5966F5" w:rsidRPr="002C7408" w:rsidTr="00353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5966F5" w:rsidRPr="002C7408" w:rsidRDefault="005966F5" w:rsidP="00353BE1">
            <w:pPr>
              <w:rPr>
                <w:rFonts w:eastAsia="Times New Roman" w:cstheme="minorHAnsi"/>
                <w:lang w:val="es-ES"/>
              </w:rPr>
            </w:pPr>
            <w:r w:rsidRPr="002C7408">
              <w:rPr>
                <w:rFonts w:eastAsia="Times New Roman" w:cstheme="minorHAnsi"/>
                <w:lang w:val="es-ES"/>
              </w:rPr>
              <w:t>Liberación</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966F5" w:rsidRDefault="005966F5" w:rsidP="00353BE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5966F5" w:rsidRPr="002C7408" w:rsidRDefault="005966F5" w:rsidP="00353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Georreferencia y</w:t>
            </w:r>
            <w:r>
              <w:rPr>
                <w:rFonts w:eastAsia="Times New Roman" w:cstheme="minorHAnsi"/>
              </w:rPr>
              <w:t xml:space="preserve"> notificación de cada sitio de liberación, así como fecha de siembra, cantidad de semilla y croquis final de diseño experimental</w:t>
            </w:r>
          </w:p>
        </w:tc>
      </w:tr>
      <w:tr w:rsidR="005966F5" w:rsidRPr="002C7408" w:rsidTr="00353BE1">
        <w:tc>
          <w:tcPr>
            <w:cnfStyle w:val="001000000000" w:firstRow="0" w:lastRow="0" w:firstColumn="1" w:lastColumn="0" w:oddVBand="0" w:evenVBand="0" w:oddHBand="0" w:evenHBand="0" w:firstRowFirstColumn="0" w:firstRowLastColumn="0" w:lastRowFirstColumn="0" w:lastRowLastColumn="0"/>
            <w:tcW w:w="534" w:type="dxa"/>
          </w:tcPr>
          <w:p w:rsidR="005966F5" w:rsidRDefault="005966F5" w:rsidP="00353BE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5966F5" w:rsidRPr="002C7408" w:rsidRDefault="005966F5" w:rsidP="00353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Deberá implementar un plan de manejo para prevenir el desarrollo de resistencia de malezas a herbicidas.</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966F5" w:rsidRDefault="005966F5" w:rsidP="00353BE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5966F5" w:rsidRPr="007E58A4" w:rsidRDefault="005966F5" w:rsidP="00353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rPr>
            </w:pPr>
            <w:r>
              <w:rPr>
                <w:rFonts w:eastAsia="Times New Roman" w:cstheme="minorHAnsi"/>
              </w:rPr>
              <w:t>Asegurarse de que se lleve a cabo la implementación de prácticas de manejo agronómico de la región</w:t>
            </w:r>
          </w:p>
        </w:tc>
      </w:tr>
      <w:tr w:rsidR="005966F5" w:rsidRPr="002C7408" w:rsidTr="00353BE1">
        <w:tc>
          <w:tcPr>
            <w:cnfStyle w:val="001000000000" w:firstRow="0" w:lastRow="0" w:firstColumn="1" w:lastColumn="0" w:oddVBand="0" w:evenVBand="0" w:oddHBand="0" w:evenHBand="0" w:firstRowFirstColumn="0" w:firstRowLastColumn="0" w:lastRowFirstColumn="0" w:lastRowLastColumn="0"/>
            <w:tcW w:w="534" w:type="dxa"/>
          </w:tcPr>
          <w:p w:rsidR="005966F5" w:rsidRPr="0076772D" w:rsidRDefault="005966F5" w:rsidP="00353BE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5966F5" w:rsidRPr="004F18A6" w:rsidRDefault="005966F5" w:rsidP="00353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966F5" w:rsidRDefault="005966F5" w:rsidP="00353BE1">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Pr>
                <w:rFonts w:cstheme="minorHAnsi"/>
                <w:lang w:val="es-ES"/>
              </w:rPr>
            </w:r>
            <w:r>
              <w:rPr>
                <w:rFonts w:cstheme="minorHAnsi"/>
                <w:lang w:val="es-ES"/>
              </w:rPr>
              <w:fldChar w:fldCharType="separate"/>
            </w:r>
            <w:r w:rsidRPr="00202B0F">
              <w:rPr>
                <w:rFonts w:cstheme="minorHAnsi"/>
                <w:lang w:val="es-ES"/>
              </w:rPr>
              <w:fldChar w:fldCharType="end"/>
            </w:r>
          </w:p>
        </w:tc>
        <w:tc>
          <w:tcPr>
            <w:tcW w:w="8520" w:type="dxa"/>
          </w:tcPr>
          <w:p w:rsidR="005966F5" w:rsidRPr="007E58A4" w:rsidRDefault="005966F5" w:rsidP="00353BE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lang w:val="es-ES"/>
              </w:rPr>
              <w:t>Entregar un</w:t>
            </w:r>
            <w:r w:rsidRPr="007E58A4">
              <w:rPr>
                <w:rFonts w:eastAsia="Times New Roman" w:cstheme="minorHAnsi"/>
                <w:lang w:val="es-ES"/>
              </w:rPr>
              <w:t xml:space="preserve"> informe de costo beneficio ambiental. </w:t>
            </w:r>
          </w:p>
        </w:tc>
      </w:tr>
      <w:tr w:rsidR="005966F5" w:rsidRPr="002C7408" w:rsidTr="00353BE1">
        <w:tc>
          <w:tcPr>
            <w:cnfStyle w:val="001000000000" w:firstRow="0" w:lastRow="0" w:firstColumn="1" w:lastColumn="0" w:oddVBand="0" w:evenVBand="0" w:oddHBand="0" w:evenHBand="0" w:firstRowFirstColumn="0" w:firstRowLastColumn="0" w:lastRowFirstColumn="0" w:lastRowLastColumn="0"/>
            <w:tcW w:w="534" w:type="dxa"/>
          </w:tcPr>
          <w:p w:rsidR="005966F5" w:rsidRDefault="005966F5" w:rsidP="00353BE1">
            <w:pPr>
              <w:jc w:val="both"/>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5966F5" w:rsidRPr="007E58A4" w:rsidRDefault="005966F5" w:rsidP="00353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Sembrar a una distancia específica de cualquier convencional (100), pariente silvestre (100m) o Áreas</w:t>
            </w:r>
            <w:r>
              <w:rPr>
                <w:rFonts w:eastAsia="Times New Roman" w:cstheme="minorHAnsi"/>
              </w:rPr>
              <w:t xml:space="preserve"> Naturales Protegidas (1Km), a una distancia no menor de 1km de distancia de los sitios RAMSAR. </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5966F5" w:rsidRDefault="005966F5" w:rsidP="00353BE1">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Pr>
                <w:rFonts w:cstheme="minorHAnsi"/>
                <w:lang w:val="es-ES"/>
              </w:rPr>
            </w:r>
            <w:r>
              <w:rPr>
                <w:rFonts w:cstheme="minorHAnsi"/>
                <w:lang w:val="es-ES"/>
              </w:rPr>
              <w:fldChar w:fldCharType="separate"/>
            </w:r>
            <w:r w:rsidRPr="00202B0F">
              <w:rPr>
                <w:rFonts w:cstheme="minorHAnsi"/>
                <w:lang w:val="es-ES"/>
              </w:rPr>
              <w:fldChar w:fldCharType="end"/>
            </w:r>
          </w:p>
        </w:tc>
        <w:tc>
          <w:tcPr>
            <w:tcW w:w="8520" w:type="dxa"/>
          </w:tcPr>
          <w:p w:rsidR="005966F5" w:rsidRPr="007E58A4" w:rsidRDefault="005966F5" w:rsidP="00353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Búsqueda e</w:t>
            </w:r>
            <w:r w:rsidRPr="007E58A4">
              <w:rPr>
                <w:rFonts w:eastAsia="Times New Roman" w:cstheme="minorHAnsi"/>
              </w:rPr>
              <w:t xml:space="preserve"> identificación de malezas en la zona de liberación.</w:t>
            </w:r>
          </w:p>
        </w:tc>
      </w:tr>
      <w:tr w:rsidR="005966F5" w:rsidRPr="002C7408" w:rsidTr="00353BE1">
        <w:trPr>
          <w:trHeight w:val="190"/>
        </w:trPr>
        <w:tc>
          <w:tcPr>
            <w:cnfStyle w:val="001000000000" w:firstRow="0" w:lastRow="0" w:firstColumn="1" w:lastColumn="0" w:oddVBand="0" w:evenVBand="0" w:oddHBand="0" w:evenHBand="0" w:firstRowFirstColumn="0" w:firstRowLastColumn="0" w:lastRowFirstColumn="0" w:lastRowLastColumn="0"/>
            <w:tcW w:w="534" w:type="dxa"/>
          </w:tcPr>
          <w:p w:rsidR="005966F5" w:rsidRPr="00202B0F" w:rsidRDefault="005966F5" w:rsidP="00353BE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5966F5" w:rsidRDefault="005966F5" w:rsidP="00353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w:t>
            </w:r>
            <w:r w:rsidRPr="00F21A56">
              <w:rPr>
                <w:rFonts w:eastAsia="Times New Roman" w:cstheme="minorHAnsi"/>
              </w:rPr>
              <w:t>estruir el material vegetal producto de la cosecha mediante métodos físicos, químicos, mecánicos o combinación de estas, dentro del predio de liberación</w:t>
            </w:r>
            <w:r>
              <w:rPr>
                <w:rFonts w:eastAsia="Times New Roman" w:cstheme="minorHAnsi"/>
              </w:rPr>
              <w:t xml:space="preserve"> y evidenciar fotográficamente la destrucción </w:t>
            </w:r>
            <w:r w:rsidRPr="00F21A56">
              <w:rPr>
                <w:rFonts w:eastAsia="Times New Roman" w:cstheme="minorHAnsi"/>
              </w:rPr>
              <w:t xml:space="preserve"> </w:t>
            </w:r>
            <w:r>
              <w:rPr>
                <w:rFonts w:eastAsia="Times New Roman" w:cstheme="minorHAnsi"/>
              </w:rPr>
              <w:t>de dicho material.</w:t>
            </w:r>
          </w:p>
        </w:tc>
      </w:tr>
    </w:tbl>
    <w:p w:rsidR="005966F5" w:rsidRPr="00162474" w:rsidRDefault="005966F5" w:rsidP="005966F5">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5966F5" w:rsidRPr="002C7408" w:rsidTr="00353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5966F5" w:rsidRPr="002C7408" w:rsidRDefault="005966F5" w:rsidP="00353BE1">
            <w:pPr>
              <w:rPr>
                <w:rFonts w:eastAsia="Times New Roman" w:cstheme="minorHAnsi"/>
                <w:lang w:val="es-ES"/>
              </w:rPr>
            </w:pPr>
            <w:proofErr w:type="spellStart"/>
            <w:r w:rsidRPr="002C7408">
              <w:rPr>
                <w:rFonts w:eastAsia="Times New Roman" w:cstheme="minorHAnsi"/>
                <w:lang w:val="es-ES"/>
              </w:rPr>
              <w:t>Pos</w:t>
            </w:r>
            <w:proofErr w:type="spellEnd"/>
            <w:r w:rsidRPr="002C7408">
              <w:rPr>
                <w:rFonts w:eastAsia="Times New Roman" w:cstheme="minorHAnsi"/>
                <w:lang w:val="es-ES"/>
              </w:rPr>
              <w:t xml:space="preserve"> liberación</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5966F5" w:rsidRDefault="005966F5" w:rsidP="00353BE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5966F5" w:rsidRPr="007E58A4" w:rsidRDefault="005966F5" w:rsidP="00353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Establecer monitoreo de plantas voluntarias durante un periodo de seis meses en los sitios de liberación y en los predios vecinos y zonas aledañas a los sitios de liberación.</w:t>
            </w:r>
          </w:p>
        </w:tc>
      </w:tr>
      <w:tr w:rsidR="005966F5" w:rsidRPr="002C7408" w:rsidTr="00353BE1">
        <w:tc>
          <w:tcPr>
            <w:cnfStyle w:val="001000000000" w:firstRow="0" w:lastRow="0" w:firstColumn="1" w:lastColumn="0" w:oddVBand="0" w:evenVBand="0" w:oddHBand="0" w:evenHBand="0" w:firstRowFirstColumn="0" w:firstRowLastColumn="0" w:lastRowFirstColumn="0" w:lastRowLastColumn="0"/>
            <w:tcW w:w="485" w:type="dxa"/>
          </w:tcPr>
          <w:p w:rsidR="005966F5" w:rsidRDefault="005966F5" w:rsidP="00353BE1">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Pr>
                <w:rFonts w:cstheme="minorHAnsi"/>
                <w:lang w:val="es-ES"/>
              </w:rPr>
            </w:r>
            <w:r>
              <w:rPr>
                <w:rFonts w:cstheme="minorHAnsi"/>
                <w:lang w:val="es-ES"/>
              </w:rPr>
              <w:fldChar w:fldCharType="separate"/>
            </w:r>
            <w:r w:rsidRPr="00202B0F">
              <w:rPr>
                <w:rFonts w:cstheme="minorHAnsi"/>
                <w:lang w:val="es-ES"/>
              </w:rPr>
              <w:fldChar w:fldCharType="end"/>
            </w:r>
          </w:p>
        </w:tc>
        <w:tc>
          <w:tcPr>
            <w:tcW w:w="8569" w:type="dxa"/>
          </w:tcPr>
          <w:p w:rsidR="005966F5" w:rsidRPr="004F18A6" w:rsidRDefault="005966F5" w:rsidP="00353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Entregar en original y copia, todas las notificaciones, avisos, reportes trimestrales y otros documentos generados, foliados y rubricados por el representante legal de la empresa.</w:t>
            </w:r>
          </w:p>
        </w:tc>
      </w:tr>
      <w:tr w:rsidR="005966F5" w:rsidRPr="002C7408" w:rsidTr="0035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5966F5" w:rsidRPr="0076772D" w:rsidRDefault="005966F5" w:rsidP="00353BE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5966F5" w:rsidRDefault="005966F5" w:rsidP="00353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lang w:val="es-ES"/>
              </w:rPr>
              <w:t>Entrega de</w:t>
            </w:r>
            <w:r w:rsidRPr="007E58A4">
              <w:rPr>
                <w:rFonts w:eastAsia="Times New Roman" w:cstheme="minorHAnsi"/>
                <w:lang w:val="es-ES"/>
              </w:rPr>
              <w:t xml:space="preserve"> reporte con los resultados de los protocolos de experimentación planteados.</w:t>
            </w:r>
          </w:p>
        </w:tc>
      </w:tr>
      <w:tr w:rsidR="005966F5" w:rsidRPr="002C7408" w:rsidTr="00353BE1">
        <w:tc>
          <w:tcPr>
            <w:cnfStyle w:val="001000000000" w:firstRow="0" w:lastRow="0" w:firstColumn="1" w:lastColumn="0" w:oddVBand="0" w:evenVBand="0" w:oddHBand="0" w:evenHBand="0" w:firstRowFirstColumn="0" w:firstRowLastColumn="0" w:lastRowFirstColumn="0" w:lastRowLastColumn="0"/>
            <w:tcW w:w="485" w:type="dxa"/>
          </w:tcPr>
          <w:p w:rsidR="005966F5" w:rsidRPr="00202B0F" w:rsidRDefault="005966F5" w:rsidP="00353BE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5966F5" w:rsidRPr="004F18A6" w:rsidRDefault="005966F5" w:rsidP="00353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Llevar a cabo d</w:t>
            </w:r>
            <w:r w:rsidRPr="00F21A56">
              <w:rPr>
                <w:rFonts w:eastAsia="Times New Roman" w:cstheme="minorHAnsi"/>
                <w:lang w:val="es-ES"/>
              </w:rPr>
              <w:t>esarraigo de plantas o Barbecho como prácticas culturales dentro de los sitios permitidos.</w:t>
            </w:r>
          </w:p>
        </w:tc>
      </w:tr>
    </w:tbl>
    <w:p w:rsidR="005966F5" w:rsidRDefault="005966F5" w:rsidP="005966F5">
      <w:pPr>
        <w:spacing w:after="0" w:line="240" w:lineRule="auto"/>
        <w:rPr>
          <w:rFonts w:eastAsia="Times New Roman" w:cstheme="minorHAnsi"/>
          <w:sz w:val="20"/>
          <w:szCs w:val="20"/>
          <w:lang w:val="es-ES"/>
        </w:rPr>
      </w:pPr>
    </w:p>
    <w:p w:rsidR="005966F5" w:rsidRDefault="005966F5" w:rsidP="005966F5">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5F4A04">
              <w:rPr>
                <w:rFonts w:cstheme="minorHAnsi"/>
                <w:lang w:val="es-ES"/>
              </w:rPr>
              <w:fldChar w:fldCharType="begin">
                <w:ffData>
                  <w:name w:val=""/>
                  <w:enabled/>
                  <w:calcOnExit w:val="0"/>
                  <w:checkBox>
                    <w:sizeAuto/>
                    <w:default w:val="1"/>
                  </w:checkBox>
                </w:ffData>
              </w:fldChar>
            </w:r>
            <w:r w:rsidR="005F4A04">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sidR="005F4A04">
              <w:rPr>
                <w:rFonts w:cstheme="minorHAnsi"/>
                <w:lang w:val="es-ES"/>
              </w:rPr>
              <w:fldChar w:fldCharType="end"/>
            </w:r>
            <w:r>
              <w:rPr>
                <w:rFonts w:cstheme="minorHAnsi"/>
                <w:b w:val="0"/>
                <w:lang w:val="es-ES"/>
              </w:rPr>
              <w:t xml:space="preserve"> para la liberación intencional en etapa experimental </w:t>
            </w:r>
            <w:r w:rsidR="008577DA">
              <w:rPr>
                <w:rFonts w:cstheme="minorHAnsi"/>
                <w:lang w:val="es-ES"/>
              </w:rPr>
              <w:fldChar w:fldCharType="begin">
                <w:ffData>
                  <w:name w:val=""/>
                  <w:enabled/>
                  <w:calcOnExit w:val="0"/>
                  <w:checkBox>
                    <w:sizeAuto/>
                    <w:default w:val="1"/>
                  </w:checkBox>
                </w:ffData>
              </w:fldChar>
            </w:r>
            <w:r w:rsidR="008577DA">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sidR="008577DA">
              <w:rPr>
                <w:rFonts w:cstheme="minorHAnsi"/>
                <w:lang w:val="es-ES"/>
              </w:rPr>
              <w:fldChar w:fldCharType="end"/>
            </w:r>
            <w:r>
              <w:rPr>
                <w:rFonts w:cstheme="minorHAnsi"/>
                <w:b w:val="0"/>
                <w:lang w:val="es-ES"/>
              </w:rPr>
              <w:t xml:space="preserve">, </w:t>
            </w:r>
          </w:p>
          <w:p w:rsidR="004D46FB" w:rsidRDefault="004D46FB" w:rsidP="005F4A04">
            <w:pPr>
              <w:rPr>
                <w:rFonts w:cstheme="minorHAnsi"/>
                <w:b w:val="0"/>
                <w:lang w:val="es-ES"/>
              </w:rPr>
            </w:pPr>
            <w:r>
              <w:rPr>
                <w:rFonts w:cstheme="minorHAnsi"/>
                <w:b w:val="0"/>
                <w:lang w:val="es-ES"/>
              </w:rPr>
              <w:t xml:space="preserve">Piloto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5966F5">
              <w:rPr>
                <w:rFonts w:cstheme="minorHAnsi"/>
                <w:lang w:val="es-ES"/>
              </w:rPr>
            </w:r>
            <w:r w:rsidR="005966F5">
              <w:rPr>
                <w:rFonts w:cstheme="minorHAnsi"/>
                <w:lang w:val="es-ES"/>
              </w:rPr>
              <w:fldChar w:fldCharType="separate"/>
            </w:r>
            <w:r>
              <w:rPr>
                <w:rFonts w:cstheme="minorHAnsi"/>
                <w:lang w:val="es-ES"/>
              </w:rPr>
              <w:fldChar w:fldCharType="end"/>
            </w:r>
            <w:r>
              <w:rPr>
                <w:rFonts w:cstheme="minorHAnsi"/>
                <w:b w:val="0"/>
                <w:lang w:val="es-ES"/>
              </w:rPr>
              <w:t xml:space="preserve">,  o comercial </w:t>
            </w:r>
            <w:r w:rsidR="008577DA">
              <w:rPr>
                <w:rFonts w:cstheme="minorHAnsi"/>
                <w:lang w:val="es-ES"/>
              </w:rPr>
              <w:fldChar w:fldCharType="begin">
                <w:ffData>
                  <w:name w:val="Casilla48"/>
                  <w:enabled/>
                  <w:calcOnExit w:val="0"/>
                  <w:checkBox>
                    <w:sizeAuto/>
                    <w:default w:val="0"/>
                  </w:checkBox>
                </w:ffData>
              </w:fldChar>
            </w:r>
            <w:bookmarkStart w:id="2" w:name="Casilla48"/>
            <w:r w:rsidR="008577DA">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sidR="008577DA">
              <w:rPr>
                <w:rFonts w:cstheme="minorHAnsi"/>
                <w:lang w:val="es-ES"/>
              </w:rPr>
              <w:fldChar w:fldCharType="end"/>
            </w:r>
            <w:bookmarkEnd w:id="2"/>
            <w:r>
              <w:rPr>
                <w:rFonts w:cstheme="minorHAnsi"/>
                <w:b w:val="0"/>
                <w:lang w:val="es-ES"/>
              </w:rPr>
              <w:t xml:space="preserve">, con condiciones, para la Solicitud </w:t>
            </w:r>
            <w:r w:rsidR="005F4A04">
              <w:rPr>
                <w:rFonts w:cstheme="minorHAnsi"/>
                <w:b w:val="0"/>
                <w:lang w:val="es-ES"/>
              </w:rPr>
              <w:t>019</w:t>
            </w:r>
            <w:r>
              <w:rPr>
                <w:rFonts w:cstheme="minorHAnsi"/>
                <w:b w:val="0"/>
                <w:lang w:val="es-ES"/>
              </w:rPr>
              <w:t>_201</w:t>
            </w:r>
            <w:r w:rsidR="00CB1A2C">
              <w:rPr>
                <w:rFonts w:cstheme="minorHAnsi"/>
                <w:b w:val="0"/>
                <w:lang w:val="es-ES"/>
              </w:rPr>
              <w:t>6</w:t>
            </w:r>
            <w:r>
              <w:rPr>
                <w:rFonts w:cstheme="minorHAnsi"/>
                <w:b w:val="0"/>
                <w:lang w:val="es-ES"/>
              </w:rPr>
              <w:t>.</w:t>
            </w:r>
          </w:p>
        </w:tc>
        <w:tc>
          <w:tcPr>
            <w:tcW w:w="1338" w:type="dxa"/>
            <w:tcBorders>
              <w:left w:val="nil"/>
            </w:tcBorders>
            <w:hideMark/>
          </w:tcPr>
          <w:p w:rsidR="004D46FB" w:rsidRDefault="005F4A04" w:rsidP="005F4A04">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13</w:t>
            </w:r>
            <w:r w:rsidR="00C92491">
              <w:rPr>
                <w:rFonts w:cstheme="minorHAnsi"/>
                <w:lang w:val="es-ES"/>
              </w:rPr>
              <w:t>/</w:t>
            </w:r>
            <w:r>
              <w:rPr>
                <w:rFonts w:cstheme="minorHAnsi"/>
                <w:lang w:val="es-ES"/>
              </w:rPr>
              <w:t>03/2017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5F4A04">
            <w:pPr>
              <w:rPr>
                <w:rFonts w:cstheme="minorHAnsi"/>
                <w:b w:val="0"/>
                <w:lang w:val="es-ES"/>
              </w:rPr>
            </w:pPr>
            <w:r>
              <w:rPr>
                <w:rFonts w:cstheme="minorHAnsi"/>
                <w:b w:val="0"/>
                <w:lang w:val="es-ES"/>
              </w:rPr>
              <w:lastRenderedPageBreak/>
              <w:t xml:space="preserve">Se trata de un decisión unánime </w:t>
            </w:r>
            <w:r w:rsidR="005F4A04">
              <w:rPr>
                <w:rFonts w:cstheme="minorHAnsi"/>
                <w:lang w:val="es-ES"/>
              </w:rPr>
              <w:fldChar w:fldCharType="begin">
                <w:ffData>
                  <w:name w:val="Casilla70"/>
                  <w:enabled/>
                  <w:calcOnExit w:val="0"/>
                  <w:checkBox>
                    <w:sizeAuto/>
                    <w:default w:val="1"/>
                  </w:checkBox>
                </w:ffData>
              </w:fldChar>
            </w:r>
            <w:bookmarkStart w:id="3" w:name="Casilla70"/>
            <w:r w:rsidR="005F4A04">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sidR="005F4A04">
              <w:rPr>
                <w:rFonts w:cstheme="minorHAnsi"/>
                <w:lang w:val="es-ES"/>
              </w:rPr>
              <w:fldChar w:fldCharType="end"/>
            </w:r>
            <w:bookmarkEnd w:id="3"/>
            <w:proofErr w:type="spellStart"/>
            <w:r>
              <w:rPr>
                <w:rFonts w:cstheme="minorHAnsi"/>
                <w:b w:val="0"/>
                <w:lang w:val="es-ES"/>
              </w:rPr>
              <w:t>Si</w:t>
            </w:r>
            <w:proofErr w:type="spellEnd"/>
            <w:r>
              <w:rPr>
                <w:rFonts w:cstheme="minorHAnsi"/>
                <w:b w:val="0"/>
                <w:lang w:val="es-ES"/>
              </w:rPr>
              <w:t xml:space="preserve">   </w:t>
            </w:r>
            <w:r w:rsidR="005F4A04">
              <w:rPr>
                <w:rFonts w:cstheme="minorHAnsi"/>
                <w:lang w:val="es-ES"/>
              </w:rPr>
              <w:fldChar w:fldCharType="begin">
                <w:ffData>
                  <w:name w:val="Casilla71"/>
                  <w:enabled/>
                  <w:calcOnExit w:val="0"/>
                  <w:checkBox>
                    <w:sizeAuto/>
                    <w:default w:val="0"/>
                  </w:checkBox>
                </w:ffData>
              </w:fldChar>
            </w:r>
            <w:bookmarkStart w:id="4" w:name="Casilla71"/>
            <w:r w:rsidR="005F4A04">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sidR="005F4A04">
              <w:rPr>
                <w:rFonts w:cstheme="minorHAnsi"/>
                <w:lang w:val="es-ES"/>
              </w:rPr>
              <w:fldChar w:fldCharType="end"/>
            </w:r>
            <w:bookmarkEnd w:id="4"/>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8577DA">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5" w:name="Casilla69"/>
            <w:r>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Pr>
                <w:rFonts w:cstheme="minorHAnsi"/>
                <w:lang w:val="es-ES"/>
              </w:rPr>
              <w:fldChar w:fldCharType="end"/>
            </w:r>
            <w:bookmarkEnd w:id="5"/>
            <w:r w:rsidR="004D46FB">
              <w:rPr>
                <w:rFonts w:cstheme="minorHAnsi"/>
                <w:lang w:val="es-ES"/>
              </w:rPr>
              <w:t xml:space="preserve"> </w:t>
            </w:r>
            <w:r w:rsidR="004D46FB">
              <w:rPr>
                <w:rFonts w:cstheme="minorHAnsi"/>
                <w:b w:val="0"/>
                <w:lang w:val="es-ES"/>
              </w:rPr>
              <w:t>Solicitud información adicional.</w:t>
            </w:r>
            <w:bookmarkStart w:id="6" w:name="_GoBack"/>
            <w:bookmarkEnd w:id="6"/>
          </w:p>
        </w:tc>
        <w:tc>
          <w:tcPr>
            <w:tcW w:w="1338" w:type="dxa"/>
            <w:tcBorders>
              <w:top w:val="nil"/>
              <w:left w:val="nil"/>
              <w:bottom w:val="nil"/>
              <w:right w:val="single" w:sz="8" w:space="0" w:color="4F81BD" w:themeColor="accent1"/>
            </w:tcBorders>
          </w:tcPr>
          <w:p w:rsidR="004D46FB" w:rsidRDefault="005F4A04" w:rsidP="005F4A04">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09</w:t>
            </w:r>
            <w:r w:rsidR="00C92491">
              <w:rPr>
                <w:rFonts w:cstheme="minorHAnsi"/>
                <w:lang w:val="es-ES"/>
              </w:rPr>
              <w:t>/</w:t>
            </w:r>
            <w:r>
              <w:rPr>
                <w:rFonts w:cstheme="minorHAnsi"/>
                <w:lang w:val="es-ES"/>
              </w:rPr>
              <w:t>09/2016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5966F5">
              <w:rPr>
                <w:rFonts w:cstheme="minorHAnsi"/>
                <w:lang w:val="es-ES"/>
              </w:rPr>
            </w:r>
            <w:r w:rsidR="005966F5">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5966F5">
              <w:rPr>
                <w:rFonts w:cstheme="minorHAnsi"/>
                <w:lang w:val="es-ES"/>
              </w:rPr>
            </w:r>
            <w:r w:rsidR="005966F5">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5966F5">
              <w:rPr>
                <w:rFonts w:cstheme="minorHAnsi"/>
                <w:lang w:val="es-ES"/>
              </w:rPr>
            </w:r>
            <w:r w:rsidR="005966F5">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563F0D"/>
    <w:multiLevelType w:val="hybridMultilevel"/>
    <w:tmpl w:val="4DAA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876884"/>
    <w:multiLevelType w:val="hybridMultilevel"/>
    <w:tmpl w:val="D57A6A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B69400E"/>
    <w:multiLevelType w:val="multilevel"/>
    <w:tmpl w:val="8D186D5A"/>
    <w:numStyleLink w:val="ChecklistItem"/>
  </w:abstractNum>
  <w:abstractNum w:abstractNumId="20">
    <w:nsid w:val="4C5C1DA1"/>
    <w:multiLevelType w:val="multilevel"/>
    <w:tmpl w:val="8D186D5A"/>
    <w:numStyleLink w:val="ChecklistItem"/>
  </w:abstractNum>
  <w:abstractNum w:abstractNumId="21">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5943D5"/>
    <w:multiLevelType w:val="multilevel"/>
    <w:tmpl w:val="8D186D5A"/>
    <w:numStyleLink w:val="ChecklistItem"/>
  </w:abstractNum>
  <w:abstractNum w:abstractNumId="23">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641000"/>
    <w:multiLevelType w:val="multilevel"/>
    <w:tmpl w:val="8D186D5A"/>
    <w:numStyleLink w:val="ChecklistItem"/>
  </w:abstractNum>
  <w:abstractNum w:abstractNumId="25">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9"/>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20"/>
  </w:num>
  <w:num w:numId="5">
    <w:abstractNumId w:val="24"/>
  </w:num>
  <w:num w:numId="6">
    <w:abstractNumId w:val="3"/>
  </w:num>
  <w:num w:numId="7">
    <w:abstractNumId w:val="4"/>
  </w:num>
  <w:num w:numId="8">
    <w:abstractNumId w:val="8"/>
  </w:num>
  <w:num w:numId="9">
    <w:abstractNumId w:val="22"/>
  </w:num>
  <w:num w:numId="10">
    <w:abstractNumId w:val="0"/>
  </w:num>
  <w:num w:numId="11">
    <w:abstractNumId w:val="6"/>
  </w:num>
  <w:num w:numId="12">
    <w:abstractNumId w:val="14"/>
  </w:num>
  <w:num w:numId="13">
    <w:abstractNumId w:val="12"/>
  </w:num>
  <w:num w:numId="14">
    <w:abstractNumId w:val="16"/>
  </w:num>
  <w:num w:numId="15">
    <w:abstractNumId w:val="25"/>
  </w:num>
  <w:num w:numId="16">
    <w:abstractNumId w:val="10"/>
  </w:num>
  <w:num w:numId="17">
    <w:abstractNumId w:val="13"/>
  </w:num>
  <w:num w:numId="18">
    <w:abstractNumId w:val="7"/>
  </w:num>
  <w:num w:numId="19">
    <w:abstractNumId w:val="11"/>
  </w:num>
  <w:num w:numId="20">
    <w:abstractNumId w:val="9"/>
  </w:num>
  <w:num w:numId="21">
    <w:abstractNumId w:val="17"/>
  </w:num>
  <w:num w:numId="22">
    <w:abstractNumId w:val="23"/>
  </w:num>
  <w:num w:numId="23">
    <w:abstractNumId w:val="5"/>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C6122"/>
    <w:rsid w:val="000E362E"/>
    <w:rsid w:val="000F417C"/>
    <w:rsid w:val="000F55A1"/>
    <w:rsid w:val="000F5CE1"/>
    <w:rsid w:val="0011017D"/>
    <w:rsid w:val="00110E46"/>
    <w:rsid w:val="00115A7F"/>
    <w:rsid w:val="001163F3"/>
    <w:rsid w:val="0013094A"/>
    <w:rsid w:val="001456D1"/>
    <w:rsid w:val="00161743"/>
    <w:rsid w:val="00162474"/>
    <w:rsid w:val="001666AD"/>
    <w:rsid w:val="0017351B"/>
    <w:rsid w:val="001745B0"/>
    <w:rsid w:val="00183DBD"/>
    <w:rsid w:val="00186780"/>
    <w:rsid w:val="0019106A"/>
    <w:rsid w:val="001B14CC"/>
    <w:rsid w:val="001B1952"/>
    <w:rsid w:val="001B7EF2"/>
    <w:rsid w:val="001D314D"/>
    <w:rsid w:val="001E7B5C"/>
    <w:rsid w:val="001F1953"/>
    <w:rsid w:val="00206438"/>
    <w:rsid w:val="00207BEE"/>
    <w:rsid w:val="00226214"/>
    <w:rsid w:val="002359CA"/>
    <w:rsid w:val="00241EC1"/>
    <w:rsid w:val="00247B1C"/>
    <w:rsid w:val="0026345A"/>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306B87"/>
    <w:rsid w:val="00307D31"/>
    <w:rsid w:val="003174FB"/>
    <w:rsid w:val="00320B73"/>
    <w:rsid w:val="00323A96"/>
    <w:rsid w:val="00326E68"/>
    <w:rsid w:val="00334D42"/>
    <w:rsid w:val="0033684F"/>
    <w:rsid w:val="00337831"/>
    <w:rsid w:val="00346BB1"/>
    <w:rsid w:val="003543B7"/>
    <w:rsid w:val="00362E2B"/>
    <w:rsid w:val="00364FEE"/>
    <w:rsid w:val="00372F2B"/>
    <w:rsid w:val="0037481F"/>
    <w:rsid w:val="003755D8"/>
    <w:rsid w:val="00383ACD"/>
    <w:rsid w:val="0039745A"/>
    <w:rsid w:val="0039764C"/>
    <w:rsid w:val="003A4732"/>
    <w:rsid w:val="003B1A1F"/>
    <w:rsid w:val="003B746B"/>
    <w:rsid w:val="003D4DEB"/>
    <w:rsid w:val="003D4E06"/>
    <w:rsid w:val="003D5A3B"/>
    <w:rsid w:val="003E7E90"/>
    <w:rsid w:val="003F31BC"/>
    <w:rsid w:val="003F73C5"/>
    <w:rsid w:val="004067BF"/>
    <w:rsid w:val="00406E37"/>
    <w:rsid w:val="00412454"/>
    <w:rsid w:val="00424835"/>
    <w:rsid w:val="00427E16"/>
    <w:rsid w:val="00431B3F"/>
    <w:rsid w:val="004328C3"/>
    <w:rsid w:val="00445837"/>
    <w:rsid w:val="00446ACA"/>
    <w:rsid w:val="00455422"/>
    <w:rsid w:val="00460061"/>
    <w:rsid w:val="0047472B"/>
    <w:rsid w:val="00475535"/>
    <w:rsid w:val="00494F44"/>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6B9E"/>
    <w:rsid w:val="005577D6"/>
    <w:rsid w:val="0057243A"/>
    <w:rsid w:val="00573330"/>
    <w:rsid w:val="00581716"/>
    <w:rsid w:val="00581926"/>
    <w:rsid w:val="00586228"/>
    <w:rsid w:val="005966F5"/>
    <w:rsid w:val="005A6A86"/>
    <w:rsid w:val="005A7FE2"/>
    <w:rsid w:val="005B512F"/>
    <w:rsid w:val="005D64D3"/>
    <w:rsid w:val="005F0855"/>
    <w:rsid w:val="005F4A04"/>
    <w:rsid w:val="005F5B8B"/>
    <w:rsid w:val="00611C6E"/>
    <w:rsid w:val="00614F69"/>
    <w:rsid w:val="00615BF0"/>
    <w:rsid w:val="00616322"/>
    <w:rsid w:val="00630A86"/>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078F8"/>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EDA"/>
    <w:rsid w:val="00801CE2"/>
    <w:rsid w:val="00807C6C"/>
    <w:rsid w:val="0082472B"/>
    <w:rsid w:val="00831773"/>
    <w:rsid w:val="008317D3"/>
    <w:rsid w:val="0083746B"/>
    <w:rsid w:val="00845B01"/>
    <w:rsid w:val="008500B4"/>
    <w:rsid w:val="00850C12"/>
    <w:rsid w:val="00852F43"/>
    <w:rsid w:val="008577DA"/>
    <w:rsid w:val="0086600C"/>
    <w:rsid w:val="00877516"/>
    <w:rsid w:val="00887E1F"/>
    <w:rsid w:val="00896607"/>
    <w:rsid w:val="0089733F"/>
    <w:rsid w:val="008A0D20"/>
    <w:rsid w:val="008B1AE3"/>
    <w:rsid w:val="008B45F9"/>
    <w:rsid w:val="008D48C1"/>
    <w:rsid w:val="008E0CF8"/>
    <w:rsid w:val="008E23D0"/>
    <w:rsid w:val="008E5C2D"/>
    <w:rsid w:val="008F54FB"/>
    <w:rsid w:val="009005D7"/>
    <w:rsid w:val="00905214"/>
    <w:rsid w:val="00905CC0"/>
    <w:rsid w:val="0090640A"/>
    <w:rsid w:val="009076DC"/>
    <w:rsid w:val="0091406D"/>
    <w:rsid w:val="00925376"/>
    <w:rsid w:val="009275D4"/>
    <w:rsid w:val="00934723"/>
    <w:rsid w:val="00942E06"/>
    <w:rsid w:val="00946B3A"/>
    <w:rsid w:val="0095750A"/>
    <w:rsid w:val="00964DCF"/>
    <w:rsid w:val="00970365"/>
    <w:rsid w:val="00973AEF"/>
    <w:rsid w:val="0098261F"/>
    <w:rsid w:val="00983AFC"/>
    <w:rsid w:val="00986F8F"/>
    <w:rsid w:val="009A44ED"/>
    <w:rsid w:val="009C4C61"/>
    <w:rsid w:val="009C6344"/>
    <w:rsid w:val="009C6B39"/>
    <w:rsid w:val="009D4C0B"/>
    <w:rsid w:val="009E2F7A"/>
    <w:rsid w:val="009F0DCE"/>
    <w:rsid w:val="009F33E5"/>
    <w:rsid w:val="009F4548"/>
    <w:rsid w:val="00A02E30"/>
    <w:rsid w:val="00A16ED5"/>
    <w:rsid w:val="00A23E18"/>
    <w:rsid w:val="00A333E9"/>
    <w:rsid w:val="00A42DDD"/>
    <w:rsid w:val="00A43FDE"/>
    <w:rsid w:val="00A466AD"/>
    <w:rsid w:val="00A60294"/>
    <w:rsid w:val="00A6054B"/>
    <w:rsid w:val="00A626F3"/>
    <w:rsid w:val="00A6602C"/>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7E77"/>
    <w:rsid w:val="00AC57B3"/>
    <w:rsid w:val="00AC6AD0"/>
    <w:rsid w:val="00AE47BE"/>
    <w:rsid w:val="00AE5553"/>
    <w:rsid w:val="00AE5929"/>
    <w:rsid w:val="00AE5C27"/>
    <w:rsid w:val="00AF3609"/>
    <w:rsid w:val="00B062B6"/>
    <w:rsid w:val="00B21489"/>
    <w:rsid w:val="00B22CA0"/>
    <w:rsid w:val="00B2747F"/>
    <w:rsid w:val="00B30060"/>
    <w:rsid w:val="00B30AD3"/>
    <w:rsid w:val="00B33DC5"/>
    <w:rsid w:val="00B35713"/>
    <w:rsid w:val="00B36C7E"/>
    <w:rsid w:val="00B435EE"/>
    <w:rsid w:val="00B6696E"/>
    <w:rsid w:val="00B669F8"/>
    <w:rsid w:val="00B8048E"/>
    <w:rsid w:val="00B85F1B"/>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4984"/>
    <w:rsid w:val="00C36242"/>
    <w:rsid w:val="00C449DE"/>
    <w:rsid w:val="00C46544"/>
    <w:rsid w:val="00C46F55"/>
    <w:rsid w:val="00C53A86"/>
    <w:rsid w:val="00C56C06"/>
    <w:rsid w:val="00C63423"/>
    <w:rsid w:val="00C63A94"/>
    <w:rsid w:val="00C75679"/>
    <w:rsid w:val="00C83C6D"/>
    <w:rsid w:val="00C92491"/>
    <w:rsid w:val="00C94C38"/>
    <w:rsid w:val="00CA0D83"/>
    <w:rsid w:val="00CA0E1A"/>
    <w:rsid w:val="00CA2573"/>
    <w:rsid w:val="00CA2BE3"/>
    <w:rsid w:val="00CA6459"/>
    <w:rsid w:val="00CA68FA"/>
    <w:rsid w:val="00CA693C"/>
    <w:rsid w:val="00CB0208"/>
    <w:rsid w:val="00CB0BA8"/>
    <w:rsid w:val="00CB1A2C"/>
    <w:rsid w:val="00CB279E"/>
    <w:rsid w:val="00CB6AD1"/>
    <w:rsid w:val="00CC2359"/>
    <w:rsid w:val="00CD6447"/>
    <w:rsid w:val="00CE2A26"/>
    <w:rsid w:val="00CF6065"/>
    <w:rsid w:val="00D250AB"/>
    <w:rsid w:val="00D32C9E"/>
    <w:rsid w:val="00D4186F"/>
    <w:rsid w:val="00D549B0"/>
    <w:rsid w:val="00D64E04"/>
    <w:rsid w:val="00D73917"/>
    <w:rsid w:val="00D9423F"/>
    <w:rsid w:val="00DA2C81"/>
    <w:rsid w:val="00DA5611"/>
    <w:rsid w:val="00DB17A5"/>
    <w:rsid w:val="00DC0F60"/>
    <w:rsid w:val="00DC22B0"/>
    <w:rsid w:val="00DC4A66"/>
    <w:rsid w:val="00DD0BED"/>
    <w:rsid w:val="00DD5DB4"/>
    <w:rsid w:val="00DE0DE4"/>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0691"/>
    <w:rsid w:val="00EC557E"/>
    <w:rsid w:val="00EE4D48"/>
    <w:rsid w:val="00EF0D0A"/>
    <w:rsid w:val="00EF6A27"/>
    <w:rsid w:val="00F0366D"/>
    <w:rsid w:val="00F059F7"/>
    <w:rsid w:val="00F10A87"/>
    <w:rsid w:val="00F153C0"/>
    <w:rsid w:val="00F16898"/>
    <w:rsid w:val="00F22658"/>
    <w:rsid w:val="00F22EDD"/>
    <w:rsid w:val="00F2641F"/>
    <w:rsid w:val="00F33318"/>
    <w:rsid w:val="00F33E3F"/>
    <w:rsid w:val="00F46154"/>
    <w:rsid w:val="00F470CB"/>
    <w:rsid w:val="00F51091"/>
    <w:rsid w:val="00F661B7"/>
    <w:rsid w:val="00F7250F"/>
    <w:rsid w:val="00F765D5"/>
    <w:rsid w:val="00F815D1"/>
    <w:rsid w:val="00F91B20"/>
    <w:rsid w:val="00F94534"/>
    <w:rsid w:val="00FA718E"/>
    <w:rsid w:val="00FB1428"/>
    <w:rsid w:val="00FC22FF"/>
    <w:rsid w:val="00FD121E"/>
    <w:rsid w:val="00FD3A11"/>
    <w:rsid w:val="00FD52E6"/>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685">
      <w:bodyDiv w:val="1"/>
      <w:marLeft w:val="0"/>
      <w:marRight w:val="0"/>
      <w:marTop w:val="0"/>
      <w:marBottom w:val="0"/>
      <w:divBdr>
        <w:top w:val="none" w:sz="0" w:space="0" w:color="auto"/>
        <w:left w:val="none" w:sz="0" w:space="0" w:color="auto"/>
        <w:bottom w:val="none" w:sz="0" w:space="0" w:color="auto"/>
        <w:right w:val="none" w:sz="0" w:space="0" w:color="auto"/>
      </w:divBdr>
    </w:div>
    <w:div w:id="716854839">
      <w:bodyDiv w:val="1"/>
      <w:marLeft w:val="0"/>
      <w:marRight w:val="0"/>
      <w:marTop w:val="0"/>
      <w:marBottom w:val="0"/>
      <w:divBdr>
        <w:top w:val="none" w:sz="0" w:space="0" w:color="auto"/>
        <w:left w:val="none" w:sz="0" w:space="0" w:color="auto"/>
        <w:bottom w:val="none" w:sz="0" w:space="0" w:color="auto"/>
        <w:right w:val="none" w:sz="0" w:space="0" w:color="auto"/>
      </w:divBdr>
      <w:divsChild>
        <w:div w:id="2060546674">
          <w:marLeft w:val="0"/>
          <w:marRight w:val="0"/>
          <w:marTop w:val="0"/>
          <w:marBottom w:val="0"/>
          <w:divBdr>
            <w:top w:val="none" w:sz="0" w:space="0" w:color="auto"/>
            <w:left w:val="none" w:sz="0" w:space="0" w:color="auto"/>
            <w:bottom w:val="none" w:sz="0" w:space="0" w:color="auto"/>
            <w:right w:val="none" w:sz="0" w:space="0" w:color="auto"/>
          </w:divBdr>
          <w:divsChild>
            <w:div w:id="1708291107">
              <w:marLeft w:val="0"/>
              <w:marRight w:val="0"/>
              <w:marTop w:val="0"/>
              <w:marBottom w:val="0"/>
              <w:divBdr>
                <w:top w:val="none" w:sz="0" w:space="0" w:color="auto"/>
                <w:left w:val="none" w:sz="0" w:space="0" w:color="auto"/>
                <w:bottom w:val="none" w:sz="0" w:space="0" w:color="auto"/>
                <w:right w:val="none" w:sz="0" w:space="0" w:color="auto"/>
              </w:divBdr>
              <w:divsChild>
                <w:div w:id="74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0F64-B8F6-41CC-B930-63438493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1701</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5</cp:revision>
  <cp:lastPrinted>2014-06-23T16:05:00Z</cp:lastPrinted>
  <dcterms:created xsi:type="dcterms:W3CDTF">2017-04-11T16:37:00Z</dcterms:created>
  <dcterms:modified xsi:type="dcterms:W3CDTF">2017-04-25T19:15:00Z</dcterms:modified>
</cp:coreProperties>
</file>