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203221">
        <w:rPr>
          <w:b/>
          <w:lang w:val="es-ES"/>
        </w:rPr>
        <w:t>24</w:t>
      </w:r>
      <w:r w:rsidR="000100EE">
        <w:rPr>
          <w:b/>
          <w:lang w:val="es-ES"/>
        </w:rPr>
        <w:t>/201</w:t>
      </w:r>
      <w:r w:rsidR="00DF193F">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BC04D8"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rsidRPr="00BC04D8">
              <w:rPr>
                <w:lang w:val="es-ES"/>
              </w:rPr>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7F5EDA" w:rsidP="00BC04D8">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Etapa </w:t>
            </w:r>
            <w:r w:rsidR="00BC04D8">
              <w:rPr>
                <w:rFonts w:cs="Calibri"/>
              </w:rPr>
              <w:t>Experimental</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9F1E3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9F1E3F" w:rsidRDefault="009F1E3F" w:rsidP="009F1E3F">
            <w:pPr>
              <w:jc w:val="both"/>
              <w:cnfStyle w:val="000000000000" w:firstRow="0" w:lastRow="0" w:firstColumn="0" w:lastColumn="0" w:oddVBand="0" w:evenVBand="0" w:oddHBand="0" w:evenHBand="0" w:firstRowFirstColumn="0" w:firstRowLastColumn="0" w:lastRowFirstColumn="0" w:lastRowLastColumn="0"/>
              <w:rPr>
                <w:rFonts w:cs="Calibri"/>
                <w:lang w:val="es-ES"/>
              </w:rPr>
            </w:pPr>
            <w:r w:rsidRPr="009F1E3F">
              <w:rPr>
                <w:rFonts w:cs="Calibri"/>
                <w:lang w:val="es-ES"/>
              </w:rPr>
              <w:t>BCS-GHØ</w:t>
            </w:r>
            <m:oMath>
              <m:r>
                <w:rPr>
                  <w:rFonts w:ascii="Cambria Math" w:hAnsi="Cambria Math" w:cs="Calibri"/>
                  <w:lang w:val="es-ES"/>
                </w:rPr>
                <m:t>Ø</m:t>
              </m:r>
            </m:oMath>
            <w:r w:rsidRPr="009F1E3F">
              <w:rPr>
                <w:rFonts w:cs="Calibri"/>
                <w:lang w:val="es-ES"/>
              </w:rPr>
              <w:t>2-5 x ACS-GHØØ</w:t>
            </w:r>
            <w:r w:rsidR="00BC04D8" w:rsidRPr="009F1E3F">
              <w:rPr>
                <w:rFonts w:cs="Calibri"/>
                <w:lang w:val="es-ES"/>
              </w:rPr>
              <w:t>1-3</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BC04D8"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BC04D8">
              <w:rPr>
                <w:rFonts w:cs="Calibri"/>
                <w:color w:val="000000"/>
              </w:rPr>
              <w:t>Tolerancia a los herbicidas con ingrediente activo glufosinato de amonio y glifosato.</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BC04D8" w:rsidP="004A485E">
            <w:pPr>
              <w:jc w:val="both"/>
              <w:cnfStyle w:val="000000000000" w:firstRow="0" w:lastRow="0" w:firstColumn="0" w:lastColumn="0" w:oddVBand="0" w:evenVBand="0" w:oddHBand="0" w:evenHBand="0" w:firstRowFirstColumn="0" w:firstRowLastColumn="0" w:lastRowFirstColumn="0" w:lastRowLastColumn="0"/>
              <w:rPr>
                <w:rFonts w:cs="Calibri"/>
              </w:rPr>
            </w:pPr>
            <w:r w:rsidRPr="00BC04D8">
              <w:t>Chihuahua y Coahuila</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BC04D8"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BC04D8">
              <w:rPr>
                <w:rFonts w:cs="Calibri"/>
                <w:color w:val="000000"/>
              </w:rPr>
              <w:t xml:space="preserve">Regiones ecológicas “Planicies del centro del Desierto Chihuahuense </w:t>
            </w:r>
            <w:bookmarkStart w:id="0" w:name="_GoBack"/>
            <w:bookmarkEnd w:id="0"/>
            <w:r w:rsidRPr="00BC04D8">
              <w:rPr>
                <w:rFonts w:cs="Calibri"/>
                <w:color w:val="000000"/>
              </w:rPr>
              <w:t xml:space="preserve">con vegetación xerófila </w:t>
            </w:r>
            <w:proofErr w:type="spellStart"/>
            <w:r w:rsidRPr="00BC04D8">
              <w:rPr>
                <w:rFonts w:cs="Calibri"/>
                <w:color w:val="000000"/>
              </w:rPr>
              <w:t>micrófila</w:t>
            </w:r>
            <w:proofErr w:type="spellEnd"/>
            <w:r w:rsidRPr="00BC04D8">
              <w:rPr>
                <w:rFonts w:cs="Calibri"/>
                <w:color w:val="000000"/>
              </w:rPr>
              <w:t>-halófila” y “Piedemontes y Planicies con pastizal, matorral xerófilo y bosques de encinos y coníferas”.</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BC04D8" w:rsidP="004A485E">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 </w:t>
            </w:r>
            <w:proofErr w:type="gramStart"/>
            <w:r>
              <w:rPr>
                <w:rFonts w:cs="Calibri"/>
              </w:rPr>
              <w:t>Verano</w:t>
            </w:r>
            <w:proofErr w:type="gramEnd"/>
            <w:r>
              <w:rPr>
                <w:rFonts w:cs="Calibri"/>
              </w:rPr>
              <w:t xml:space="preserve"> 2017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6A5A97" w:rsidRDefault="00BC04D8" w:rsidP="00E27A47">
            <w:pPr>
              <w:pStyle w:val="Prrafodelista"/>
              <w:numPr>
                <w:ilvl w:val="0"/>
                <w:numId w:val="24"/>
              </w:numPr>
              <w:tabs>
                <w:tab w:val="left" w:pos="1318"/>
              </w:tabs>
              <w:rPr>
                <w:b w:val="0"/>
                <w:lang w:val="es-ES"/>
              </w:rPr>
            </w:pPr>
            <w:r w:rsidRPr="006A5A97">
              <w:rPr>
                <w:b w:val="0"/>
                <w:lang w:val="es-ES"/>
              </w:rPr>
              <w:t>No Aplica.</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BC04D8" w:rsidRPr="00BC04D8"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BC04D8" w:rsidRPr="00BC04D8" w:rsidRDefault="00BC04D8" w:rsidP="00BC04D8">
            <w:pPr>
              <w:rPr>
                <w:b w:val="0"/>
              </w:rPr>
            </w:pPr>
            <w:r w:rsidRPr="00BC04D8">
              <w:rPr>
                <w:rFonts w:ascii="Times New Roman" w:eastAsia="Batang" w:hAnsi="Times New Roman" w:cs="Times New Roman"/>
                <w:b w:val="0"/>
                <w:kern w:val="18"/>
              </w:rPr>
              <w:t xml:space="preserve">Comparar la equivalencia agronómica y fenotípica del algodón GlyTol® </w:t>
            </w:r>
            <w:proofErr w:type="spellStart"/>
            <w:r w:rsidRPr="00BC04D8">
              <w:rPr>
                <w:rFonts w:ascii="Times New Roman" w:eastAsia="Batang" w:hAnsi="Times New Roman" w:cs="Times New Roman"/>
                <w:b w:val="0"/>
                <w:kern w:val="18"/>
              </w:rPr>
              <w:t>LibertyLink</w:t>
            </w:r>
            <w:proofErr w:type="spellEnd"/>
            <w:r w:rsidRPr="00BC04D8">
              <w:rPr>
                <w:rFonts w:ascii="Times New Roman" w:eastAsia="Batang" w:hAnsi="Times New Roman" w:cs="Times New Roman"/>
                <w:b w:val="0"/>
                <w:kern w:val="18"/>
              </w:rPr>
              <w:t xml:space="preserve">® (GLT) con su contraparte convencional, así como documentar los beneficios, impacto ambiental y uso seguro de la tecnología GLT en el cultivo del algodón. </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BC04D8" w:rsidRDefault="00BC04D8" w:rsidP="00BC04D8">
            <w:pPr>
              <w:jc w:val="center"/>
              <w:cnfStyle w:val="000000100000" w:firstRow="0" w:lastRow="0" w:firstColumn="0" w:lastColumn="0" w:oddVBand="0" w:evenVBand="0" w:oddHBand="1" w:evenHBand="0" w:firstRowFirstColumn="0" w:firstRowLastColumn="0" w:lastRowFirstColumn="0" w:lastRowLastColumn="0"/>
              <w:rPr>
                <w:bCs/>
                <w:i/>
                <w:color w:val="000000" w:themeColor="text1"/>
              </w:rPr>
            </w:pPr>
            <w:r w:rsidRPr="00BC04D8">
              <w:rPr>
                <w:bCs/>
                <w:i/>
                <w:color w:val="000000" w:themeColor="text1"/>
              </w:rPr>
              <w:t>Zea mays, y Streptomyces hygroscopicus.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1" w:name="Casilla67"/>
            <w:r w:rsidR="00BC282F" w:rsidRPr="00E273DD">
              <w:rPr>
                <w:color w:val="000000" w:themeColor="text1"/>
              </w:rPr>
              <w:instrText xml:space="preserve"> FORMCHECKBOX </w:instrText>
            </w:r>
            <w:r w:rsidR="00DA4447">
              <w:rPr>
                <w:color w:val="000000" w:themeColor="text1"/>
                <w:lang w:val="en-US"/>
              </w:rPr>
            </w:r>
            <w:r w:rsidR="00DA4447">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2"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DA4447">
              <w:rPr>
                <w:color w:val="000000" w:themeColor="text1"/>
                <w:lang w:val="en-US"/>
              </w:rPr>
            </w:r>
            <w:r w:rsidR="00DA4447">
              <w:rPr>
                <w:color w:val="000000" w:themeColor="text1"/>
                <w:lang w:val="en-US"/>
              </w:rPr>
              <w:fldChar w:fldCharType="separate"/>
            </w:r>
            <w:r w:rsidRPr="00E273DD">
              <w:rPr>
                <w:color w:val="000000" w:themeColor="text1"/>
                <w:lang w:val="en-US"/>
              </w:rPr>
              <w:fldChar w:fldCharType="end"/>
            </w:r>
            <w:bookmarkEnd w:id="2"/>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 xml:space="preserve">Caracterización molecular (método de  </w:t>
            </w:r>
            <w:r>
              <w:rPr>
                <w:lang w:val="es-ES"/>
              </w:rPr>
              <w:lastRenderedPageBreak/>
              <w:t>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Pr="00BC04D8" w:rsidRDefault="00BC04D8" w:rsidP="00BC0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BC04D8">
              <w:rPr>
                <w:rFonts w:eastAsia="Batang"/>
                <w:kern w:val="18"/>
              </w:rPr>
              <w:lastRenderedPageBreak/>
              <w:t xml:space="preserve">El algodón genéticamente modificado evento </w:t>
            </w:r>
            <w:r w:rsidRPr="00BC04D8">
              <w:t>BCS-GH002-5 x ACS GH001-3</w:t>
            </w:r>
            <w:r w:rsidRPr="00BC04D8">
              <w:rPr>
                <w:rFonts w:eastAsia="Batang"/>
                <w:kern w:val="18"/>
              </w:rPr>
              <w:t xml:space="preserve">, de nombre comercial GlyTol® </w:t>
            </w:r>
            <w:proofErr w:type="spellStart"/>
            <w:r w:rsidRPr="00BC04D8">
              <w:rPr>
                <w:rFonts w:eastAsia="Batang"/>
                <w:kern w:val="18"/>
              </w:rPr>
              <w:t>LibertyLink</w:t>
            </w:r>
            <w:proofErr w:type="spellEnd"/>
            <w:r w:rsidRPr="00BC04D8">
              <w:rPr>
                <w:rFonts w:eastAsia="Batang"/>
                <w:kern w:val="18"/>
              </w:rPr>
              <w:t xml:space="preserve">® contiene los </w:t>
            </w:r>
            <w:r w:rsidRPr="00BC04D8">
              <w:rPr>
                <w:rFonts w:eastAsia="Batang"/>
                <w:kern w:val="18"/>
              </w:rPr>
              <w:lastRenderedPageBreak/>
              <w:t xml:space="preserve">genes </w:t>
            </w:r>
            <w:r w:rsidRPr="00BC04D8">
              <w:rPr>
                <w:rFonts w:eastAsia="Batang"/>
                <w:i/>
                <w:kern w:val="18"/>
              </w:rPr>
              <w:t>2mepsps y bar,</w:t>
            </w:r>
            <w:r w:rsidRPr="00BC04D8">
              <w:rPr>
                <w:rFonts w:eastAsia="Batang"/>
                <w:kern w:val="18"/>
              </w:rPr>
              <w:t xml:space="preserve"> que le confieren tolerancia a la aplicación de los herbicidas con ingrediente activo glifosato y glufosinato de amonio. </w:t>
            </w:r>
          </w:p>
          <w:p w:rsidR="00AE5929" w:rsidRPr="00BC04D8" w:rsidRDefault="00BC04D8" w:rsidP="00BC04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BC04D8">
              <w:rPr>
                <w:rFonts w:eastAsia="Batang"/>
                <w:kern w:val="18"/>
              </w:rPr>
              <w:t xml:space="preserve">Las proteínas producto de la expresión de los genes </w:t>
            </w:r>
            <w:r w:rsidRPr="00BC04D8">
              <w:rPr>
                <w:rFonts w:eastAsia="Batang"/>
                <w:i/>
                <w:kern w:val="18"/>
              </w:rPr>
              <w:t>2mepsps</w:t>
            </w:r>
            <w:r w:rsidRPr="00BC04D8">
              <w:rPr>
                <w:rFonts w:eastAsia="Batang"/>
                <w:kern w:val="18"/>
              </w:rPr>
              <w:t xml:space="preserve"> y </w:t>
            </w:r>
            <w:r w:rsidRPr="00BC04D8">
              <w:rPr>
                <w:rFonts w:eastAsia="Batang"/>
                <w:i/>
                <w:kern w:val="18"/>
              </w:rPr>
              <w:t>bar</w:t>
            </w:r>
            <w:r w:rsidRPr="00BC04D8">
              <w:rPr>
                <w:rFonts w:eastAsia="Batang"/>
                <w:kern w:val="18"/>
              </w:rPr>
              <w:t>, son: la proteína 2mEPSPS que proviene del maíz (</w:t>
            </w:r>
            <w:r w:rsidRPr="00BC04D8">
              <w:rPr>
                <w:rFonts w:eastAsia="Batang"/>
                <w:i/>
                <w:kern w:val="18"/>
              </w:rPr>
              <w:t>Zea mays</w:t>
            </w:r>
            <w:r w:rsidRPr="00BC04D8">
              <w:rPr>
                <w:rFonts w:eastAsia="Batang"/>
                <w:kern w:val="18"/>
              </w:rPr>
              <w:t xml:space="preserve">). La proteína expresada por el algodón genéticamente modificado difiere en dos aminoácidos de la proteína nativa del maíz y confiere la tolerancia a glifosato, mientras que el gen </w:t>
            </w:r>
            <w:r w:rsidRPr="00BC04D8">
              <w:rPr>
                <w:rFonts w:eastAsia="Batang"/>
                <w:i/>
                <w:kern w:val="18"/>
              </w:rPr>
              <w:t>bar</w:t>
            </w:r>
            <w:r w:rsidRPr="00BC04D8">
              <w:rPr>
                <w:rFonts w:eastAsia="Batang"/>
                <w:kern w:val="18"/>
              </w:rPr>
              <w:t xml:space="preserve"> codifica para la proteína PAT que confiere la tolerancia al herbicida glufosinato de amonio. El gen </w:t>
            </w:r>
            <w:r w:rsidRPr="00BC04D8">
              <w:rPr>
                <w:rFonts w:eastAsia="Batang"/>
                <w:i/>
                <w:kern w:val="18"/>
              </w:rPr>
              <w:t>bar</w:t>
            </w:r>
            <w:r w:rsidRPr="00BC04D8">
              <w:rPr>
                <w:rFonts w:eastAsia="Batang"/>
                <w:kern w:val="18"/>
              </w:rPr>
              <w:t xml:space="preserve"> proviene de la bacteria </w:t>
            </w:r>
            <w:r w:rsidRPr="00BC04D8">
              <w:rPr>
                <w:rFonts w:eastAsia="Batang"/>
                <w:i/>
                <w:kern w:val="18"/>
              </w:rPr>
              <w:t>Streptomyces hygroscopicus</w:t>
            </w:r>
            <w:r w:rsidRPr="00BC04D8">
              <w:rPr>
                <w:rFonts w:eastAsia="Batang"/>
                <w:kern w:val="18"/>
              </w:rPr>
              <w:t xml:space="preserve"> que es una bacteria del suelo, de amplia distribución en la naturaleza. </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lastRenderedPageBreak/>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BC04D8" w:rsidRDefault="00BC04D8" w:rsidP="00BC04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Helvetica"/>
              </w:rPr>
            </w:pPr>
            <w:r w:rsidRPr="00BC04D8">
              <w:rPr>
                <w:rFonts w:cs="Helvetica"/>
              </w:rPr>
              <w:t xml:space="preserve">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 </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Pr="00BC04D8" w:rsidRDefault="00BC04D8" w:rsidP="00BC04D8">
            <w:pPr>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BC04D8">
              <w:rPr>
                <w:rFonts w:eastAsia="Batang"/>
                <w:kern w:val="18"/>
              </w:rPr>
              <w:t xml:space="preserve">Las plantas voluntarias de algodón se pueden controlar por medios mecánicos o químicos. Las proteínas 2mEPSPS y PAT no tienen efectos evidentes sobre el metabolismo normal de la planta, más allá de los efectos resultantes de la modificación genética. </w:t>
            </w:r>
          </w:p>
          <w:p w:rsidR="00B85F1B" w:rsidRPr="00BC04D8" w:rsidRDefault="00BC04D8" w:rsidP="00BC04D8">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rsidRPr="00BC04D8">
              <w:rPr>
                <w:rFonts w:eastAsia="Batang"/>
                <w:kern w:val="18"/>
              </w:rPr>
              <w:t xml:space="preserve">La secuencia de aminoácidos de la proteína 2mEPSPS no muestra homología con secuencias de alérgenos en las bases de datos de proteínas actuales. Adicionalmente, la proteína 2mEPSPS es rápidamente desnaturalizada por el calor y la digestión enzimática y ácida en fluidos gástricos simulados. El gen </w:t>
            </w:r>
            <w:r w:rsidRPr="00BC04D8">
              <w:rPr>
                <w:rFonts w:eastAsia="Batang"/>
                <w:i/>
                <w:kern w:val="18"/>
              </w:rPr>
              <w:t>bar</w:t>
            </w:r>
            <w:r w:rsidRPr="00BC04D8">
              <w:rPr>
                <w:rFonts w:eastAsia="Batang"/>
                <w:kern w:val="18"/>
              </w:rPr>
              <w:t xml:space="preserve"> proveniente de la bacteria </w:t>
            </w:r>
            <w:r w:rsidRPr="00BC04D8">
              <w:rPr>
                <w:rFonts w:eastAsia="Batang"/>
                <w:i/>
                <w:kern w:val="18"/>
              </w:rPr>
              <w:t xml:space="preserve">Streptomyces hygroscopicus, </w:t>
            </w:r>
            <w:r w:rsidRPr="00BC04D8">
              <w:rPr>
                <w:rFonts w:eastAsia="Batang"/>
                <w:kern w:val="18"/>
              </w:rPr>
              <w:t>no presenta antecedentes reportados de tener características patógenas o de alérgenos para humanos o animales</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BC04D8" w:rsidRPr="00BC04D8"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Pr="00BC04D8" w:rsidRDefault="00BC04D8" w:rsidP="00BC04D8">
            <w:pPr>
              <w:pStyle w:val="Prrafodelista"/>
              <w:numPr>
                <w:ilvl w:val="0"/>
                <w:numId w:val="11"/>
              </w:numPr>
              <w:tabs>
                <w:tab w:val="left" w:pos="426"/>
              </w:tabs>
              <w:ind w:left="284" w:hanging="142"/>
              <w:jc w:val="both"/>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Default="00BC04D8" w:rsidP="00BC04D8">
            <w:pPr>
              <w:jc w:val="both"/>
              <w:cnfStyle w:val="000000000000" w:firstRow="0" w:lastRow="0" w:firstColumn="0" w:lastColumn="0" w:oddVBand="0" w:evenVBand="0" w:oddHBand="0" w:evenHBand="0" w:firstRowFirstColumn="0" w:firstRowLastColumn="0" w:lastRowFirstColumn="0" w:lastRowLastColumn="0"/>
              <w:rPr>
                <w:rFonts w:eastAsia="Batang"/>
                <w:kern w:val="18"/>
              </w:rPr>
            </w:pPr>
            <w:r w:rsidRPr="00BC04D8">
              <w:rPr>
                <w:rFonts w:eastAsia="Batang"/>
                <w:kern w:val="18"/>
              </w:rPr>
              <w:t xml:space="preserve">La diferencia de </w:t>
            </w:r>
            <w:proofErr w:type="spellStart"/>
            <w:r w:rsidRPr="00BC04D8">
              <w:rPr>
                <w:rFonts w:eastAsia="Batang"/>
                <w:kern w:val="18"/>
              </w:rPr>
              <w:t>ploidía</w:t>
            </w:r>
            <w:proofErr w:type="spellEnd"/>
            <w:r w:rsidRPr="00BC04D8">
              <w:rPr>
                <w:rFonts w:eastAsia="Batang"/>
                <w:kern w:val="18"/>
              </w:rPr>
              <w:t xml:space="preserve"> de las variedades </w:t>
            </w:r>
            <w:proofErr w:type="spellStart"/>
            <w:r w:rsidRPr="00BC04D8">
              <w:rPr>
                <w:rFonts w:eastAsia="Batang"/>
                <w:kern w:val="18"/>
              </w:rPr>
              <w:t>tetraploides</w:t>
            </w:r>
            <w:proofErr w:type="spellEnd"/>
            <w:r w:rsidRPr="00BC04D8">
              <w:rPr>
                <w:rFonts w:eastAsia="Batang"/>
                <w:kern w:val="18"/>
              </w:rPr>
              <w:t xml:space="preserve"> de algodón dificulta los entrecruzamientos con las especies silvestres, ya que pocas especies diploides producen semillas híbridas cuando son polinizadas con polen de algodón tetraploide. En caso de presentarse polinización efectiva, las plantas híbridas triploides resultantes no podrían propagarse. Esto porque aunque usualmente crecen y desarrollan terminaciones florales y no forman polen viable debido a que los pares de cromosomas están desbalanceados. </w:t>
            </w:r>
          </w:p>
          <w:p w:rsidR="00BC04D8" w:rsidRPr="00BC04D8" w:rsidRDefault="00BC04D8" w:rsidP="00BC04D8">
            <w:pPr>
              <w:jc w:val="both"/>
              <w:cnfStyle w:val="000000000000" w:firstRow="0" w:lastRow="0" w:firstColumn="0" w:lastColumn="0" w:oddVBand="0" w:evenVBand="0" w:oddHBand="0" w:evenHBand="0" w:firstRowFirstColumn="0" w:firstRowLastColumn="0" w:lastRowFirstColumn="0" w:lastRowLastColumn="0"/>
            </w:pPr>
            <w:r w:rsidRPr="00BC04D8">
              <w:t xml:space="preserve">En la evolución de las plantas, la </w:t>
            </w:r>
            <w:proofErr w:type="spellStart"/>
            <w:r w:rsidRPr="00BC04D8">
              <w:t>ploidía</w:t>
            </w:r>
            <w:proofErr w:type="spellEnd"/>
            <w:r w:rsidRPr="00BC04D8">
              <w:t xml:space="preserve"> se ha incrementado a partir de hibridaciones y se ha establecido que el </w:t>
            </w:r>
            <w:r w:rsidRPr="00BC04D8">
              <w:rPr>
                <w:i/>
              </w:rPr>
              <w:t xml:space="preserve">Gossypium </w:t>
            </w:r>
            <w:r w:rsidRPr="00BC04D8">
              <w:t>tetraploide (algodón cultivado) se originó de esta manera.</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BC04D8" w:rsidRPr="00BC04D8"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Pr="00BC04D8" w:rsidRDefault="00BC04D8" w:rsidP="00BC04D8">
            <w:pPr>
              <w:pStyle w:val="Prrafodelista"/>
              <w:numPr>
                <w:ilvl w:val="0"/>
                <w:numId w:val="11"/>
              </w:numPr>
              <w:tabs>
                <w:tab w:val="left" w:pos="426"/>
              </w:tabs>
              <w:ind w:left="284" w:hanging="142"/>
              <w:jc w:val="both"/>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4D8" w:rsidRPr="00BC04D8" w:rsidRDefault="00BC04D8" w:rsidP="00BC04D8">
            <w:pPr>
              <w:jc w:val="both"/>
              <w:cnfStyle w:val="000000000000" w:firstRow="0" w:lastRow="0" w:firstColumn="0" w:lastColumn="0" w:oddVBand="0" w:evenVBand="0" w:oddHBand="0" w:evenHBand="0" w:firstRowFirstColumn="0" w:firstRowLastColumn="0" w:lastRowFirstColumn="0" w:lastRowLastColumn="0"/>
            </w:pPr>
            <w:r w:rsidRPr="00BC04D8">
              <w:rPr>
                <w:rFonts w:eastAsia="Batang"/>
                <w:kern w:val="18"/>
              </w:rPr>
              <w:t xml:space="preserve">El potencial de entrecruzamiento con parientes silvestres es poco probable debido al relativo aislamiento de la distribución de especies del genero </w:t>
            </w:r>
            <w:r w:rsidRPr="00BC04D8">
              <w:rPr>
                <w:rFonts w:eastAsia="Batang"/>
                <w:i/>
                <w:kern w:val="18"/>
              </w:rPr>
              <w:t>Gossypium</w:t>
            </w:r>
            <w:r w:rsidRPr="00BC04D8">
              <w:rPr>
                <w:rFonts w:eastAsia="Batang"/>
                <w:kern w:val="18"/>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BC04D8" w:rsidDel="00CA0E1A" w:rsidRDefault="00BC04D8" w:rsidP="00754CE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BC04D8">
              <w:rPr>
                <w:rFonts w:eastAsia="Batang"/>
                <w:kern w:val="18"/>
              </w:rPr>
              <w:t xml:space="preserve">No se tienen antecedentes que indiquen que las proteínas expresadas por el organismo genéticamente modificado tengan efectos adversos sobre </w:t>
            </w:r>
            <w:proofErr w:type="gramStart"/>
            <w:r w:rsidRPr="00BC04D8">
              <w:rPr>
                <w:rFonts w:eastAsia="Batang"/>
                <w:kern w:val="18"/>
              </w:rPr>
              <w:t>organismos no blanco</w:t>
            </w:r>
            <w:proofErr w:type="gramEnd"/>
            <w:r w:rsidRPr="00BC04D8">
              <w:rPr>
                <w:rFonts w:eastAsia="Batang"/>
                <w:kern w:val="18"/>
              </w:rPr>
              <w:t>.</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33684F" w:rsidRDefault="0033684F" w:rsidP="00266A15">
      <w:pPr>
        <w:spacing w:after="0" w:line="240" w:lineRule="auto"/>
        <w:jc w:val="right"/>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162474" w:rsidRPr="00C265F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C265F8" w:rsidRDefault="00162474" w:rsidP="00667DA0">
            <w:pPr>
              <w:rPr>
                <w:rFonts w:eastAsia="Times New Roman" w:cstheme="minorHAnsi"/>
                <w:lang w:val="es-ES"/>
              </w:rPr>
            </w:pPr>
            <w:r w:rsidRPr="00C265F8">
              <w:rPr>
                <w:rFonts w:eastAsia="Times New Roman" w:cstheme="minorHAnsi"/>
                <w:lang w:val="es-ES"/>
              </w:rPr>
              <w:t>Preliberación</w:t>
            </w:r>
          </w:p>
        </w:tc>
      </w:tr>
      <w:tr w:rsidR="00BC04D8"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BC04D8" w:rsidRDefault="00BC04D8" w:rsidP="00667DA0">
            <w:pPr>
              <w:rPr>
                <w:rFonts w:cstheme="minorHAnsi"/>
                <w:b w:val="0"/>
                <w:bCs w:val="0"/>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p w:rsidR="00BC04D8" w:rsidRPr="00BC04D8" w:rsidRDefault="00BC04D8" w:rsidP="00BC04D8">
            <w:pPr>
              <w:rPr>
                <w:rFonts w:cstheme="minorHAnsi"/>
                <w:lang w:val="es-ES"/>
              </w:rPr>
            </w:pPr>
          </w:p>
        </w:tc>
        <w:tc>
          <w:tcPr>
            <w:tcW w:w="8569" w:type="dxa"/>
          </w:tcPr>
          <w:p w:rsidR="00BC04D8" w:rsidRPr="004F18A6" w:rsidRDefault="00BC04D8"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EF0D0A">
              <w:rPr>
                <w:rFonts w:eastAsia="Times New Roman" w:cstheme="minorHAnsi"/>
              </w:rPr>
              <w:t>Proporcionar capacitación a todo el personal involucrado en la liberación en temas de biotecnología vegetal, acciones en materia de bioseguridad, las implicaciones y responsabilidades legales que contrae la utilización de OGM.</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162474" w:rsidRPr="004F18A6"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162474" w:rsidRPr="004F18A6" w:rsidRDefault="00162474"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sidRPr="004F18A6">
              <w:rPr>
                <w:rFonts w:eastAsia="Times New Roman" w:cstheme="minorHAnsi"/>
                <w:lang w:val="es-ES"/>
              </w:rPr>
              <w:t>Transportar material en empaques sellados desde origen hasta destino final con etiquetas que identifiquen la naturaleza del material.</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162474" w:rsidRPr="004F18A6"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162474" w:rsidRPr="004F18A6"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Reportar sobre la fecha de importación del material GM, el sitio de entrada al país, las rutas de movilización desde el sitio de entrada al país, los sitios de almacenamiento del material GM y los sitios de liberación.</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162474" w:rsidRPr="0076772D" w:rsidRDefault="00F46154"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162474" w:rsidRPr="004F18A6" w:rsidRDefault="00162474"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 xml:space="preserve">Entregar el listado de medidas preventivas en caso de movilización de semilla o material propagativo de algodón GM dentro del país, </w:t>
            </w:r>
            <w:proofErr w:type="spellStart"/>
            <w:r>
              <w:rPr>
                <w:rFonts w:eastAsia="Times New Roman" w:cstheme="minorHAnsi"/>
                <w:lang w:val="es-ES"/>
              </w:rPr>
              <w:t>asi</w:t>
            </w:r>
            <w:proofErr w:type="spellEnd"/>
            <w:r>
              <w:rPr>
                <w:rFonts w:eastAsia="Times New Roman" w:cstheme="minorHAnsi"/>
                <w:lang w:val="es-ES"/>
              </w:rPr>
              <w:t xml:space="preserve"> como un plan de acción en caso de existir alguna liberación accidental, incluyendo la justificación de las mismas.</w:t>
            </w:r>
          </w:p>
        </w:tc>
      </w:tr>
    </w:tbl>
    <w:p w:rsidR="00973AEF" w:rsidRDefault="00973AEF" w:rsidP="00973AEF">
      <w:pPr>
        <w:spacing w:after="0" w:line="240" w:lineRule="auto"/>
        <w:rPr>
          <w:rFonts w:eastAsia="Times New Roman" w:cstheme="minorHAnsi"/>
          <w:sz w:val="20"/>
          <w:szCs w:val="20"/>
        </w:rPr>
      </w:pPr>
    </w:p>
    <w:p w:rsidR="00162474" w:rsidRPr="00162474" w:rsidRDefault="00162474"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162474"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2C7408" w:rsidRDefault="00162474" w:rsidP="00667DA0">
            <w:pPr>
              <w:rPr>
                <w:rFonts w:eastAsia="Times New Roman" w:cstheme="minorHAnsi"/>
                <w:lang w:val="es-ES"/>
              </w:rPr>
            </w:pPr>
            <w:r w:rsidRPr="002C7408">
              <w:rPr>
                <w:rFonts w:eastAsia="Times New Roman" w:cstheme="minorHAnsi"/>
                <w:lang w:val="es-ES"/>
              </w:rPr>
              <w:t>Liberación</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BC04D8"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20" w:type="dxa"/>
          </w:tcPr>
          <w:p w:rsidR="00162474" w:rsidRPr="002C7408"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sidRPr="002C7408">
              <w:rPr>
                <w:rFonts w:eastAsia="Times New Roman" w:cstheme="minorHAnsi"/>
              </w:rPr>
              <w:t xml:space="preserve"> notificación de los sitios de liberación.</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2C7408" w:rsidRDefault="00162474"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Notificación de</w:t>
            </w:r>
            <w:r w:rsidRPr="002C7408">
              <w:rPr>
                <w:rFonts w:eastAsia="Times New Roman" w:cstheme="minorHAnsi"/>
              </w:rPr>
              <w:t xml:space="preserve"> la ruta de movilización y del sitio donde se realizaran los análisis productos de los ensayos de la liberación del OGM.</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E17A3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rPr>
            </w:pPr>
            <w:r w:rsidRPr="004F18A6">
              <w:rPr>
                <w:rFonts w:eastAsia="Times New Roman" w:cstheme="minorHAnsi"/>
              </w:rPr>
              <w:t>Proporcionar</w:t>
            </w:r>
            <w:r w:rsidR="00E17A36">
              <w:rPr>
                <w:rFonts w:eastAsia="Times New Roman" w:cstheme="minorHAnsi"/>
              </w:rPr>
              <w:t xml:space="preserve"> capacitación, asistencia té</w:t>
            </w:r>
            <w:r w:rsidRPr="007E58A4">
              <w:rPr>
                <w:rFonts w:eastAsia="Times New Roman" w:cstheme="minorHAnsi"/>
              </w:rPr>
              <w:t>cnica de colaboradores as</w:t>
            </w:r>
            <w:r w:rsidR="00E17A36">
              <w:rPr>
                <w:rFonts w:eastAsia="Times New Roman" w:cstheme="minorHAnsi"/>
              </w:rPr>
              <w:t>í</w:t>
            </w:r>
            <w:r w:rsidRPr="007E58A4">
              <w:rPr>
                <w:rFonts w:eastAsia="Times New Roman" w:cstheme="minorHAnsi"/>
              </w:rPr>
              <w:t xml:space="preserve"> como prácticas de manejo específicas.</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162474">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Fronteras de ingreso al país, Fecha de siembra de semilla GM, Fecha probable de cosecha y despepite.</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Pr="0076772D" w:rsidRDefault="00F46154"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Establecer refugios</w:t>
            </w:r>
            <w:r w:rsidRPr="007E58A4">
              <w:rPr>
                <w:rFonts w:eastAsia="Times New Roman" w:cstheme="minorHAnsi"/>
              </w:rPr>
              <w:t xml:space="preserve"> de algodón que no contengan el evento GM. </w:t>
            </w:r>
          </w:p>
        </w:tc>
      </w:tr>
      <w:tr w:rsidR="00696DF0"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696DF0" w:rsidRPr="0076772D" w:rsidRDefault="00BC04D8" w:rsidP="00667DA0">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20" w:type="dxa"/>
          </w:tcPr>
          <w:p w:rsidR="00696DF0" w:rsidRPr="004F18A6" w:rsidRDefault="00696DF0"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Entregar un</w:t>
            </w:r>
            <w:r w:rsidRPr="007E58A4">
              <w:rPr>
                <w:rFonts w:eastAsia="Times New Roman" w:cstheme="minorHAnsi"/>
                <w:lang w:val="es-ES"/>
              </w:rPr>
              <w:t xml:space="preserve"> informe de costo beneficio ambiental. </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BC04D8"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20" w:type="dxa"/>
          </w:tcPr>
          <w:p w:rsidR="00162474" w:rsidRPr="007E58A4" w:rsidRDefault="00162474"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Sembrar a una distancia específica de cualquier convencional (100), pariente silvestre (100m) o Áreas</w:t>
            </w:r>
            <w:r>
              <w:rPr>
                <w:rFonts w:eastAsia="Times New Roman" w:cstheme="minorHAnsi"/>
              </w:rPr>
              <w:t xml:space="preserve"> Naturales Protegidas (1Km), a una distancia no menor de 1km de distancia de los sitios RAMSAR. </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Búsqueda e</w:t>
            </w:r>
            <w:r w:rsidRPr="007E58A4">
              <w:rPr>
                <w:rFonts w:eastAsia="Times New Roman" w:cstheme="minorHAnsi"/>
              </w:rPr>
              <w:t xml:space="preserve"> identificación de malezas en la zona de liberación.</w:t>
            </w:r>
          </w:p>
        </w:tc>
      </w:tr>
      <w:tr w:rsidR="00162474" w:rsidRPr="002C7408" w:rsidTr="00667DA0">
        <w:trPr>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E800A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Búsqueda</w:t>
            </w:r>
            <w:r w:rsidRPr="007E58A4">
              <w:rPr>
                <w:rFonts w:eastAsia="Times New Roman" w:cstheme="minorHAnsi"/>
              </w:rPr>
              <w:t xml:space="preserve"> e identificación de insectos</w:t>
            </w:r>
            <w:r>
              <w:rPr>
                <w:rFonts w:eastAsia="Times New Roman" w:cstheme="minorHAnsi"/>
              </w:rPr>
              <w:t xml:space="preserve"> </w:t>
            </w:r>
            <w:r w:rsidR="00AC57B3">
              <w:rPr>
                <w:rFonts w:eastAsia="Times New Roman" w:cstheme="minorHAnsi"/>
              </w:rPr>
              <w:t>n</w:t>
            </w:r>
            <w:r>
              <w:rPr>
                <w:rFonts w:eastAsia="Times New Roman" w:cstheme="minorHAnsi"/>
              </w:rPr>
              <w:t>, as</w:t>
            </w:r>
            <w:r w:rsidR="00E800AD">
              <w:rPr>
                <w:rFonts w:eastAsia="Times New Roman" w:cstheme="minorHAnsi"/>
              </w:rPr>
              <w:t>í</w:t>
            </w:r>
            <w:r>
              <w:rPr>
                <w:rFonts w:eastAsia="Times New Roman" w:cstheme="minorHAnsi"/>
              </w:rPr>
              <w:t xml:space="preserve"> como de insectos no bla</w:t>
            </w:r>
            <w:r w:rsidR="00AC57B3">
              <w:rPr>
                <w:rFonts w:eastAsia="Times New Roman" w:cstheme="minorHAnsi"/>
              </w:rPr>
              <w:t>n</w:t>
            </w:r>
            <w:r>
              <w:rPr>
                <w:rFonts w:eastAsia="Times New Roman" w:cstheme="minorHAnsi"/>
              </w:rPr>
              <w:t xml:space="preserve">co </w:t>
            </w:r>
            <w:r w:rsidR="00696DF0">
              <w:rPr>
                <w:rFonts w:eastAsia="Times New Roman" w:cstheme="minorHAnsi"/>
              </w:rPr>
              <w:t xml:space="preserve"> en la zona de </w:t>
            </w:r>
            <w:r w:rsidR="00696DF0">
              <w:rPr>
                <w:rFonts w:eastAsia="Times New Roman" w:cstheme="minorHAnsi"/>
              </w:rPr>
              <w:lastRenderedPageBreak/>
              <w:t>liberación, e incluir en el reporte de resultados, metodología a implementar, perio</w:t>
            </w:r>
            <w:r w:rsidR="00AC57B3">
              <w:rPr>
                <w:rFonts w:eastAsia="Times New Roman" w:cstheme="minorHAnsi"/>
              </w:rPr>
              <w:t>di</w:t>
            </w:r>
            <w:r w:rsidR="00696DF0">
              <w:rPr>
                <w:rFonts w:eastAsia="Times New Roman" w:cstheme="minorHAnsi"/>
              </w:rPr>
              <w:t>cidad del trampeo, métodos de trampeo, diseño experimental, análisis estadístico, dinámica poblacional, niveles de expresión proteica, efectividad biológica, daños por plagas primarias y secundarias, deter</w:t>
            </w:r>
            <w:r w:rsidR="00AC57B3">
              <w:rPr>
                <w:rFonts w:eastAsia="Times New Roman" w:cstheme="minorHAnsi"/>
              </w:rPr>
              <w:t xml:space="preserve">minación de CL50 de cada especie </w:t>
            </w:r>
            <w:r w:rsidR="00696DF0">
              <w:rPr>
                <w:rFonts w:eastAsia="Times New Roman" w:cstheme="minorHAnsi"/>
              </w:rPr>
              <w:t>objetivo.</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lastRenderedPageBreak/>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Establecer programa</w:t>
            </w:r>
            <w:r w:rsidRPr="007E58A4">
              <w:rPr>
                <w:rFonts w:eastAsia="Times New Roman" w:cstheme="minorHAnsi"/>
              </w:rPr>
              <w:t xml:space="preserve"> de monitoreo de plantas voluntarias de algodón GM en un periodo de un año. </w:t>
            </w:r>
          </w:p>
        </w:tc>
      </w:tr>
      <w:tr w:rsidR="00162474" w:rsidRPr="002C7408" w:rsidTr="00667DA0">
        <w:trPr>
          <w:trHeight w:val="190"/>
        </w:trPr>
        <w:tc>
          <w:tcPr>
            <w:cnfStyle w:val="001000000000" w:firstRow="0" w:lastRow="0" w:firstColumn="1" w:lastColumn="0" w:oddVBand="0" w:evenVBand="0" w:oddHBand="0" w:evenHBand="0" w:firstRowFirstColumn="0" w:firstRowLastColumn="0" w:lastRowFirstColumn="0" w:lastRowLastColumn="0"/>
            <w:tcW w:w="534" w:type="dxa"/>
          </w:tcPr>
          <w:p w:rsidR="00162474" w:rsidRPr="0076772D" w:rsidRDefault="00F46154"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r w:rsidR="00162474">
              <w:rPr>
                <w:rFonts w:eastAsia="Times New Roman" w:cstheme="minorHAnsi"/>
                <w:lang w:val="es-ES"/>
              </w:rPr>
              <w:t xml:space="preserve">            </w:t>
            </w:r>
          </w:p>
        </w:tc>
        <w:tc>
          <w:tcPr>
            <w:tcW w:w="8520" w:type="dxa"/>
          </w:tcPr>
          <w:p w:rsidR="00162474" w:rsidRPr="007E58A4" w:rsidRDefault="00696DF0" w:rsidP="00E074C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Generar información de línea base que permita en ciclos posteriores, realizar el monitoreo de la tolerancia de malezas al herbicida </w:t>
            </w:r>
            <w:r w:rsidR="00E074C8">
              <w:rPr>
                <w:rFonts w:eastAsia="Times New Roman" w:cstheme="minorHAnsi"/>
              </w:rPr>
              <w:t>glifosato, e incluir los puntos: met</w:t>
            </w:r>
            <w:r w:rsidR="00AC57B3">
              <w:rPr>
                <w:rFonts w:eastAsia="Times New Roman" w:cstheme="minorHAnsi"/>
              </w:rPr>
              <w:t>odología a implementar, periodici</w:t>
            </w:r>
            <w:r w:rsidR="00E074C8">
              <w:rPr>
                <w:rFonts w:eastAsia="Times New Roman" w:cstheme="minorHAnsi"/>
              </w:rPr>
              <w:t>dad del muestreo, sistema de muestreo, diseño experimental, análisis estadístico, listado de malezas encontradas, densidad de cada especie emergida, de cada especie en el banco de semillas, distribución de malezas en campo, dinámica poblacional de malezas, monitoreo de la resistencia.</w:t>
            </w:r>
          </w:p>
        </w:tc>
      </w:tr>
      <w:tr w:rsidR="00BC04D8" w:rsidRPr="002C7408" w:rsidTr="00667DA0">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34" w:type="dxa"/>
          </w:tcPr>
          <w:p w:rsidR="00BC04D8" w:rsidRPr="00202B0F" w:rsidRDefault="00BC04D8"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20" w:type="dxa"/>
          </w:tcPr>
          <w:p w:rsidR="00BC04D8" w:rsidRDefault="00BC04D8" w:rsidP="00E074C8">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Destruir el material vegetal producto de la cosecha mediante métodos físicos, químicos, mecánicos o combinación de estas, dentro del predio de liberación y </w:t>
            </w:r>
            <w:proofErr w:type="spellStart"/>
            <w:r>
              <w:rPr>
                <w:rFonts w:eastAsia="Times New Roman" w:cstheme="minorHAnsi"/>
              </w:rPr>
              <w:t>videnciar</w:t>
            </w:r>
            <w:proofErr w:type="spellEnd"/>
            <w:r>
              <w:rPr>
                <w:rFonts w:eastAsia="Times New Roman" w:cstheme="minorHAnsi"/>
              </w:rPr>
              <w:t xml:space="preserve"> fotográficamente la destrucción  de dicho material.</w:t>
            </w:r>
          </w:p>
        </w:tc>
      </w:tr>
    </w:tbl>
    <w:p w:rsidR="00C75679" w:rsidRDefault="00C75679" w:rsidP="00973AEF">
      <w:pPr>
        <w:spacing w:after="0" w:line="240" w:lineRule="auto"/>
        <w:rPr>
          <w:rFonts w:eastAsia="Times New Roman" w:cstheme="minorHAnsi"/>
          <w:sz w:val="20"/>
          <w:szCs w:val="20"/>
        </w:rPr>
      </w:pPr>
    </w:p>
    <w:p w:rsidR="00C75679" w:rsidRPr="00162474" w:rsidRDefault="00C75679"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696DF0"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696DF0" w:rsidRPr="002C7408" w:rsidRDefault="00696DF0" w:rsidP="00667DA0">
            <w:pPr>
              <w:rPr>
                <w:rFonts w:eastAsia="Times New Roman" w:cstheme="minorHAnsi"/>
                <w:lang w:val="es-ES"/>
              </w:rPr>
            </w:pPr>
            <w:proofErr w:type="spellStart"/>
            <w:r w:rsidRPr="002C7408">
              <w:rPr>
                <w:rFonts w:eastAsia="Times New Roman" w:cstheme="minorHAnsi"/>
                <w:lang w:val="es-ES"/>
              </w:rPr>
              <w:t>Pos</w:t>
            </w:r>
            <w:proofErr w:type="spellEnd"/>
            <w:r w:rsidRPr="002C7408">
              <w:rPr>
                <w:rFonts w:eastAsia="Times New Roman" w:cstheme="minorHAnsi"/>
                <w:lang w:val="es-ES"/>
              </w:rPr>
              <w:t xml:space="preserve"> liberación</w:t>
            </w:r>
          </w:p>
        </w:tc>
      </w:tr>
      <w:tr w:rsidR="00696DF0"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696DF0"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696DF0" w:rsidRPr="007E58A4" w:rsidRDefault="00696DF0"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7E58A4">
              <w:rPr>
                <w:rFonts w:eastAsia="Times New Roman" w:cstheme="minorHAnsi"/>
                <w:lang w:val="es-ES"/>
              </w:rPr>
              <w:t>Reconocimientos periódicos en las zonas aledañas al sitio de liberación para la búsqueda y destrucción de plantas voluntarias.</w:t>
            </w:r>
          </w:p>
        </w:tc>
      </w:tr>
      <w:tr w:rsidR="00E074C8"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E074C8" w:rsidRDefault="000B34DE"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E074C8" w:rsidRPr="007E58A4" w:rsidRDefault="00E074C8" w:rsidP="00E074C8">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Proporcionar reportes trimestrales, en lo que se muestre el cumplimiento de las medidas de bioseguridad, y condicionantes previas, durante y posteriores a la liberación.</w:t>
            </w:r>
            <w:r w:rsidRPr="007E58A4">
              <w:rPr>
                <w:rFonts w:eastAsia="Times New Roman" w:cstheme="minorHAnsi"/>
                <w:lang w:val="es-ES"/>
              </w:rPr>
              <w:t xml:space="preserve"> </w:t>
            </w:r>
          </w:p>
        </w:tc>
      </w:tr>
      <w:tr w:rsidR="00E074C8"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E074C8" w:rsidRDefault="000B34DE"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E074C8" w:rsidRPr="004F18A6" w:rsidRDefault="00E074C8"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Entregar en original y copia, todas las notificaciones, avisos, reportes trimestrales y otros documentos generados, foliados y rubricados por el representa</w:t>
            </w:r>
            <w:r w:rsidR="008A0D20">
              <w:rPr>
                <w:rFonts w:eastAsia="Times New Roman" w:cstheme="minorHAnsi"/>
                <w:lang w:val="es-ES"/>
              </w:rPr>
              <w:t>n</w:t>
            </w:r>
            <w:r>
              <w:rPr>
                <w:rFonts w:eastAsia="Times New Roman" w:cstheme="minorHAnsi"/>
                <w:lang w:val="es-ES"/>
              </w:rPr>
              <w:t>te legal de la empresa.</w:t>
            </w:r>
          </w:p>
        </w:tc>
      </w:tr>
      <w:tr w:rsidR="00E074C8"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E074C8" w:rsidRPr="0076772D" w:rsidRDefault="000B34DE"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E074C8" w:rsidRDefault="00E074C8"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Celebrar los convenios necesarios con las empresas despepitadoras, con la finalidad de garantizar que la semilla cosechada no sea enajenada a terceros para ser utilizada como semilla.</w:t>
            </w:r>
          </w:p>
        </w:tc>
      </w:tr>
      <w:tr w:rsidR="00E074C8"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E074C8" w:rsidRPr="0076772D" w:rsidRDefault="000B34DE"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E074C8" w:rsidRDefault="00E074C8"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Evitar cualquier desviación de semilla del algodón GM, fuera de la superficie permitida.</w:t>
            </w:r>
          </w:p>
        </w:tc>
      </w:tr>
      <w:tr w:rsidR="00E074C8"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E074C8" w:rsidRPr="0076772D" w:rsidRDefault="000B34DE" w:rsidP="00667DA0">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sidRPr="00202B0F">
              <w:rPr>
                <w:rFonts w:cstheme="minorHAnsi"/>
                <w:lang w:val="es-ES"/>
              </w:rPr>
              <w:fldChar w:fldCharType="end"/>
            </w:r>
          </w:p>
        </w:tc>
        <w:tc>
          <w:tcPr>
            <w:tcW w:w="8569" w:type="dxa"/>
          </w:tcPr>
          <w:p w:rsidR="00E074C8" w:rsidRDefault="00E074C8"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 de</w:t>
            </w:r>
            <w:r w:rsidRPr="007E58A4">
              <w:rPr>
                <w:rFonts w:eastAsia="Times New Roman" w:cstheme="minorHAnsi"/>
                <w:lang w:val="es-ES"/>
              </w:rPr>
              <w:t xml:space="preserve"> reporte con los resultados de los protocolos de experimentación planteados.</w:t>
            </w:r>
          </w:p>
        </w:tc>
      </w:tr>
      <w:tr w:rsidR="00895DA3"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895DA3" w:rsidRPr="00202B0F" w:rsidRDefault="00895DA3"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69" w:type="dxa"/>
          </w:tcPr>
          <w:p w:rsidR="00895DA3" w:rsidRPr="004F18A6" w:rsidRDefault="00895DA3" w:rsidP="00667DA0">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Llevar a cabo Desarraigo de plantas o Barbecho como prácticas culturales dentro de los sitios permitidos.</w:t>
            </w:r>
          </w:p>
        </w:tc>
      </w:tr>
      <w:tr w:rsidR="00895DA3"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895DA3" w:rsidRPr="00202B0F" w:rsidRDefault="00895DA3"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p>
        </w:tc>
        <w:tc>
          <w:tcPr>
            <w:tcW w:w="8569" w:type="dxa"/>
          </w:tcPr>
          <w:p w:rsidR="00895DA3" w:rsidRPr="004F18A6" w:rsidRDefault="00895DA3" w:rsidP="00667DA0">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sidRPr="004F18A6">
              <w:rPr>
                <w:rFonts w:eastAsia="Times New Roman" w:cstheme="minorHAnsi"/>
              </w:rPr>
              <w:t>Establecer programa</w:t>
            </w:r>
            <w:r w:rsidRPr="007E58A4">
              <w:rPr>
                <w:rFonts w:eastAsia="Times New Roman" w:cstheme="minorHAnsi"/>
              </w:rPr>
              <w:t xml:space="preserve"> de monitoreo de plantas voluntarias de algodón GM en un periodo de un año.</w:t>
            </w:r>
          </w:p>
        </w:tc>
      </w:tr>
    </w:tbl>
    <w:p w:rsidR="00C141CB" w:rsidRDefault="00C141CB" w:rsidP="004D46FB">
      <w:pPr>
        <w:rPr>
          <w:sz w:val="20"/>
          <w:szCs w:val="20"/>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895DA3">
              <w:rPr>
                <w:rFonts w:cstheme="minorHAnsi"/>
                <w:lang w:val="es-ES"/>
              </w:rPr>
              <w:fldChar w:fldCharType="begin">
                <w:ffData>
                  <w:name w:val=""/>
                  <w:enabled/>
                  <w:calcOnExit w:val="0"/>
                  <w:checkBox>
                    <w:sizeAuto/>
                    <w:default w:val="1"/>
                  </w:checkBox>
                </w:ffData>
              </w:fldChar>
            </w:r>
            <w:r w:rsidR="00895DA3">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sidR="00895DA3">
              <w:rPr>
                <w:rFonts w:cstheme="minorHAnsi"/>
                <w:lang w:val="es-ES"/>
              </w:rPr>
              <w:fldChar w:fldCharType="end"/>
            </w:r>
            <w:r>
              <w:rPr>
                <w:rFonts w:cstheme="minorHAnsi"/>
                <w:b w:val="0"/>
                <w:lang w:val="es-ES"/>
              </w:rPr>
              <w:t xml:space="preserve"> para la liberación intencional en etapa experimental </w:t>
            </w:r>
            <w:r w:rsidR="00895DA3">
              <w:rPr>
                <w:rFonts w:cstheme="minorHAnsi"/>
                <w:lang w:val="es-ES"/>
              </w:rPr>
              <w:fldChar w:fldCharType="begin">
                <w:ffData>
                  <w:name w:val=""/>
                  <w:enabled/>
                  <w:calcOnExit w:val="0"/>
                  <w:checkBox>
                    <w:sizeAuto/>
                    <w:default w:val="1"/>
                  </w:checkBox>
                </w:ffData>
              </w:fldChar>
            </w:r>
            <w:r w:rsidR="00895DA3">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sidR="00895DA3">
              <w:rPr>
                <w:rFonts w:cstheme="minorHAnsi"/>
                <w:lang w:val="es-ES"/>
              </w:rPr>
              <w:fldChar w:fldCharType="end"/>
            </w:r>
            <w:r>
              <w:rPr>
                <w:rFonts w:cstheme="minorHAnsi"/>
                <w:b w:val="0"/>
                <w:lang w:val="es-ES"/>
              </w:rPr>
              <w:t xml:space="preserve">, </w:t>
            </w:r>
          </w:p>
          <w:p w:rsidR="004D46FB" w:rsidRDefault="004D46FB" w:rsidP="00895DA3">
            <w:pPr>
              <w:rPr>
                <w:rFonts w:cstheme="minorHAnsi"/>
                <w:b w:val="0"/>
                <w:lang w:val="es-ES"/>
              </w:rPr>
            </w:pPr>
            <w:r>
              <w:rPr>
                <w:rFonts w:cstheme="minorHAnsi"/>
                <w:b w:val="0"/>
                <w:lang w:val="es-ES"/>
              </w:rPr>
              <w:t xml:space="preserve">Piloto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r>
              <w:rPr>
                <w:rFonts w:cstheme="minorHAnsi"/>
                <w:b w:val="0"/>
                <w:lang w:val="es-ES"/>
              </w:rPr>
              <w:t xml:space="preserve">,  o comercial </w:t>
            </w:r>
            <w:r w:rsidR="00895DA3">
              <w:rPr>
                <w:rFonts w:cstheme="minorHAnsi"/>
                <w:lang w:val="es-ES"/>
              </w:rPr>
              <w:fldChar w:fldCharType="begin">
                <w:ffData>
                  <w:name w:val="Casilla48"/>
                  <w:enabled/>
                  <w:calcOnExit w:val="0"/>
                  <w:checkBox>
                    <w:sizeAuto/>
                    <w:default w:val="0"/>
                  </w:checkBox>
                </w:ffData>
              </w:fldChar>
            </w:r>
            <w:bookmarkStart w:id="3" w:name="Casilla48"/>
            <w:r w:rsidR="00895DA3">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sidR="00895DA3">
              <w:rPr>
                <w:rFonts w:cstheme="minorHAnsi"/>
                <w:lang w:val="es-ES"/>
              </w:rPr>
              <w:fldChar w:fldCharType="end"/>
            </w:r>
            <w:bookmarkEnd w:id="3"/>
            <w:r>
              <w:rPr>
                <w:rFonts w:cstheme="minorHAnsi"/>
                <w:b w:val="0"/>
                <w:lang w:val="es-ES"/>
              </w:rPr>
              <w:t xml:space="preserve">, con condiciones, para la Solicitud </w:t>
            </w:r>
            <w:r w:rsidR="00895DA3">
              <w:rPr>
                <w:rFonts w:cstheme="minorHAnsi"/>
                <w:b w:val="0"/>
                <w:lang w:val="es-ES"/>
              </w:rPr>
              <w:t>024</w:t>
            </w:r>
            <w:r>
              <w:rPr>
                <w:rFonts w:cstheme="minorHAnsi"/>
                <w:b w:val="0"/>
                <w:lang w:val="es-ES"/>
              </w:rPr>
              <w:t>_201</w:t>
            </w:r>
            <w:r w:rsidR="00895DA3">
              <w:rPr>
                <w:rFonts w:cstheme="minorHAnsi"/>
                <w:b w:val="0"/>
                <w:lang w:val="es-ES"/>
              </w:rPr>
              <w:t>6</w:t>
            </w:r>
            <w:r>
              <w:rPr>
                <w:rFonts w:cstheme="minorHAnsi"/>
                <w:b w:val="0"/>
                <w:lang w:val="es-ES"/>
              </w:rPr>
              <w:t>.</w:t>
            </w:r>
          </w:p>
        </w:tc>
        <w:tc>
          <w:tcPr>
            <w:tcW w:w="1338" w:type="dxa"/>
            <w:tcBorders>
              <w:left w:val="nil"/>
            </w:tcBorders>
            <w:hideMark/>
          </w:tcPr>
          <w:p w:rsidR="004D46FB" w:rsidRDefault="00895DA3" w:rsidP="00895DA3">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17</w:t>
            </w:r>
            <w:r w:rsidR="00C92491">
              <w:rPr>
                <w:rFonts w:cstheme="minorHAnsi"/>
                <w:lang w:val="es-ES"/>
              </w:rPr>
              <w:t>/</w:t>
            </w:r>
            <w:r>
              <w:rPr>
                <w:rFonts w:cstheme="minorHAnsi"/>
                <w:lang w:val="es-ES"/>
              </w:rPr>
              <w:t>03/2017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895DA3">
            <w:pPr>
              <w:rPr>
                <w:rFonts w:cstheme="minorHAnsi"/>
                <w:b w:val="0"/>
                <w:lang w:val="es-ES"/>
              </w:rPr>
            </w:pPr>
            <w:r>
              <w:rPr>
                <w:rFonts w:cstheme="minorHAnsi"/>
                <w:b w:val="0"/>
                <w:lang w:val="es-ES"/>
              </w:rPr>
              <w:t xml:space="preserve">Se trata de un decisión unánime </w:t>
            </w:r>
            <w:r w:rsidR="00895DA3">
              <w:rPr>
                <w:rFonts w:cstheme="minorHAnsi"/>
                <w:lang w:val="es-ES"/>
              </w:rPr>
              <w:fldChar w:fldCharType="begin">
                <w:ffData>
                  <w:name w:val="Casilla70"/>
                  <w:enabled/>
                  <w:calcOnExit w:val="0"/>
                  <w:checkBox>
                    <w:sizeAuto/>
                    <w:default w:val="1"/>
                  </w:checkBox>
                </w:ffData>
              </w:fldChar>
            </w:r>
            <w:bookmarkStart w:id="4" w:name="Casilla70"/>
            <w:r w:rsidR="00895DA3">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sidR="00895DA3">
              <w:rPr>
                <w:rFonts w:cstheme="minorHAnsi"/>
                <w:lang w:val="es-ES"/>
              </w:rPr>
              <w:fldChar w:fldCharType="end"/>
            </w:r>
            <w:bookmarkEnd w:id="4"/>
            <w:proofErr w:type="spellStart"/>
            <w:r>
              <w:rPr>
                <w:rFonts w:cstheme="minorHAnsi"/>
                <w:b w:val="0"/>
                <w:lang w:val="es-ES"/>
              </w:rPr>
              <w:t>Si</w:t>
            </w:r>
            <w:proofErr w:type="spellEnd"/>
            <w:r>
              <w:rPr>
                <w:rFonts w:cstheme="minorHAnsi"/>
                <w:b w:val="0"/>
                <w:lang w:val="es-ES"/>
              </w:rPr>
              <w:t xml:space="preserve">   </w:t>
            </w:r>
            <w:r w:rsidR="00895DA3">
              <w:rPr>
                <w:rFonts w:cstheme="minorHAnsi"/>
                <w:lang w:val="es-ES"/>
              </w:rPr>
              <w:fldChar w:fldCharType="begin">
                <w:ffData>
                  <w:name w:val="Casilla71"/>
                  <w:enabled/>
                  <w:calcOnExit w:val="0"/>
                  <w:checkBox>
                    <w:sizeAuto/>
                    <w:default w:val="0"/>
                  </w:checkBox>
                </w:ffData>
              </w:fldChar>
            </w:r>
            <w:bookmarkStart w:id="5" w:name="Casilla71"/>
            <w:r w:rsidR="00895DA3">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sidR="00895DA3">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895DA3">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895DA3" w:rsidP="00895DA3">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22</w:t>
            </w:r>
            <w:r w:rsidR="00C92491">
              <w:rPr>
                <w:rFonts w:cstheme="minorHAnsi"/>
                <w:lang w:val="es-ES"/>
              </w:rPr>
              <w:t>/</w:t>
            </w:r>
            <w:r>
              <w:rPr>
                <w:rFonts w:cstheme="minorHAnsi"/>
                <w:lang w:val="es-ES"/>
              </w:rPr>
              <w:t>09/2016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DA4447">
              <w:rPr>
                <w:rFonts w:cstheme="minorHAnsi"/>
                <w:lang w:val="es-ES"/>
              </w:rPr>
            </w:r>
            <w:r w:rsidR="00DA4447">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DA4447">
              <w:rPr>
                <w:rFonts w:cstheme="minorHAnsi"/>
                <w:lang w:val="es-ES"/>
              </w:rPr>
            </w:r>
            <w:r w:rsidR="00DA4447">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69400E"/>
    <w:multiLevelType w:val="multilevel"/>
    <w:tmpl w:val="8D186D5A"/>
    <w:numStyleLink w:val="ChecklistItem"/>
  </w:abstractNum>
  <w:abstractNum w:abstractNumId="18">
    <w:nsid w:val="4C5C1DA1"/>
    <w:multiLevelType w:val="multilevel"/>
    <w:tmpl w:val="8D186D5A"/>
    <w:numStyleLink w:val="ChecklistItem"/>
  </w:abstractNum>
  <w:abstractNum w:abstractNumId="19">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5943D5"/>
    <w:multiLevelType w:val="multilevel"/>
    <w:tmpl w:val="8D186D5A"/>
    <w:numStyleLink w:val="ChecklistItem"/>
  </w:abstractNum>
  <w:abstractNum w:abstractNumId="21">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F641000"/>
    <w:multiLevelType w:val="multilevel"/>
    <w:tmpl w:val="8D186D5A"/>
    <w:numStyleLink w:val="ChecklistItem"/>
  </w:abstractNum>
  <w:abstractNum w:abstractNumId="23">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7"/>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8"/>
  </w:num>
  <w:num w:numId="5">
    <w:abstractNumId w:val="22"/>
  </w:num>
  <w:num w:numId="6">
    <w:abstractNumId w:val="3"/>
  </w:num>
  <w:num w:numId="7">
    <w:abstractNumId w:val="4"/>
  </w:num>
  <w:num w:numId="8">
    <w:abstractNumId w:val="8"/>
  </w:num>
  <w:num w:numId="9">
    <w:abstractNumId w:val="20"/>
  </w:num>
  <w:num w:numId="10">
    <w:abstractNumId w:val="0"/>
  </w:num>
  <w:num w:numId="11">
    <w:abstractNumId w:val="6"/>
  </w:num>
  <w:num w:numId="12">
    <w:abstractNumId w:val="14"/>
  </w:num>
  <w:num w:numId="13">
    <w:abstractNumId w:val="12"/>
  </w:num>
  <w:num w:numId="14">
    <w:abstractNumId w:val="15"/>
  </w:num>
  <w:num w:numId="15">
    <w:abstractNumId w:val="23"/>
  </w:num>
  <w:num w:numId="16">
    <w:abstractNumId w:val="10"/>
  </w:num>
  <w:num w:numId="17">
    <w:abstractNumId w:val="13"/>
  </w:num>
  <w:num w:numId="18">
    <w:abstractNumId w:val="7"/>
  </w:num>
  <w:num w:numId="19">
    <w:abstractNumId w:val="11"/>
  </w:num>
  <w:num w:numId="20">
    <w:abstractNumId w:val="9"/>
  </w:num>
  <w:num w:numId="21">
    <w:abstractNumId w:val="16"/>
  </w:num>
  <w:num w:numId="22">
    <w:abstractNumId w:val="21"/>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E362E"/>
    <w:rsid w:val="000F417C"/>
    <w:rsid w:val="000F55A1"/>
    <w:rsid w:val="000F5CE1"/>
    <w:rsid w:val="0011017D"/>
    <w:rsid w:val="00110E46"/>
    <w:rsid w:val="00115A7F"/>
    <w:rsid w:val="001163F3"/>
    <w:rsid w:val="0013094A"/>
    <w:rsid w:val="001456D1"/>
    <w:rsid w:val="00161743"/>
    <w:rsid w:val="00162474"/>
    <w:rsid w:val="001666AD"/>
    <w:rsid w:val="0017351B"/>
    <w:rsid w:val="001745B0"/>
    <w:rsid w:val="00183DBD"/>
    <w:rsid w:val="00186780"/>
    <w:rsid w:val="0019106A"/>
    <w:rsid w:val="001B14CC"/>
    <w:rsid w:val="001B1952"/>
    <w:rsid w:val="001B7EF2"/>
    <w:rsid w:val="001D314D"/>
    <w:rsid w:val="001E7B5C"/>
    <w:rsid w:val="001F1953"/>
    <w:rsid w:val="00203221"/>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306B87"/>
    <w:rsid w:val="00307D31"/>
    <w:rsid w:val="003174FB"/>
    <w:rsid w:val="00320B73"/>
    <w:rsid w:val="00323A96"/>
    <w:rsid w:val="00326E68"/>
    <w:rsid w:val="00334D42"/>
    <w:rsid w:val="0033684F"/>
    <w:rsid w:val="00346BB1"/>
    <w:rsid w:val="003543B7"/>
    <w:rsid w:val="00362E2B"/>
    <w:rsid w:val="00364FEE"/>
    <w:rsid w:val="00372F2B"/>
    <w:rsid w:val="0037481F"/>
    <w:rsid w:val="003755D8"/>
    <w:rsid w:val="00383ACD"/>
    <w:rsid w:val="0039745A"/>
    <w:rsid w:val="0039764C"/>
    <w:rsid w:val="003A4732"/>
    <w:rsid w:val="003B1A1F"/>
    <w:rsid w:val="003B746B"/>
    <w:rsid w:val="003D4DEB"/>
    <w:rsid w:val="003D5A3B"/>
    <w:rsid w:val="003E7E90"/>
    <w:rsid w:val="003F31BC"/>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A5A97"/>
    <w:rsid w:val="006B0A7E"/>
    <w:rsid w:val="006C00A7"/>
    <w:rsid w:val="006D0267"/>
    <w:rsid w:val="006E696D"/>
    <w:rsid w:val="00700285"/>
    <w:rsid w:val="007033CB"/>
    <w:rsid w:val="007045A4"/>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2472B"/>
    <w:rsid w:val="008317D3"/>
    <w:rsid w:val="0083746B"/>
    <w:rsid w:val="00845B01"/>
    <w:rsid w:val="008500B4"/>
    <w:rsid w:val="00850C12"/>
    <w:rsid w:val="00852F43"/>
    <w:rsid w:val="0086600C"/>
    <w:rsid w:val="00877516"/>
    <w:rsid w:val="00887E1F"/>
    <w:rsid w:val="00895DA3"/>
    <w:rsid w:val="00896607"/>
    <w:rsid w:val="0089733F"/>
    <w:rsid w:val="008A0D20"/>
    <w:rsid w:val="008B1AE3"/>
    <w:rsid w:val="008B45F9"/>
    <w:rsid w:val="008D48C1"/>
    <w:rsid w:val="008E0CF8"/>
    <w:rsid w:val="008E23D0"/>
    <w:rsid w:val="008E5C2D"/>
    <w:rsid w:val="008F54FB"/>
    <w:rsid w:val="009005D7"/>
    <w:rsid w:val="00905214"/>
    <w:rsid w:val="0090640A"/>
    <w:rsid w:val="009076DC"/>
    <w:rsid w:val="0091406D"/>
    <w:rsid w:val="00925376"/>
    <w:rsid w:val="009275D4"/>
    <w:rsid w:val="00934723"/>
    <w:rsid w:val="009420A0"/>
    <w:rsid w:val="00942E06"/>
    <w:rsid w:val="00946B3A"/>
    <w:rsid w:val="0095750A"/>
    <w:rsid w:val="00964DCF"/>
    <w:rsid w:val="00970365"/>
    <w:rsid w:val="00973AEF"/>
    <w:rsid w:val="0098261F"/>
    <w:rsid w:val="00983AFC"/>
    <w:rsid w:val="00986F8F"/>
    <w:rsid w:val="009A44ED"/>
    <w:rsid w:val="009C4C61"/>
    <w:rsid w:val="009C6344"/>
    <w:rsid w:val="009C6B39"/>
    <w:rsid w:val="009D4C0B"/>
    <w:rsid w:val="009E2F7A"/>
    <w:rsid w:val="009F1E3F"/>
    <w:rsid w:val="009F33E5"/>
    <w:rsid w:val="009F4548"/>
    <w:rsid w:val="00A02E30"/>
    <w:rsid w:val="00A16ED5"/>
    <w:rsid w:val="00A23E18"/>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0EC"/>
    <w:rsid w:val="00B864D2"/>
    <w:rsid w:val="00B868E6"/>
    <w:rsid w:val="00B96086"/>
    <w:rsid w:val="00BA026C"/>
    <w:rsid w:val="00BA16A2"/>
    <w:rsid w:val="00BC04D8"/>
    <w:rsid w:val="00BC282F"/>
    <w:rsid w:val="00BD1F97"/>
    <w:rsid w:val="00BD38ED"/>
    <w:rsid w:val="00BF2462"/>
    <w:rsid w:val="00C101E4"/>
    <w:rsid w:val="00C11DA0"/>
    <w:rsid w:val="00C141CB"/>
    <w:rsid w:val="00C1421E"/>
    <w:rsid w:val="00C2289C"/>
    <w:rsid w:val="00C2304A"/>
    <w:rsid w:val="00C3054F"/>
    <w:rsid w:val="00C325D9"/>
    <w:rsid w:val="00C36242"/>
    <w:rsid w:val="00C449DE"/>
    <w:rsid w:val="00C46544"/>
    <w:rsid w:val="00C46F55"/>
    <w:rsid w:val="00C53A86"/>
    <w:rsid w:val="00C56C06"/>
    <w:rsid w:val="00C63423"/>
    <w:rsid w:val="00C63A94"/>
    <w:rsid w:val="00C75679"/>
    <w:rsid w:val="00C83C6D"/>
    <w:rsid w:val="00C92491"/>
    <w:rsid w:val="00C94C38"/>
    <w:rsid w:val="00CA0D83"/>
    <w:rsid w:val="00CA0E1A"/>
    <w:rsid w:val="00CA2573"/>
    <w:rsid w:val="00CA2BE3"/>
    <w:rsid w:val="00CA6459"/>
    <w:rsid w:val="00CA693C"/>
    <w:rsid w:val="00CB0208"/>
    <w:rsid w:val="00CB0BA8"/>
    <w:rsid w:val="00CB279E"/>
    <w:rsid w:val="00CB6AD1"/>
    <w:rsid w:val="00CC2359"/>
    <w:rsid w:val="00CD6447"/>
    <w:rsid w:val="00CE2A26"/>
    <w:rsid w:val="00D250AB"/>
    <w:rsid w:val="00D32C9E"/>
    <w:rsid w:val="00D4186F"/>
    <w:rsid w:val="00D549B0"/>
    <w:rsid w:val="00D64E04"/>
    <w:rsid w:val="00D73917"/>
    <w:rsid w:val="00D9423F"/>
    <w:rsid w:val="00DA2C81"/>
    <w:rsid w:val="00DA4447"/>
    <w:rsid w:val="00DA5611"/>
    <w:rsid w:val="00DB17A5"/>
    <w:rsid w:val="00DC0F60"/>
    <w:rsid w:val="00DC22B0"/>
    <w:rsid w:val="00DC4A66"/>
    <w:rsid w:val="00DD0BED"/>
    <w:rsid w:val="00DD5DB4"/>
    <w:rsid w:val="00DE0DE4"/>
    <w:rsid w:val="00DF193F"/>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661B7"/>
    <w:rsid w:val="00F7250F"/>
    <w:rsid w:val="00F765D5"/>
    <w:rsid w:val="00F815D1"/>
    <w:rsid w:val="00F91B20"/>
    <w:rsid w:val="00F94534"/>
    <w:rsid w:val="00FA718E"/>
    <w:rsid w:val="00FB1428"/>
    <w:rsid w:val="00FC22FF"/>
    <w:rsid w:val="00FD121E"/>
    <w:rsid w:val="00FD3A11"/>
    <w:rsid w:val="00FD52E6"/>
    <w:rsid w:val="00FD5682"/>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character" w:styleId="Textodelmarcadordeposicin">
    <w:name w:val="Placeholder Text"/>
    <w:basedOn w:val="Fuentedeprrafopredeter"/>
    <w:uiPriority w:val="99"/>
    <w:semiHidden/>
    <w:rsid w:val="009F1E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character" w:styleId="Textodelmarcadordeposicin">
    <w:name w:val="Placeholder Text"/>
    <w:basedOn w:val="Fuentedeprrafopredeter"/>
    <w:uiPriority w:val="99"/>
    <w:semiHidden/>
    <w:rsid w:val="009F1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EE2B-4935-4DAC-ADBD-EF09F79B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4</cp:revision>
  <cp:lastPrinted>2014-06-23T16:05:00Z</cp:lastPrinted>
  <dcterms:created xsi:type="dcterms:W3CDTF">2017-04-18T16:21:00Z</dcterms:created>
  <dcterms:modified xsi:type="dcterms:W3CDTF">2017-04-26T23:00:00Z</dcterms:modified>
</cp:coreProperties>
</file>