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D98" w:rsidRPr="00F948AF" w:rsidRDefault="003A2255" w:rsidP="00F948A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F948AF">
        <w:rPr>
          <w:rFonts w:ascii="Arial" w:hAnsi="Arial" w:cs="Arial"/>
          <w:b/>
          <w:sz w:val="24"/>
          <w:szCs w:val="24"/>
          <w:u w:val="single"/>
        </w:rPr>
        <w:t xml:space="preserve">Detection </w:t>
      </w:r>
      <w:r w:rsidR="001225B9" w:rsidRPr="00F948AF">
        <w:rPr>
          <w:rFonts w:ascii="Arial" w:hAnsi="Arial" w:cs="Arial"/>
          <w:b/>
          <w:sz w:val="24"/>
          <w:szCs w:val="24"/>
          <w:u w:val="single"/>
        </w:rPr>
        <w:t>and Identification of Living Modified Organisms in Zimbabwe</w:t>
      </w:r>
    </w:p>
    <w:p w:rsidR="001225B9" w:rsidRPr="00F948AF" w:rsidRDefault="001225B9" w:rsidP="002C6604">
      <w:pPr>
        <w:jc w:val="both"/>
        <w:rPr>
          <w:rFonts w:ascii="Arial" w:hAnsi="Arial" w:cs="Arial"/>
          <w:sz w:val="24"/>
          <w:szCs w:val="24"/>
        </w:rPr>
      </w:pPr>
      <w:r w:rsidRPr="00F948AF">
        <w:rPr>
          <w:rFonts w:ascii="Arial" w:hAnsi="Arial" w:cs="Arial"/>
          <w:sz w:val="24"/>
          <w:szCs w:val="24"/>
        </w:rPr>
        <w:t xml:space="preserve">The Government of Zimbabwe </w:t>
      </w:r>
      <w:r w:rsidR="009F6323" w:rsidRPr="00F948AF">
        <w:rPr>
          <w:rFonts w:ascii="Arial" w:hAnsi="Arial" w:cs="Arial"/>
          <w:sz w:val="24"/>
          <w:szCs w:val="24"/>
        </w:rPr>
        <w:t xml:space="preserve">has two laboratories which are involved in the screening of biologically active material for the presence of </w:t>
      </w:r>
      <w:r w:rsidR="00387692" w:rsidRPr="00F948AF">
        <w:rPr>
          <w:rFonts w:ascii="Arial" w:hAnsi="Arial" w:cs="Arial"/>
          <w:sz w:val="24"/>
          <w:szCs w:val="24"/>
        </w:rPr>
        <w:t>LMOs/</w:t>
      </w:r>
      <w:r w:rsidR="009F6323" w:rsidRPr="00F948AF">
        <w:rPr>
          <w:rFonts w:ascii="Arial" w:hAnsi="Arial" w:cs="Arial"/>
          <w:sz w:val="24"/>
          <w:szCs w:val="24"/>
        </w:rPr>
        <w:t>GMOs</w:t>
      </w:r>
      <w:r w:rsidR="00195CAA" w:rsidRPr="00F948AF">
        <w:rPr>
          <w:rFonts w:ascii="Arial" w:hAnsi="Arial" w:cs="Arial"/>
          <w:sz w:val="24"/>
          <w:szCs w:val="24"/>
        </w:rPr>
        <w:t xml:space="preserve">. These are the National Biotechnology </w:t>
      </w:r>
      <w:r w:rsidR="002C6604" w:rsidRPr="00F948AF">
        <w:rPr>
          <w:rFonts w:ascii="Arial" w:hAnsi="Arial" w:cs="Arial"/>
          <w:sz w:val="24"/>
          <w:szCs w:val="24"/>
        </w:rPr>
        <w:t>Authority‘s</w:t>
      </w:r>
      <w:r w:rsidR="00195CAA" w:rsidRPr="00F948AF">
        <w:rPr>
          <w:rFonts w:ascii="Arial" w:hAnsi="Arial" w:cs="Arial"/>
          <w:sz w:val="24"/>
          <w:szCs w:val="24"/>
        </w:rPr>
        <w:t xml:space="preserve"> GMO Testing Laboratory and the Tobacco Research Board’s</w:t>
      </w:r>
      <w:r w:rsidR="00387692" w:rsidRPr="00F948AF">
        <w:rPr>
          <w:rFonts w:ascii="Arial" w:hAnsi="Arial" w:cs="Arial"/>
          <w:sz w:val="24"/>
          <w:szCs w:val="24"/>
        </w:rPr>
        <w:t xml:space="preserve"> (TRB)</w:t>
      </w:r>
      <w:r w:rsidR="00195CAA" w:rsidRPr="00F948AF">
        <w:rPr>
          <w:rFonts w:ascii="Arial" w:hAnsi="Arial" w:cs="Arial"/>
          <w:sz w:val="24"/>
          <w:szCs w:val="24"/>
        </w:rPr>
        <w:t xml:space="preserve"> Molecular Biology Services Division. The following outlines </w:t>
      </w:r>
      <w:r w:rsidR="00584F02">
        <w:rPr>
          <w:rFonts w:ascii="Arial" w:hAnsi="Arial" w:cs="Arial"/>
          <w:sz w:val="24"/>
          <w:szCs w:val="24"/>
        </w:rPr>
        <w:t xml:space="preserve">the </w:t>
      </w:r>
      <w:r w:rsidR="00195CAA" w:rsidRPr="00F948AF">
        <w:rPr>
          <w:rFonts w:ascii="Arial" w:hAnsi="Arial" w:cs="Arial"/>
          <w:sz w:val="24"/>
          <w:szCs w:val="24"/>
        </w:rPr>
        <w:t>functions</w:t>
      </w:r>
      <w:r w:rsidR="002C6604" w:rsidRPr="00F948AF">
        <w:rPr>
          <w:rFonts w:ascii="Arial" w:hAnsi="Arial" w:cs="Arial"/>
          <w:sz w:val="24"/>
          <w:szCs w:val="24"/>
        </w:rPr>
        <w:t xml:space="preserve"> and needs of each laboratory</w:t>
      </w:r>
      <w:r w:rsidR="00584F02">
        <w:rPr>
          <w:rFonts w:ascii="Arial" w:hAnsi="Arial" w:cs="Arial"/>
          <w:sz w:val="24"/>
          <w:szCs w:val="24"/>
        </w:rPr>
        <w:t>:</w:t>
      </w:r>
    </w:p>
    <w:p w:rsidR="002C6604" w:rsidRPr="00F948AF" w:rsidRDefault="00584F02" w:rsidP="002C660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The </w:t>
      </w:r>
      <w:r w:rsidR="002C6604" w:rsidRPr="00F948AF">
        <w:rPr>
          <w:rFonts w:ascii="Arial" w:hAnsi="Arial" w:cs="Arial"/>
          <w:b/>
          <w:sz w:val="24"/>
          <w:szCs w:val="24"/>
          <w:u w:val="single"/>
        </w:rPr>
        <w:t xml:space="preserve">NBA GMO Testing Laboratory </w:t>
      </w:r>
    </w:p>
    <w:p w:rsidR="000A52C2" w:rsidRPr="00F948AF" w:rsidRDefault="009B652F" w:rsidP="002C6604">
      <w:pPr>
        <w:jc w:val="both"/>
        <w:rPr>
          <w:rFonts w:ascii="Arial" w:hAnsi="Arial" w:cs="Arial"/>
          <w:sz w:val="24"/>
          <w:szCs w:val="24"/>
        </w:rPr>
      </w:pPr>
      <w:r w:rsidRPr="00F948AF">
        <w:rPr>
          <w:rFonts w:ascii="Arial" w:hAnsi="Arial" w:cs="Arial"/>
          <w:sz w:val="24"/>
          <w:szCs w:val="24"/>
        </w:rPr>
        <w:t xml:space="preserve">The </w:t>
      </w:r>
      <w:r w:rsidR="000A52C2" w:rsidRPr="00F948AF">
        <w:rPr>
          <w:rFonts w:ascii="Arial" w:hAnsi="Arial" w:cs="Arial"/>
          <w:sz w:val="24"/>
          <w:szCs w:val="24"/>
        </w:rPr>
        <w:t xml:space="preserve">National Biotechnology Authority (NBA) of Zimbabwe received state of the art equipment for GMO testing under the </w:t>
      </w:r>
      <w:r w:rsidRPr="00F948AF">
        <w:rPr>
          <w:rFonts w:ascii="Arial" w:hAnsi="Arial" w:cs="Arial"/>
          <w:sz w:val="24"/>
          <w:szCs w:val="24"/>
        </w:rPr>
        <w:t xml:space="preserve">European Union Sanitary and Phytosanitary Project (EU-SPS) project.The project was aimed at improving the NBA’s laboratory competency, efficiency and capacity to that of a standard reference laboratory for GMO testing and regulation of food, feed and seed imports and exports in </w:t>
      </w:r>
      <w:r w:rsidR="000A52C2" w:rsidRPr="00F948AF">
        <w:rPr>
          <w:rFonts w:ascii="Arial" w:hAnsi="Arial" w:cs="Arial"/>
          <w:sz w:val="24"/>
          <w:szCs w:val="24"/>
        </w:rPr>
        <w:t>Zimbabwe. The</w:t>
      </w:r>
      <w:r w:rsidRPr="00F948AF">
        <w:rPr>
          <w:rFonts w:ascii="Arial" w:hAnsi="Arial" w:cs="Arial"/>
          <w:sz w:val="24"/>
          <w:szCs w:val="24"/>
        </w:rPr>
        <w:t xml:space="preserve"> NBA has been capacitated to do more advanced and more reliable GMO tests using a real time PCR machine</w:t>
      </w:r>
      <w:r w:rsidR="000A52C2" w:rsidRPr="00F948AF">
        <w:rPr>
          <w:rFonts w:ascii="Arial" w:hAnsi="Arial" w:cs="Arial"/>
          <w:sz w:val="24"/>
          <w:szCs w:val="24"/>
        </w:rPr>
        <w:t>.</w:t>
      </w:r>
    </w:p>
    <w:p w:rsidR="009D2348" w:rsidRPr="00F948AF" w:rsidRDefault="001225B9" w:rsidP="002C6604">
      <w:pPr>
        <w:jc w:val="both"/>
        <w:rPr>
          <w:rFonts w:ascii="Arial" w:hAnsi="Arial" w:cs="Arial"/>
          <w:sz w:val="24"/>
          <w:szCs w:val="24"/>
        </w:rPr>
      </w:pPr>
      <w:r w:rsidRPr="00F948AF">
        <w:rPr>
          <w:rFonts w:ascii="Arial" w:hAnsi="Arial" w:cs="Arial"/>
          <w:sz w:val="24"/>
          <w:szCs w:val="24"/>
        </w:rPr>
        <w:t xml:space="preserve">Prior to receiving equipment under the EU-SPS project, the NBA GMO testing laboratory conducted GMO tests using rapid test strips which despite their rapidity have a low sensitivity. The NBA is now equipped to conduct confirmatory GMO tests using 2 different methods thereby increasing the accuracy and reliability of test results. </w:t>
      </w:r>
    </w:p>
    <w:p w:rsidR="002C6604" w:rsidRPr="00F948AF" w:rsidRDefault="002C6604" w:rsidP="002C6604">
      <w:pPr>
        <w:jc w:val="both"/>
        <w:rPr>
          <w:rFonts w:ascii="Arial" w:hAnsi="Arial" w:cs="Arial"/>
          <w:sz w:val="24"/>
          <w:szCs w:val="24"/>
        </w:rPr>
      </w:pPr>
      <w:r w:rsidRPr="00F948AF">
        <w:rPr>
          <w:rFonts w:ascii="Arial" w:hAnsi="Arial" w:cs="Arial"/>
          <w:sz w:val="24"/>
          <w:szCs w:val="24"/>
        </w:rPr>
        <w:t xml:space="preserve">The NBA </w:t>
      </w:r>
      <w:r w:rsidR="00584F02">
        <w:rPr>
          <w:rFonts w:ascii="Arial" w:hAnsi="Arial" w:cs="Arial"/>
          <w:sz w:val="24"/>
          <w:szCs w:val="24"/>
        </w:rPr>
        <w:t xml:space="preserve">however still </w:t>
      </w:r>
      <w:r w:rsidRPr="00F948AF">
        <w:rPr>
          <w:rFonts w:ascii="Arial" w:hAnsi="Arial" w:cs="Arial"/>
          <w:sz w:val="24"/>
          <w:szCs w:val="24"/>
        </w:rPr>
        <w:t xml:space="preserve">requires additional equipment, chemicals and consumables for it to be able to </w:t>
      </w:r>
      <w:r w:rsidR="00874AAD">
        <w:rPr>
          <w:rFonts w:ascii="Arial" w:hAnsi="Arial" w:cs="Arial"/>
          <w:sz w:val="24"/>
          <w:szCs w:val="24"/>
        </w:rPr>
        <w:t>use</w:t>
      </w:r>
      <w:r w:rsidR="00387692" w:rsidRPr="00F948AF">
        <w:rPr>
          <w:rFonts w:ascii="Arial" w:hAnsi="Arial" w:cs="Arial"/>
          <w:sz w:val="24"/>
          <w:szCs w:val="24"/>
        </w:rPr>
        <w:t xml:space="preserve"> its newly acquired Real Ti</w:t>
      </w:r>
      <w:r w:rsidR="009B10F2" w:rsidRPr="00F948AF">
        <w:rPr>
          <w:rFonts w:ascii="Arial" w:hAnsi="Arial" w:cs="Arial"/>
          <w:sz w:val="24"/>
          <w:szCs w:val="24"/>
        </w:rPr>
        <w:t xml:space="preserve">me PCR machine and </w:t>
      </w:r>
      <w:r w:rsidR="00584F02">
        <w:rPr>
          <w:rFonts w:ascii="Arial" w:hAnsi="Arial" w:cs="Arial"/>
          <w:sz w:val="24"/>
          <w:szCs w:val="24"/>
        </w:rPr>
        <w:t>there is also a need for</w:t>
      </w:r>
      <w:r w:rsidR="009B10F2" w:rsidRPr="00F948AF">
        <w:rPr>
          <w:rFonts w:ascii="Arial" w:hAnsi="Arial" w:cs="Arial"/>
          <w:sz w:val="24"/>
          <w:szCs w:val="24"/>
        </w:rPr>
        <w:t xml:space="preserve"> laboratory </w:t>
      </w:r>
      <w:r w:rsidR="004B39E6">
        <w:rPr>
          <w:rFonts w:ascii="Arial" w:hAnsi="Arial" w:cs="Arial"/>
          <w:sz w:val="24"/>
          <w:szCs w:val="24"/>
        </w:rPr>
        <w:t>officers</w:t>
      </w:r>
      <w:r w:rsidR="009B10F2" w:rsidRPr="00F948AF">
        <w:rPr>
          <w:rFonts w:ascii="Arial" w:hAnsi="Arial" w:cs="Arial"/>
          <w:sz w:val="24"/>
          <w:szCs w:val="24"/>
        </w:rPr>
        <w:t xml:space="preserve"> to participate in training programmes for continu</w:t>
      </w:r>
      <w:r w:rsidR="00584F02">
        <w:rPr>
          <w:rFonts w:ascii="Arial" w:hAnsi="Arial" w:cs="Arial"/>
          <w:sz w:val="24"/>
          <w:szCs w:val="24"/>
        </w:rPr>
        <w:t>ous</w:t>
      </w:r>
      <w:r w:rsidR="009B10F2" w:rsidRPr="00F948AF">
        <w:rPr>
          <w:rFonts w:ascii="Arial" w:hAnsi="Arial" w:cs="Arial"/>
          <w:sz w:val="24"/>
          <w:szCs w:val="24"/>
        </w:rPr>
        <w:t xml:space="preserve"> skills development. </w:t>
      </w:r>
    </w:p>
    <w:p w:rsidR="00387692" w:rsidRDefault="00387692" w:rsidP="00852C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8AF">
        <w:rPr>
          <w:rFonts w:ascii="Arial" w:hAnsi="Arial" w:cs="Arial"/>
          <w:b/>
          <w:sz w:val="24"/>
          <w:szCs w:val="24"/>
          <w:u w:val="single"/>
        </w:rPr>
        <w:t>TRB’s Molecular Biology Services Division</w:t>
      </w:r>
    </w:p>
    <w:p w:rsidR="007E04A0" w:rsidRDefault="007E04A0" w:rsidP="00852C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E04A0" w:rsidRPr="007E04A0" w:rsidRDefault="007E04A0" w:rsidP="007E04A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7E04A0">
        <w:rPr>
          <w:rFonts w:ascii="Arial" w:hAnsi="Arial" w:cs="Arial"/>
          <w:sz w:val="24"/>
          <w:szCs w:val="24"/>
        </w:rPr>
        <w:t xml:space="preserve">Molecular </w:t>
      </w:r>
      <w:r>
        <w:rPr>
          <w:rFonts w:ascii="Arial" w:hAnsi="Arial" w:cs="Arial"/>
          <w:sz w:val="24"/>
          <w:szCs w:val="24"/>
        </w:rPr>
        <w:t>method</w:t>
      </w:r>
      <w:r w:rsidRPr="007E04A0">
        <w:rPr>
          <w:rFonts w:ascii="Arial" w:hAnsi="Arial" w:cs="Arial"/>
          <w:sz w:val="24"/>
          <w:szCs w:val="24"/>
        </w:rPr>
        <w:t xml:space="preserve">s are premised on polymerase chain reaction (PCR) product detection. </w:t>
      </w:r>
      <w:r>
        <w:rPr>
          <w:rFonts w:ascii="Arial" w:hAnsi="Arial" w:cs="Arial"/>
          <w:sz w:val="24"/>
          <w:szCs w:val="24"/>
        </w:rPr>
        <w:t xml:space="preserve">Being </w:t>
      </w:r>
      <w:r w:rsidR="00BC02A0">
        <w:rPr>
          <w:rFonts w:ascii="Arial" w:hAnsi="Arial" w:cs="Arial"/>
          <w:sz w:val="24"/>
          <w:szCs w:val="24"/>
        </w:rPr>
        <w:t xml:space="preserve">a national testing centre and </w:t>
      </w:r>
      <w:r>
        <w:rPr>
          <w:rFonts w:ascii="Arial" w:hAnsi="Arial" w:cs="Arial"/>
          <w:sz w:val="24"/>
          <w:szCs w:val="24"/>
        </w:rPr>
        <w:t xml:space="preserve">an ISO 17025 accredited laboratory, </w:t>
      </w:r>
      <w:r w:rsidR="00BC02A0">
        <w:rPr>
          <w:rFonts w:ascii="Arial" w:hAnsi="Arial" w:cs="Arial"/>
          <w:sz w:val="24"/>
          <w:szCs w:val="24"/>
        </w:rPr>
        <w:t xml:space="preserve">the </w:t>
      </w:r>
      <w:r w:rsidRPr="007E04A0">
        <w:rPr>
          <w:rFonts w:ascii="Arial" w:hAnsi="Arial" w:cs="Arial"/>
          <w:sz w:val="24"/>
          <w:szCs w:val="24"/>
        </w:rPr>
        <w:t>reliability and reproducibility of methods is critical in this regard as the test results travel</w:t>
      </w:r>
      <w:r>
        <w:rPr>
          <w:rFonts w:ascii="Arial" w:hAnsi="Arial" w:cs="Arial"/>
          <w:sz w:val="24"/>
          <w:szCs w:val="24"/>
        </w:rPr>
        <w:t xml:space="preserve"> </w:t>
      </w:r>
      <w:r w:rsidRPr="007E04A0">
        <w:rPr>
          <w:rFonts w:ascii="Arial" w:hAnsi="Arial" w:cs="Arial"/>
          <w:sz w:val="24"/>
          <w:szCs w:val="24"/>
        </w:rPr>
        <w:t>the width and breadth of the world, and therefore in keeping with international trends technology change becomes apparent.</w:t>
      </w:r>
    </w:p>
    <w:p w:rsidR="007E04A0" w:rsidRPr="00F948AF" w:rsidRDefault="007E04A0" w:rsidP="00852C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A55F7" w:rsidRDefault="00387692" w:rsidP="00D8450F">
      <w:pPr>
        <w:jc w:val="both"/>
        <w:rPr>
          <w:rFonts w:ascii="Arial" w:hAnsi="Arial" w:cs="Arial"/>
          <w:sz w:val="24"/>
          <w:szCs w:val="24"/>
        </w:rPr>
      </w:pPr>
      <w:r w:rsidRPr="00F948AF">
        <w:rPr>
          <w:rFonts w:ascii="Arial" w:hAnsi="Arial" w:cs="Arial"/>
          <w:sz w:val="24"/>
          <w:szCs w:val="24"/>
        </w:rPr>
        <w:t xml:space="preserve">The laboratory </w:t>
      </w:r>
      <w:r w:rsidR="008A55F7">
        <w:rPr>
          <w:rFonts w:ascii="Arial" w:hAnsi="Arial" w:cs="Arial"/>
          <w:sz w:val="24"/>
          <w:szCs w:val="24"/>
        </w:rPr>
        <w:t>has the following</w:t>
      </w:r>
      <w:r w:rsidR="00BC02A0">
        <w:rPr>
          <w:rFonts w:ascii="Arial" w:hAnsi="Arial" w:cs="Arial"/>
          <w:sz w:val="24"/>
          <w:szCs w:val="24"/>
        </w:rPr>
        <w:t xml:space="preserve"> key</w:t>
      </w:r>
      <w:r w:rsidR="008A55F7">
        <w:rPr>
          <w:rFonts w:ascii="Arial" w:hAnsi="Arial" w:cs="Arial"/>
          <w:sz w:val="24"/>
          <w:szCs w:val="24"/>
        </w:rPr>
        <w:t xml:space="preserve"> </w:t>
      </w:r>
      <w:r w:rsidR="007E04A0">
        <w:rPr>
          <w:rFonts w:ascii="Arial" w:hAnsi="Arial" w:cs="Arial"/>
          <w:sz w:val="24"/>
          <w:szCs w:val="24"/>
        </w:rPr>
        <w:t>functions:</w:t>
      </w:r>
    </w:p>
    <w:p w:rsidR="008A55F7" w:rsidRDefault="008A55F7" w:rsidP="008A55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Plant </w:t>
      </w:r>
      <w:r w:rsidR="00D816A2">
        <w:rPr>
          <w:rFonts w:ascii="Arial" w:hAnsi="Arial" w:cs="Arial"/>
          <w:sz w:val="24"/>
          <w:szCs w:val="24"/>
        </w:rPr>
        <w:t xml:space="preserve">and pathogen/pest </w:t>
      </w:r>
      <w:r>
        <w:rPr>
          <w:rFonts w:ascii="Arial" w:hAnsi="Arial" w:cs="Arial"/>
          <w:sz w:val="24"/>
          <w:szCs w:val="24"/>
        </w:rPr>
        <w:t>characterisation using nucleic acid based research</w:t>
      </w:r>
    </w:p>
    <w:p w:rsidR="00D816A2" w:rsidRDefault="00D816A2" w:rsidP="008A55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Molecular based plant diagnostics </w:t>
      </w:r>
      <w:r w:rsidR="008A55F7" w:rsidRPr="008A55F7">
        <w:rPr>
          <w:rFonts w:ascii="Arial" w:hAnsi="Arial" w:cs="Arial"/>
          <w:sz w:val="24"/>
          <w:szCs w:val="24"/>
        </w:rPr>
        <w:t>both to compleme</w:t>
      </w:r>
      <w:r>
        <w:rPr>
          <w:rFonts w:ascii="Arial" w:hAnsi="Arial" w:cs="Arial"/>
          <w:sz w:val="24"/>
          <w:szCs w:val="24"/>
        </w:rPr>
        <w:t>nt TRB’s Plant health Services Division</w:t>
      </w:r>
    </w:p>
    <w:p w:rsidR="007E04A0" w:rsidRDefault="007E04A0" w:rsidP="007E04A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Molecular based plant breeding technologies</w:t>
      </w:r>
    </w:p>
    <w:p w:rsidR="00584F02" w:rsidRDefault="007E04A0" w:rsidP="007E04A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National ISO17025 accredited GMO testing centre</w:t>
      </w:r>
      <w:r w:rsidR="00D8450F" w:rsidRPr="008A55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both imports and exports</w:t>
      </w:r>
    </w:p>
    <w:p w:rsidR="007E04A0" w:rsidRPr="008A55F7" w:rsidRDefault="007E04A0" w:rsidP="007E04A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 tissue culture and micropropagation – to promote pathogen free seed systems</w:t>
      </w:r>
    </w:p>
    <w:p w:rsidR="007E04A0" w:rsidRDefault="00852CB7" w:rsidP="00D8450F">
      <w:pPr>
        <w:jc w:val="both"/>
        <w:rPr>
          <w:rFonts w:ascii="Arial" w:hAnsi="Arial" w:cs="Arial"/>
          <w:sz w:val="24"/>
          <w:szCs w:val="24"/>
        </w:rPr>
      </w:pPr>
      <w:r w:rsidRPr="00F948AF">
        <w:rPr>
          <w:rFonts w:ascii="Arial" w:hAnsi="Arial" w:cs="Arial"/>
          <w:sz w:val="24"/>
          <w:szCs w:val="24"/>
        </w:rPr>
        <w:lastRenderedPageBreak/>
        <w:t xml:space="preserve">The laboratory </w:t>
      </w:r>
      <w:r w:rsidR="007E04A0">
        <w:rPr>
          <w:rFonts w:ascii="Arial" w:hAnsi="Arial" w:cs="Arial"/>
          <w:sz w:val="24"/>
          <w:szCs w:val="24"/>
        </w:rPr>
        <w:t xml:space="preserve">therefore </w:t>
      </w:r>
      <w:r w:rsidRPr="00F948AF">
        <w:rPr>
          <w:rFonts w:ascii="Arial" w:hAnsi="Arial" w:cs="Arial"/>
          <w:sz w:val="24"/>
          <w:szCs w:val="24"/>
        </w:rPr>
        <w:t xml:space="preserve">requires </w:t>
      </w:r>
      <w:r w:rsidR="007E04A0">
        <w:rPr>
          <w:rFonts w:ascii="Arial" w:hAnsi="Arial" w:cs="Arial"/>
          <w:sz w:val="24"/>
          <w:szCs w:val="24"/>
        </w:rPr>
        <w:t xml:space="preserve">an upgrade of equipment to fulfil its objectives and the following are </w:t>
      </w:r>
      <w:proofErr w:type="gramStart"/>
      <w:r w:rsidR="007E04A0">
        <w:rPr>
          <w:rFonts w:ascii="Arial" w:hAnsi="Arial" w:cs="Arial"/>
          <w:sz w:val="24"/>
          <w:szCs w:val="24"/>
        </w:rPr>
        <w:t>key:-</w:t>
      </w:r>
      <w:proofErr w:type="gramEnd"/>
    </w:p>
    <w:p w:rsidR="001225B9" w:rsidRDefault="007E04A0" w:rsidP="007E04A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C02A0">
        <w:rPr>
          <w:rFonts w:ascii="Arial" w:hAnsi="Arial" w:cs="Arial"/>
          <w:b/>
          <w:sz w:val="24"/>
          <w:szCs w:val="24"/>
        </w:rPr>
        <w:t xml:space="preserve">A </w:t>
      </w:r>
      <w:r w:rsidR="00BC02A0" w:rsidRPr="00BC02A0">
        <w:rPr>
          <w:rFonts w:ascii="Arial" w:hAnsi="Arial" w:cs="Arial"/>
          <w:b/>
          <w:sz w:val="24"/>
          <w:szCs w:val="24"/>
        </w:rPr>
        <w:t xml:space="preserve">low throughput </w:t>
      </w:r>
      <w:r w:rsidR="00852CB7" w:rsidRPr="00BC02A0">
        <w:rPr>
          <w:rFonts w:ascii="Arial" w:hAnsi="Arial" w:cs="Arial"/>
          <w:b/>
          <w:sz w:val="24"/>
          <w:szCs w:val="24"/>
        </w:rPr>
        <w:t>sequencer</w:t>
      </w:r>
      <w:r w:rsidR="00852CB7" w:rsidRPr="007E04A0">
        <w:rPr>
          <w:rFonts w:ascii="Arial" w:hAnsi="Arial" w:cs="Arial"/>
          <w:sz w:val="24"/>
          <w:szCs w:val="24"/>
        </w:rPr>
        <w:t xml:space="preserve"> to enable it to</w:t>
      </w:r>
      <w:r w:rsidR="00E269FC" w:rsidRPr="007E04A0">
        <w:rPr>
          <w:rFonts w:ascii="Arial" w:hAnsi="Arial" w:cs="Arial"/>
          <w:sz w:val="24"/>
          <w:szCs w:val="24"/>
        </w:rPr>
        <w:t xml:space="preserve"> detect and identify</w:t>
      </w:r>
      <w:r w:rsidR="008A55F7" w:rsidRPr="007E04A0">
        <w:rPr>
          <w:rFonts w:ascii="Arial" w:hAnsi="Arial" w:cs="Arial"/>
          <w:sz w:val="24"/>
          <w:szCs w:val="24"/>
        </w:rPr>
        <w:t xml:space="preserve"> </w:t>
      </w:r>
      <w:r w:rsidR="00E46C17" w:rsidRPr="007E04A0">
        <w:rPr>
          <w:rFonts w:ascii="Arial" w:hAnsi="Arial" w:cs="Arial"/>
          <w:sz w:val="24"/>
          <w:szCs w:val="24"/>
        </w:rPr>
        <w:t>genome changes due to</w:t>
      </w:r>
      <w:r w:rsidR="00E269FC" w:rsidRPr="007E04A0">
        <w:rPr>
          <w:rFonts w:ascii="Arial" w:hAnsi="Arial" w:cs="Arial"/>
          <w:sz w:val="24"/>
          <w:szCs w:val="24"/>
        </w:rPr>
        <w:t xml:space="preserve"> new breeding technologies such as </w:t>
      </w:r>
      <w:r w:rsidR="004C6DF9" w:rsidRPr="007E04A0">
        <w:rPr>
          <w:rFonts w:ascii="Arial" w:hAnsi="Arial" w:cs="Arial"/>
          <w:i/>
          <w:sz w:val="24"/>
          <w:szCs w:val="24"/>
        </w:rPr>
        <w:t>cis</w:t>
      </w:r>
      <w:r w:rsidR="004C6DF9" w:rsidRPr="007E04A0">
        <w:rPr>
          <w:rFonts w:ascii="Arial" w:hAnsi="Arial" w:cs="Arial"/>
          <w:sz w:val="24"/>
          <w:szCs w:val="24"/>
        </w:rPr>
        <w:t>-</w:t>
      </w:r>
      <w:proofErr w:type="spellStart"/>
      <w:r w:rsidR="004C6DF9" w:rsidRPr="007E04A0">
        <w:rPr>
          <w:rFonts w:ascii="Arial" w:hAnsi="Arial" w:cs="Arial"/>
          <w:sz w:val="24"/>
          <w:szCs w:val="24"/>
        </w:rPr>
        <w:t>genics</w:t>
      </w:r>
      <w:proofErr w:type="spellEnd"/>
      <w:r w:rsidR="00E269FC" w:rsidRPr="007E04A0">
        <w:rPr>
          <w:rFonts w:ascii="Arial" w:hAnsi="Arial" w:cs="Arial"/>
          <w:sz w:val="24"/>
          <w:szCs w:val="24"/>
        </w:rPr>
        <w:t>.</w:t>
      </w:r>
      <w:r w:rsidR="008A55F7" w:rsidRPr="007E04A0">
        <w:rPr>
          <w:rFonts w:ascii="Arial" w:hAnsi="Arial" w:cs="Arial"/>
          <w:sz w:val="24"/>
          <w:szCs w:val="24"/>
        </w:rPr>
        <w:t xml:space="preserve"> </w:t>
      </w:r>
      <w:r w:rsidR="00D8450F" w:rsidRPr="007E04A0">
        <w:rPr>
          <w:rFonts w:ascii="Arial" w:hAnsi="Arial" w:cs="Arial"/>
          <w:sz w:val="24"/>
          <w:szCs w:val="24"/>
        </w:rPr>
        <w:t xml:space="preserve">The sequencer will also be used for other activities e.g. molecular characterization of microorganisms. </w:t>
      </w:r>
    </w:p>
    <w:p w:rsidR="00BC02A0" w:rsidRDefault="00BC02A0" w:rsidP="007E04A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C02A0">
        <w:rPr>
          <w:rFonts w:ascii="Arial" w:hAnsi="Arial" w:cs="Arial"/>
          <w:b/>
          <w:sz w:val="24"/>
          <w:szCs w:val="24"/>
        </w:rPr>
        <w:t>DNA synthesiser</w:t>
      </w:r>
      <w:r>
        <w:rPr>
          <w:rFonts w:ascii="Arial" w:hAnsi="Arial" w:cs="Arial"/>
          <w:sz w:val="24"/>
          <w:szCs w:val="24"/>
        </w:rPr>
        <w:t xml:space="preserve"> to enable oligonucleotide synthesis </w:t>
      </w:r>
    </w:p>
    <w:p w:rsidR="00BC02A0" w:rsidRPr="007E04A0" w:rsidRDefault="00BC02A0" w:rsidP="007E04A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RNA analyser</w:t>
      </w:r>
      <w:r w:rsidRPr="00BC02A0">
        <w:rPr>
          <w:rFonts w:ascii="Arial" w:hAnsi="Arial" w:cs="Arial"/>
          <w:sz w:val="24"/>
          <w:szCs w:val="24"/>
        </w:rPr>
        <w:t xml:space="preserve"> to enable Transcriptomics studies</w:t>
      </w:r>
    </w:p>
    <w:sectPr w:rsidR="00BC02A0" w:rsidRPr="007E04A0" w:rsidSect="00010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9D0"/>
      </v:shape>
    </w:pict>
  </w:numPicBullet>
  <w:abstractNum w:abstractNumId="0" w15:restartNumberingAfterBreak="0">
    <w:nsid w:val="21933F7F"/>
    <w:multiLevelType w:val="hybridMultilevel"/>
    <w:tmpl w:val="A2703458"/>
    <w:lvl w:ilvl="0" w:tplc="5FA004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54068"/>
    <w:multiLevelType w:val="hybridMultilevel"/>
    <w:tmpl w:val="8FC60D24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41F3B"/>
    <w:multiLevelType w:val="hybridMultilevel"/>
    <w:tmpl w:val="00A2C730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55"/>
    <w:rsid w:val="00010853"/>
    <w:rsid w:val="0004082C"/>
    <w:rsid w:val="000A52C2"/>
    <w:rsid w:val="000A6140"/>
    <w:rsid w:val="001225B9"/>
    <w:rsid w:val="00195CAA"/>
    <w:rsid w:val="00294ECE"/>
    <w:rsid w:val="002C6604"/>
    <w:rsid w:val="0030596E"/>
    <w:rsid w:val="00387692"/>
    <w:rsid w:val="003A2255"/>
    <w:rsid w:val="004501B7"/>
    <w:rsid w:val="004B39E6"/>
    <w:rsid w:val="004C6DF9"/>
    <w:rsid w:val="00584F02"/>
    <w:rsid w:val="007E04A0"/>
    <w:rsid w:val="00852CB7"/>
    <w:rsid w:val="00874AAD"/>
    <w:rsid w:val="008A55F7"/>
    <w:rsid w:val="009B10F2"/>
    <w:rsid w:val="009B652F"/>
    <w:rsid w:val="009D2348"/>
    <w:rsid w:val="009F6323"/>
    <w:rsid w:val="00BB19E5"/>
    <w:rsid w:val="00BC02A0"/>
    <w:rsid w:val="00D816A2"/>
    <w:rsid w:val="00D8450F"/>
    <w:rsid w:val="00D85C35"/>
    <w:rsid w:val="00E269FC"/>
    <w:rsid w:val="00E44D98"/>
    <w:rsid w:val="00E46C17"/>
    <w:rsid w:val="00ED0707"/>
    <w:rsid w:val="00F94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AC60615-5A95-443D-95EC-58A1B813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E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Takombwa</dc:creator>
  <cp:lastModifiedBy>Dina Abdelhakim</cp:lastModifiedBy>
  <cp:revision>2</cp:revision>
  <dcterms:created xsi:type="dcterms:W3CDTF">2018-03-22T15:49:00Z</dcterms:created>
  <dcterms:modified xsi:type="dcterms:W3CDTF">2018-03-22T15:49:00Z</dcterms:modified>
</cp:coreProperties>
</file>