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16" w:rsidRPr="000A5374" w:rsidRDefault="00824116" w:rsidP="00824116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sz w:val="23"/>
          <w:szCs w:val="23"/>
        </w:rPr>
      </w:pPr>
      <w:r w:rsidRPr="000A5374">
        <w:rPr>
          <w:rFonts w:cs="Cambria"/>
          <w:b/>
          <w:sz w:val="23"/>
          <w:szCs w:val="23"/>
        </w:rPr>
        <w:t xml:space="preserve">Comentarios del Gobierno de México a la Notificación del CDB sobre </w:t>
      </w:r>
      <w:r w:rsidRPr="000A5374">
        <w:rPr>
          <w:rFonts w:cs="Cambria"/>
          <w:b/>
          <w:sz w:val="23"/>
          <w:szCs w:val="23"/>
        </w:rPr>
        <w:t>Evaluación de riesgo de organismos modificados vivos</w:t>
      </w:r>
    </w:p>
    <w:p w:rsidR="00824116" w:rsidRDefault="00824116" w:rsidP="00824116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color w:val="000000"/>
          <w:szCs w:val="22"/>
        </w:rPr>
      </w:pPr>
    </w:p>
    <w:p w:rsidR="00824116" w:rsidRDefault="00824116" w:rsidP="00824116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color w:val="000000"/>
          <w:szCs w:val="22"/>
        </w:rPr>
      </w:pPr>
    </w:p>
    <w:p w:rsidR="00824116" w:rsidRPr="00824116" w:rsidRDefault="00824116" w:rsidP="00824116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color w:val="000000"/>
          <w:szCs w:val="22"/>
        </w:rPr>
      </w:pPr>
      <w:r w:rsidRPr="00824116">
        <w:rPr>
          <w:rFonts w:cs="Cambria"/>
          <w:color w:val="000000"/>
          <w:szCs w:val="22"/>
        </w:rPr>
        <w:t>Ref. SCBD/CPU/DC/MA/MW/87798</w:t>
      </w:r>
    </w:p>
    <w:p w:rsidR="00824116" w:rsidRP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color w:val="000000"/>
          <w:szCs w:val="22"/>
        </w:rPr>
      </w:pPr>
      <w:r w:rsidRPr="00824116">
        <w:rPr>
          <w:rFonts w:cs="Cambria,Bold"/>
          <w:b/>
          <w:bCs/>
          <w:color w:val="000000"/>
          <w:szCs w:val="22"/>
        </w:rPr>
        <w:t>1. Sobre las experiencias en la realización de evaluacione</w:t>
      </w:r>
      <w:r>
        <w:rPr>
          <w:rFonts w:cs="Cambria,Bold"/>
          <w:b/>
          <w:bCs/>
          <w:color w:val="000000"/>
          <w:szCs w:val="22"/>
        </w:rPr>
        <w:t xml:space="preserve">s de riesgo de organismos vivos </w:t>
      </w:r>
      <w:r w:rsidRPr="00824116">
        <w:rPr>
          <w:rFonts w:cs="Cambria,Bold"/>
          <w:b/>
          <w:bCs/>
          <w:color w:val="000000"/>
          <w:szCs w:val="22"/>
        </w:rPr>
        <w:t>modificados con unidades de ingeniería genética (gene drives) y peces vivos modificados</w:t>
      </w:r>
    </w:p>
    <w:p w:rsid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824116" w:rsidRP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 w:rsidRPr="00824116">
        <w:rPr>
          <w:rFonts w:cs="Cambria"/>
          <w:color w:val="000000"/>
          <w:szCs w:val="22"/>
        </w:rPr>
        <w:t>El desarrollo y la aplicación de las nuevas biotecnologías basadas en edición genómic</w:t>
      </w:r>
      <w:r>
        <w:rPr>
          <w:rFonts w:cs="Cambria"/>
          <w:color w:val="000000"/>
          <w:szCs w:val="22"/>
        </w:rPr>
        <w:t xml:space="preserve">a (por </w:t>
      </w:r>
      <w:r w:rsidRPr="00824116">
        <w:rPr>
          <w:rFonts w:cs="Cambria"/>
          <w:color w:val="000000"/>
          <w:szCs w:val="22"/>
        </w:rPr>
        <w:t xml:space="preserve">ejemplo, gene drives) </w:t>
      </w:r>
      <w:proofErr w:type="gramStart"/>
      <w:r w:rsidRPr="00824116">
        <w:rPr>
          <w:rFonts w:cs="Cambria"/>
          <w:color w:val="000000"/>
          <w:szCs w:val="22"/>
        </w:rPr>
        <w:t>ha</w:t>
      </w:r>
      <w:proofErr w:type="gramEnd"/>
      <w:r w:rsidRPr="00824116">
        <w:rPr>
          <w:rFonts w:cs="Cambria"/>
          <w:color w:val="000000"/>
          <w:szCs w:val="22"/>
        </w:rPr>
        <w:t xml:space="preserve"> desarrollado gran interés por parte</w:t>
      </w:r>
      <w:r>
        <w:rPr>
          <w:rFonts w:cs="Cambria"/>
          <w:color w:val="000000"/>
          <w:szCs w:val="22"/>
        </w:rPr>
        <w:t xml:space="preserve"> de compañías biotecnológicas y </w:t>
      </w:r>
      <w:r w:rsidRPr="00824116">
        <w:rPr>
          <w:rFonts w:cs="Cambria"/>
          <w:color w:val="000000"/>
          <w:szCs w:val="22"/>
        </w:rPr>
        <w:t>laboratorios de investigación científica. Sin embargo, es n</w:t>
      </w:r>
      <w:r>
        <w:rPr>
          <w:rFonts w:cs="Cambria"/>
          <w:color w:val="000000"/>
          <w:szCs w:val="22"/>
        </w:rPr>
        <w:t xml:space="preserve">ecesario mencionar que ante los </w:t>
      </w:r>
      <w:r w:rsidRPr="00824116">
        <w:rPr>
          <w:rFonts w:cs="Cambria"/>
          <w:color w:val="000000"/>
          <w:szCs w:val="22"/>
        </w:rPr>
        <w:t>rápidos avances de estos desarrollos científicos, tecnológicos y s</w:t>
      </w:r>
      <w:r>
        <w:rPr>
          <w:rFonts w:cs="Cambria"/>
          <w:color w:val="000000"/>
          <w:szCs w:val="22"/>
        </w:rPr>
        <w:t xml:space="preserve">us aplicaciones; los marcos </w:t>
      </w:r>
      <w:r w:rsidRPr="00824116">
        <w:rPr>
          <w:rFonts w:cs="Cambria"/>
          <w:color w:val="000000"/>
          <w:szCs w:val="22"/>
        </w:rPr>
        <w:t>normativos y de gobernanza, así como los protocolos para el aná</w:t>
      </w:r>
      <w:r>
        <w:rPr>
          <w:rFonts w:cs="Cambria"/>
          <w:color w:val="000000"/>
          <w:szCs w:val="22"/>
        </w:rPr>
        <w:t xml:space="preserve">lisis de riesgo no han caminado </w:t>
      </w:r>
      <w:r w:rsidRPr="00824116">
        <w:rPr>
          <w:rFonts w:cs="Cambria"/>
          <w:color w:val="000000"/>
          <w:szCs w:val="22"/>
        </w:rPr>
        <w:t>ni se han actualizado a la misma velocidad que dichos avances c</w:t>
      </w:r>
      <w:r>
        <w:rPr>
          <w:rFonts w:cs="Cambria"/>
          <w:color w:val="000000"/>
          <w:szCs w:val="22"/>
        </w:rPr>
        <w:t xml:space="preserve">ientíficos. Ejemplo de esto, es </w:t>
      </w:r>
      <w:r w:rsidRPr="00824116">
        <w:rPr>
          <w:rFonts w:cs="Cambria"/>
          <w:color w:val="000000"/>
          <w:szCs w:val="22"/>
        </w:rPr>
        <w:t>que en México no existe actualmente una reglamentación ni pro</w:t>
      </w:r>
      <w:r>
        <w:rPr>
          <w:rFonts w:cs="Cambria"/>
          <w:color w:val="000000"/>
          <w:szCs w:val="22"/>
        </w:rPr>
        <w:t xml:space="preserve">tocolos específicos que regulen </w:t>
      </w:r>
      <w:r w:rsidRPr="00824116">
        <w:rPr>
          <w:rFonts w:cs="Cambria"/>
          <w:color w:val="000000"/>
          <w:szCs w:val="22"/>
        </w:rPr>
        <w:t>la generación y aplicación de organismos vivos modificados ge</w:t>
      </w:r>
      <w:r>
        <w:rPr>
          <w:rFonts w:cs="Cambria"/>
          <w:color w:val="000000"/>
          <w:szCs w:val="22"/>
        </w:rPr>
        <w:t xml:space="preserve">néticamente mediante las nuevas </w:t>
      </w:r>
      <w:r w:rsidRPr="00824116">
        <w:rPr>
          <w:rFonts w:cs="Cambria"/>
          <w:color w:val="000000"/>
          <w:szCs w:val="22"/>
        </w:rPr>
        <w:t>técnicas de biología moderna, tales como organismos que co</w:t>
      </w:r>
      <w:r>
        <w:rPr>
          <w:rFonts w:cs="Cambria"/>
          <w:color w:val="000000"/>
          <w:szCs w:val="22"/>
        </w:rPr>
        <w:t xml:space="preserve">ntengan Gene Drives (impulsores </w:t>
      </w:r>
      <w:r w:rsidRPr="00824116">
        <w:rPr>
          <w:rFonts w:cs="Cambria"/>
          <w:color w:val="000000"/>
          <w:szCs w:val="22"/>
        </w:rPr>
        <w:t>genéticos) o sean producto de la Biología Sintética, ni los pro</w:t>
      </w:r>
      <w:r>
        <w:rPr>
          <w:rFonts w:cs="Cambria"/>
          <w:color w:val="000000"/>
          <w:szCs w:val="22"/>
        </w:rPr>
        <w:t xml:space="preserve">cedimientos específicos para la </w:t>
      </w:r>
      <w:r w:rsidRPr="00824116">
        <w:rPr>
          <w:rFonts w:cs="Cambria"/>
          <w:color w:val="000000"/>
          <w:szCs w:val="22"/>
        </w:rPr>
        <w:t>realización de análisis de riesgo de este tipo de biotecnologí</w:t>
      </w:r>
      <w:r>
        <w:rPr>
          <w:rFonts w:cs="Cambria"/>
          <w:color w:val="000000"/>
          <w:szCs w:val="22"/>
        </w:rPr>
        <w:t xml:space="preserve">as. Sin embargo, los protocolos </w:t>
      </w:r>
      <w:r w:rsidRPr="00824116">
        <w:rPr>
          <w:rFonts w:cs="Cambria"/>
          <w:color w:val="000000"/>
          <w:szCs w:val="22"/>
        </w:rPr>
        <w:t>actualmente existentes pueden ser una base útil para la realización</w:t>
      </w:r>
      <w:r>
        <w:rPr>
          <w:rFonts w:cs="Cambria"/>
          <w:color w:val="000000"/>
          <w:szCs w:val="22"/>
        </w:rPr>
        <w:t xml:space="preserve"> de análisis de riesgo, aunque </w:t>
      </w:r>
      <w:r w:rsidRPr="00824116">
        <w:rPr>
          <w:rFonts w:cs="Cambria"/>
          <w:color w:val="000000"/>
          <w:szCs w:val="22"/>
        </w:rPr>
        <w:t>los mismos deberán actualizarse y adaptarse.</w:t>
      </w:r>
    </w:p>
    <w:p w:rsid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824116" w:rsidRP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 w:rsidRPr="00824116">
        <w:rPr>
          <w:rFonts w:cs="Cambria"/>
          <w:color w:val="000000"/>
          <w:szCs w:val="22"/>
        </w:rPr>
        <w:t>Dado que los efectos potenciales y los riesgos asociados a esta</w:t>
      </w:r>
      <w:r>
        <w:rPr>
          <w:rFonts w:cs="Cambria"/>
          <w:color w:val="000000"/>
          <w:szCs w:val="22"/>
        </w:rPr>
        <w:t xml:space="preserve">s nuevas tecnologías aún no han </w:t>
      </w:r>
      <w:r w:rsidRPr="00824116">
        <w:rPr>
          <w:rFonts w:cs="Cambria"/>
          <w:color w:val="000000"/>
          <w:szCs w:val="22"/>
        </w:rPr>
        <w:t>sido suficientemente explorados, y que las aplicaciones de estas nueva biotecnologías</w:t>
      </w:r>
      <w:r>
        <w:rPr>
          <w:rFonts w:cs="Cambria"/>
          <w:color w:val="000000"/>
          <w:szCs w:val="22"/>
        </w:rPr>
        <w:t xml:space="preserve"> </w:t>
      </w:r>
      <w:r w:rsidRPr="00824116">
        <w:rPr>
          <w:rFonts w:cs="Cambria"/>
          <w:color w:val="000000"/>
          <w:szCs w:val="22"/>
        </w:rPr>
        <w:t>progresivamente se van combinando, y por lo tanto complejiza</w:t>
      </w:r>
      <w:r>
        <w:rPr>
          <w:rFonts w:cs="Cambria"/>
          <w:color w:val="000000"/>
          <w:szCs w:val="22"/>
        </w:rPr>
        <w:t xml:space="preserve">ndo, es recomendable analizar y </w:t>
      </w:r>
      <w:r w:rsidRPr="00824116">
        <w:rPr>
          <w:rFonts w:cs="Cambria"/>
          <w:color w:val="000000"/>
          <w:szCs w:val="22"/>
        </w:rPr>
        <w:t>proceder bajo la perspectiva del principio precautorio así co</w:t>
      </w:r>
      <w:r>
        <w:rPr>
          <w:rFonts w:cs="Cambria"/>
          <w:color w:val="000000"/>
          <w:szCs w:val="22"/>
        </w:rPr>
        <w:t xml:space="preserve">mo realizar más investigaciones </w:t>
      </w:r>
      <w:r w:rsidRPr="00824116">
        <w:rPr>
          <w:rFonts w:cs="Cambria"/>
          <w:color w:val="000000"/>
          <w:szCs w:val="22"/>
        </w:rPr>
        <w:t>sobre los potenciales riesgos y beneficios del uso y manejo de organis</w:t>
      </w:r>
      <w:r>
        <w:rPr>
          <w:rFonts w:cs="Cambria"/>
          <w:color w:val="000000"/>
          <w:szCs w:val="22"/>
        </w:rPr>
        <w:t xml:space="preserve">mos vivos modificados </w:t>
      </w:r>
      <w:r w:rsidRPr="00824116">
        <w:rPr>
          <w:rFonts w:cs="Cambria"/>
          <w:color w:val="000000"/>
          <w:szCs w:val="22"/>
        </w:rPr>
        <w:t>producto de la Biología Sintética (por ejemplo, edición genómica o impulsores genéticos).</w:t>
      </w:r>
    </w:p>
    <w:p w:rsid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824116" w:rsidRP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 w:rsidRPr="00824116">
        <w:rPr>
          <w:rFonts w:cs="Cambria"/>
          <w:color w:val="000000"/>
          <w:szCs w:val="22"/>
        </w:rPr>
        <w:t xml:space="preserve">En lo relativo a peces modificados, al día de hoy México </w:t>
      </w:r>
      <w:r>
        <w:rPr>
          <w:rFonts w:cs="Cambria"/>
          <w:color w:val="000000"/>
          <w:szCs w:val="22"/>
        </w:rPr>
        <w:t xml:space="preserve">no cuenta con experiencia en la </w:t>
      </w:r>
      <w:r w:rsidRPr="00824116">
        <w:rPr>
          <w:rFonts w:cs="Cambria"/>
          <w:color w:val="000000"/>
          <w:szCs w:val="22"/>
        </w:rPr>
        <w:t>evaluación de riesgo sobre la presencia de peces vivos modificados.</w:t>
      </w:r>
    </w:p>
    <w:p w:rsid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color w:val="000000"/>
          <w:szCs w:val="22"/>
        </w:rPr>
      </w:pPr>
    </w:p>
    <w:p w:rsidR="00824116" w:rsidRP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color w:val="000000"/>
          <w:szCs w:val="22"/>
        </w:rPr>
      </w:pPr>
      <w:r w:rsidRPr="00824116">
        <w:rPr>
          <w:rFonts w:cs="Cambria,Bold"/>
          <w:b/>
          <w:bCs/>
          <w:color w:val="000000"/>
          <w:szCs w:val="22"/>
        </w:rPr>
        <w:t>2. Sobre los retos esperados en las evaluaciones de riesgo de estos organismos</w:t>
      </w:r>
    </w:p>
    <w:p w:rsid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824116" w:rsidRP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 w:rsidRPr="00824116">
        <w:rPr>
          <w:rFonts w:cs="Cambria"/>
          <w:color w:val="000000"/>
          <w:szCs w:val="22"/>
        </w:rPr>
        <w:t xml:space="preserve">El reto principal en la evaluación de riesgo por los </w:t>
      </w:r>
      <w:r>
        <w:rPr>
          <w:rFonts w:cs="Cambria"/>
          <w:color w:val="000000"/>
          <w:szCs w:val="22"/>
        </w:rPr>
        <w:t xml:space="preserve">organismos modificados mediante </w:t>
      </w:r>
      <w:r w:rsidRPr="00824116">
        <w:rPr>
          <w:rFonts w:cs="Cambria"/>
          <w:color w:val="000000"/>
          <w:szCs w:val="22"/>
        </w:rPr>
        <w:t>impulsores genéticos es el de actualizar y adecuar los protocolos de evaluación</w:t>
      </w:r>
      <w:r>
        <w:rPr>
          <w:rFonts w:cs="Cambria"/>
          <w:color w:val="000000"/>
          <w:szCs w:val="22"/>
        </w:rPr>
        <w:t xml:space="preserve"> de riesgo </w:t>
      </w:r>
      <w:r w:rsidRPr="00824116">
        <w:rPr>
          <w:rFonts w:cs="Cambria"/>
          <w:color w:val="000000"/>
          <w:szCs w:val="22"/>
        </w:rPr>
        <w:t>actualmente empleados para los organismos genéticamente modi</w:t>
      </w:r>
      <w:r>
        <w:rPr>
          <w:rFonts w:cs="Cambria"/>
          <w:color w:val="000000"/>
          <w:szCs w:val="22"/>
        </w:rPr>
        <w:t xml:space="preserve">ficados y que tales sean útiles </w:t>
      </w:r>
      <w:r w:rsidRPr="00824116">
        <w:rPr>
          <w:rFonts w:cs="Cambria"/>
          <w:color w:val="000000"/>
          <w:szCs w:val="22"/>
        </w:rPr>
        <w:t>y contemplen los escenarios potenciales dadas las ca</w:t>
      </w:r>
      <w:r>
        <w:rPr>
          <w:rFonts w:cs="Cambria"/>
          <w:color w:val="000000"/>
          <w:szCs w:val="22"/>
        </w:rPr>
        <w:t xml:space="preserve">racterísticas de los organismos </w:t>
      </w:r>
      <w:r w:rsidRPr="00824116">
        <w:rPr>
          <w:rFonts w:cs="Cambria"/>
          <w:color w:val="000000"/>
          <w:szCs w:val="22"/>
        </w:rPr>
        <w:t>modificados mediante Biología Sintética (por ejemplo, impulsores gené</w:t>
      </w:r>
      <w:r>
        <w:rPr>
          <w:rFonts w:cs="Cambria"/>
          <w:color w:val="000000"/>
          <w:szCs w:val="22"/>
        </w:rPr>
        <w:t xml:space="preserve">ticos), o productos de </w:t>
      </w:r>
      <w:r w:rsidRPr="00824116">
        <w:rPr>
          <w:rFonts w:cs="Cambria"/>
          <w:color w:val="000000"/>
          <w:szCs w:val="22"/>
        </w:rPr>
        <w:t>estos.</w:t>
      </w:r>
    </w:p>
    <w:p w:rsidR="00824116" w:rsidRP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 w:rsidRPr="00824116">
        <w:rPr>
          <w:rFonts w:cs="Cambria"/>
          <w:color w:val="000000"/>
          <w:szCs w:val="22"/>
        </w:rPr>
        <w:t>Una característica inherente a esta tecnología es la potencial</w:t>
      </w:r>
      <w:r>
        <w:rPr>
          <w:rFonts w:cs="Cambria"/>
          <w:color w:val="000000"/>
          <w:szCs w:val="22"/>
        </w:rPr>
        <w:t xml:space="preserve">idad de modificar genéticamente </w:t>
      </w:r>
      <w:r w:rsidRPr="00824116">
        <w:rPr>
          <w:rFonts w:cs="Cambria"/>
          <w:color w:val="000000"/>
          <w:szCs w:val="22"/>
        </w:rPr>
        <w:t>poblaciones determinadas, por lo que desde la evaluación de ries</w:t>
      </w:r>
      <w:r>
        <w:rPr>
          <w:rFonts w:cs="Cambria"/>
          <w:color w:val="000000"/>
          <w:szCs w:val="22"/>
        </w:rPr>
        <w:t xml:space="preserve">go bajo el enfoque de principio </w:t>
      </w:r>
      <w:r w:rsidRPr="00824116">
        <w:rPr>
          <w:rFonts w:cs="Cambria"/>
          <w:color w:val="000000"/>
          <w:szCs w:val="22"/>
        </w:rPr>
        <w:t>precautorio deben considerarse conocimientos y experiencias p</w:t>
      </w:r>
      <w:r>
        <w:rPr>
          <w:rFonts w:cs="Cambria"/>
          <w:color w:val="000000"/>
          <w:szCs w:val="22"/>
        </w:rPr>
        <w:t xml:space="preserve">revias en ámbitos tales como la </w:t>
      </w:r>
      <w:r w:rsidRPr="00824116">
        <w:rPr>
          <w:rFonts w:cs="Cambria"/>
          <w:color w:val="000000"/>
          <w:szCs w:val="22"/>
        </w:rPr>
        <w:t xml:space="preserve">Genética de poblaciones, la Ecología; así como los estudios y </w:t>
      </w:r>
      <w:r>
        <w:rPr>
          <w:rFonts w:cs="Cambria"/>
          <w:color w:val="000000"/>
          <w:szCs w:val="22"/>
        </w:rPr>
        <w:t xml:space="preserve">experiencias sobre el manejo de </w:t>
      </w:r>
      <w:r w:rsidRPr="00824116">
        <w:rPr>
          <w:rFonts w:cs="Cambria"/>
          <w:color w:val="000000"/>
          <w:szCs w:val="22"/>
        </w:rPr>
        <w:t>especies invasoras, entre otras. Asimismo, un aspecto a tener e</w:t>
      </w:r>
      <w:r>
        <w:rPr>
          <w:rFonts w:cs="Cambria"/>
          <w:color w:val="000000"/>
          <w:szCs w:val="22"/>
        </w:rPr>
        <w:t xml:space="preserve">n consideración es la potencial </w:t>
      </w:r>
      <w:r w:rsidRPr="00824116">
        <w:rPr>
          <w:rFonts w:cs="Cambria"/>
          <w:color w:val="000000"/>
          <w:szCs w:val="22"/>
        </w:rPr>
        <w:t>emergencia de organismos resistentes a las modificaciones intr</w:t>
      </w:r>
      <w:r>
        <w:rPr>
          <w:rFonts w:cs="Cambria"/>
          <w:color w:val="000000"/>
          <w:szCs w:val="22"/>
        </w:rPr>
        <w:t xml:space="preserve">oducidas a través de las nuevas </w:t>
      </w:r>
      <w:r w:rsidRPr="00824116">
        <w:rPr>
          <w:rFonts w:cs="Cambria"/>
          <w:color w:val="000000"/>
          <w:szCs w:val="22"/>
        </w:rPr>
        <w:t>herramientas biotecnológicas (por ejemplo, impulsores ge</w:t>
      </w:r>
      <w:r>
        <w:rPr>
          <w:rFonts w:cs="Cambria"/>
          <w:color w:val="000000"/>
          <w:szCs w:val="22"/>
        </w:rPr>
        <w:t xml:space="preserve">néticos, o edición genómica), o </w:t>
      </w:r>
      <w:r w:rsidRPr="00824116">
        <w:rPr>
          <w:rFonts w:cs="Cambria"/>
          <w:color w:val="000000"/>
          <w:szCs w:val="22"/>
        </w:rPr>
        <w:t>efectos en los genomas de los organismos modificados no c</w:t>
      </w:r>
      <w:r>
        <w:rPr>
          <w:rFonts w:cs="Cambria"/>
          <w:color w:val="000000"/>
          <w:szCs w:val="22"/>
        </w:rPr>
        <w:t xml:space="preserve">onsiderados previamente por las </w:t>
      </w:r>
      <w:r w:rsidRPr="00824116">
        <w:rPr>
          <w:rFonts w:cs="Cambria"/>
          <w:color w:val="000000"/>
          <w:szCs w:val="22"/>
        </w:rPr>
        <w:t xml:space="preserve">herramientas y aplicaciones de las nuevas biotecnologías </w:t>
      </w:r>
      <w:r>
        <w:rPr>
          <w:rFonts w:cs="Cambria"/>
          <w:color w:val="000000"/>
          <w:szCs w:val="22"/>
        </w:rPr>
        <w:t xml:space="preserve">con las que se realizaron tales </w:t>
      </w:r>
      <w:r w:rsidRPr="00824116">
        <w:rPr>
          <w:rFonts w:cs="Cambria"/>
          <w:color w:val="000000"/>
          <w:szCs w:val="22"/>
        </w:rPr>
        <w:t>modificaciones.</w:t>
      </w:r>
    </w:p>
    <w:p w:rsid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824116" w:rsidRP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 w:rsidRPr="00824116">
        <w:rPr>
          <w:rFonts w:cs="Cambria"/>
          <w:color w:val="000000"/>
          <w:szCs w:val="22"/>
        </w:rPr>
        <w:t>Las propuestas tradicionales de la evaluación de riesgo contempl</w:t>
      </w:r>
      <w:r>
        <w:rPr>
          <w:rFonts w:cs="Cambria"/>
          <w:color w:val="000000"/>
          <w:szCs w:val="22"/>
        </w:rPr>
        <w:t xml:space="preserve">an, por ejemplo, estrategias de </w:t>
      </w:r>
      <w:r w:rsidRPr="00824116">
        <w:rPr>
          <w:rFonts w:cs="Cambria"/>
          <w:color w:val="000000"/>
          <w:szCs w:val="22"/>
        </w:rPr>
        <w:t>confinamiento a nivel molecular, ecológico, reproductivo o med</w:t>
      </w:r>
      <w:r>
        <w:rPr>
          <w:rFonts w:cs="Cambria"/>
          <w:color w:val="000000"/>
          <w:szCs w:val="22"/>
        </w:rPr>
        <w:t xml:space="preserve">iante barreras físicas (Tabla1) </w:t>
      </w:r>
      <w:r w:rsidRPr="00824116">
        <w:rPr>
          <w:rFonts w:cs="Cambria"/>
          <w:color w:val="000000"/>
          <w:szCs w:val="22"/>
        </w:rPr>
        <w:t>pero probablemente estas no serían pertinentes ante escenarios que contemplen la liberación</w:t>
      </w:r>
    </w:p>
    <w:p w:rsidR="00824116" w:rsidRP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proofErr w:type="gramStart"/>
      <w:r w:rsidRPr="00824116">
        <w:rPr>
          <w:rFonts w:cs="Cambria"/>
          <w:color w:val="000000"/>
          <w:szCs w:val="22"/>
        </w:rPr>
        <w:t>al</w:t>
      </w:r>
      <w:proofErr w:type="gramEnd"/>
      <w:r w:rsidRPr="00824116">
        <w:rPr>
          <w:rFonts w:cs="Cambria"/>
          <w:color w:val="000000"/>
          <w:szCs w:val="22"/>
        </w:rPr>
        <w:t xml:space="preserve"> ambiente de los organismos modificados mediante las </w:t>
      </w:r>
      <w:r>
        <w:rPr>
          <w:rFonts w:cs="Cambria"/>
          <w:color w:val="000000"/>
          <w:szCs w:val="22"/>
        </w:rPr>
        <w:t xml:space="preserve">nuevas biotecnología, ya que la </w:t>
      </w:r>
      <w:r w:rsidRPr="00824116">
        <w:rPr>
          <w:rFonts w:cs="Cambria"/>
          <w:color w:val="000000"/>
          <w:szCs w:val="22"/>
        </w:rPr>
        <w:t>mayoría de las propuestas que existen fueron cons</w:t>
      </w:r>
      <w:r>
        <w:rPr>
          <w:rFonts w:cs="Cambria"/>
          <w:color w:val="000000"/>
          <w:szCs w:val="22"/>
        </w:rPr>
        <w:t xml:space="preserve">ideradas para experimentación o </w:t>
      </w:r>
      <w:r w:rsidRPr="00824116">
        <w:rPr>
          <w:rFonts w:cs="Cambria"/>
          <w:color w:val="000000"/>
          <w:szCs w:val="22"/>
        </w:rPr>
        <w:t>investigación a nivel de laboratorio, es decir en condiciones de contención</w:t>
      </w:r>
      <w:r w:rsidR="006C178E">
        <w:rPr>
          <w:rStyle w:val="Refdenotaalpie"/>
          <w:rFonts w:cs="Cambria"/>
          <w:color w:val="000000"/>
          <w:szCs w:val="22"/>
        </w:rPr>
        <w:footnoteReference w:id="1"/>
      </w:r>
      <w:r w:rsidRPr="00824116">
        <w:rPr>
          <w:rFonts w:cs="Cambria"/>
          <w:color w:val="000000"/>
          <w:szCs w:val="22"/>
        </w:rPr>
        <w:t>.</w:t>
      </w:r>
    </w:p>
    <w:p w:rsidR="00CC5246" w:rsidRDefault="00CC524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color w:val="000000"/>
          <w:szCs w:val="22"/>
        </w:rPr>
      </w:pPr>
    </w:p>
    <w:p w:rsidR="00824116" w:rsidRPr="00CC5246" w:rsidRDefault="00824116" w:rsidP="00CC5246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color w:val="000000"/>
          <w:sz w:val="20"/>
          <w:szCs w:val="20"/>
        </w:rPr>
      </w:pPr>
      <w:r w:rsidRPr="00CC5246">
        <w:rPr>
          <w:rFonts w:cs="Cambria,Bold"/>
          <w:b/>
          <w:bCs/>
          <w:color w:val="000000"/>
          <w:sz w:val="20"/>
          <w:szCs w:val="20"/>
        </w:rPr>
        <w:t xml:space="preserve">Tabla </w:t>
      </w:r>
      <w:r w:rsidRPr="00CC5246">
        <w:rPr>
          <w:rFonts w:cs="Cambria,Bold"/>
          <w:b/>
          <w:bCs/>
          <w:color w:val="1F497D"/>
          <w:sz w:val="20"/>
          <w:szCs w:val="20"/>
        </w:rPr>
        <w:t>1</w:t>
      </w:r>
      <w:r w:rsidRPr="00CC5246">
        <w:rPr>
          <w:rFonts w:cs="Cambria,Bold"/>
          <w:b/>
          <w:bCs/>
          <w:color w:val="000000"/>
          <w:sz w:val="20"/>
          <w:szCs w:val="20"/>
        </w:rPr>
        <w:t>. Estrategias de contención para trabajar sistemas CRISPR en laboratorios</w:t>
      </w:r>
    </w:p>
    <w:p w:rsidR="00CC5246" w:rsidRDefault="00CC524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color w:val="000000"/>
          <w:szCs w:val="22"/>
        </w:rPr>
      </w:pPr>
    </w:p>
    <w:p w:rsidR="00CC5246" w:rsidRDefault="00CC5246" w:rsidP="00CC524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Cs w:val="22"/>
        </w:rPr>
      </w:pPr>
    </w:p>
    <w:tbl>
      <w:tblPr>
        <w:tblStyle w:val="Tablaconcuadrcula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  <w:gridCol w:w="2835"/>
      </w:tblGrid>
      <w:tr w:rsidR="00CC5246" w:rsidTr="00CC5246"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</w:tcPr>
          <w:p w:rsidR="00CC5246" w:rsidRDefault="00CC5246" w:rsidP="00CC524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Cs w:val="22"/>
              </w:rPr>
            </w:pPr>
            <w:r>
              <w:rPr>
                <w:rFonts w:ascii="Cambria,Bold" w:hAnsi="Cambria,Bold" w:cs="Cambria,Bold"/>
                <w:b/>
                <w:bCs/>
                <w:szCs w:val="22"/>
              </w:rPr>
              <w:t>Tipo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CC5246" w:rsidRDefault="00CC5246" w:rsidP="00CC524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Cs w:val="22"/>
              </w:rPr>
            </w:pPr>
            <w:r>
              <w:rPr>
                <w:rFonts w:ascii="Cambria,Bold" w:hAnsi="Cambria,Bold" w:cs="Cambria,Bold"/>
                <w:b/>
                <w:bCs/>
                <w:szCs w:val="22"/>
              </w:rPr>
              <w:t>Estrategia de confinamiento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CC5246" w:rsidRDefault="00CC5246" w:rsidP="00CC524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Cs w:val="22"/>
              </w:rPr>
            </w:pPr>
            <w:r>
              <w:rPr>
                <w:rFonts w:ascii="Cambria,Bold" w:hAnsi="Cambria,Bold" w:cs="Cambria,Bold"/>
                <w:b/>
                <w:bCs/>
                <w:szCs w:val="22"/>
              </w:rPr>
              <w:t>Ejemplos</w:t>
            </w:r>
          </w:p>
          <w:p w:rsidR="00CC5246" w:rsidRDefault="00CC5246" w:rsidP="00CC524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Cs w:val="22"/>
              </w:rPr>
            </w:pPr>
          </w:p>
        </w:tc>
      </w:tr>
      <w:tr w:rsidR="00CC5246" w:rsidRPr="00CC5246" w:rsidTr="00CC5246">
        <w:tc>
          <w:tcPr>
            <w:tcW w:w="2830" w:type="dxa"/>
            <w:tcBorders>
              <w:top w:val="single" w:sz="12" w:space="0" w:color="auto"/>
            </w:tcBorders>
          </w:tcPr>
          <w:p w:rsidR="00CC5246" w:rsidRPr="00CC5246" w:rsidRDefault="00CC5246" w:rsidP="00CC5246">
            <w:pPr>
              <w:autoSpaceDE w:val="0"/>
              <w:autoSpaceDN w:val="0"/>
              <w:adjustRightInd w:val="0"/>
              <w:jc w:val="center"/>
              <w:rPr>
                <w:rFonts w:cs="Cambria,Bold"/>
                <w:b/>
                <w:bCs/>
                <w:szCs w:val="22"/>
              </w:rPr>
            </w:pPr>
            <w:r w:rsidRPr="00CC5246">
              <w:rPr>
                <w:rFonts w:cs="Cambria"/>
                <w:szCs w:val="22"/>
              </w:rPr>
              <w:t>Molecular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CC5246" w:rsidRPr="00CC5246" w:rsidRDefault="00CC5246" w:rsidP="00CC5246">
            <w:pPr>
              <w:autoSpaceDE w:val="0"/>
              <w:autoSpaceDN w:val="0"/>
              <w:adjustRightInd w:val="0"/>
              <w:jc w:val="both"/>
              <w:rPr>
                <w:rFonts w:cs="Cambria"/>
                <w:szCs w:val="22"/>
              </w:rPr>
            </w:pPr>
            <w:r w:rsidRPr="00CC5246">
              <w:rPr>
                <w:rFonts w:cs="Cambria"/>
                <w:szCs w:val="22"/>
              </w:rPr>
              <w:t>Sep</w:t>
            </w:r>
            <w:r w:rsidRPr="00CC5246">
              <w:rPr>
                <w:rFonts w:cs="Cambria"/>
                <w:szCs w:val="22"/>
              </w:rPr>
              <w:t xml:space="preserve">arar los componentes requeridos </w:t>
            </w:r>
            <w:r w:rsidRPr="00CC5246">
              <w:rPr>
                <w:rFonts w:cs="Cambria"/>
                <w:szCs w:val="22"/>
              </w:rPr>
              <w:t xml:space="preserve">para generar el </w:t>
            </w:r>
            <w:r w:rsidRPr="00CC5246">
              <w:rPr>
                <w:rFonts w:cs="Cambria,Italic"/>
                <w:i/>
                <w:iCs/>
                <w:szCs w:val="22"/>
              </w:rPr>
              <w:t>gene drive</w:t>
            </w:r>
            <w:r>
              <w:rPr>
                <w:rFonts w:cs="Cambria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C5246" w:rsidRPr="00CC5246" w:rsidRDefault="00CC5246" w:rsidP="00CC5246">
            <w:pPr>
              <w:autoSpaceDE w:val="0"/>
              <w:autoSpaceDN w:val="0"/>
              <w:adjustRightInd w:val="0"/>
              <w:jc w:val="both"/>
              <w:rPr>
                <w:rFonts w:cs="Cambria"/>
                <w:szCs w:val="22"/>
              </w:rPr>
            </w:pPr>
            <w:r w:rsidRPr="00CC5246">
              <w:rPr>
                <w:rFonts w:cs="Cambria"/>
                <w:szCs w:val="22"/>
              </w:rPr>
              <w:t xml:space="preserve">Diseñar el </w:t>
            </w:r>
            <w:proofErr w:type="spellStart"/>
            <w:r w:rsidRPr="00CC5246">
              <w:rPr>
                <w:rFonts w:cs="Cambria"/>
                <w:szCs w:val="22"/>
              </w:rPr>
              <w:t>RNAg</w:t>
            </w:r>
            <w:proofErr w:type="spellEnd"/>
            <w:r w:rsidRPr="00CC5246">
              <w:rPr>
                <w:rFonts w:cs="Cambria"/>
                <w:szCs w:val="22"/>
              </w:rPr>
              <w:t xml:space="preserve"> y la proteína </w:t>
            </w:r>
            <w:r w:rsidRPr="00CC5246">
              <w:rPr>
                <w:rFonts w:cs="Cambria"/>
                <w:szCs w:val="22"/>
              </w:rPr>
              <w:t xml:space="preserve">Cas9 en </w:t>
            </w:r>
            <w:proofErr w:type="spellStart"/>
            <w:r w:rsidRPr="00CC5246">
              <w:rPr>
                <w:rFonts w:cs="Cambria"/>
                <w:szCs w:val="22"/>
              </w:rPr>
              <w:t>locis</w:t>
            </w:r>
            <w:proofErr w:type="spellEnd"/>
            <w:r w:rsidRPr="00CC5246">
              <w:rPr>
                <w:rFonts w:cs="Cambria"/>
                <w:szCs w:val="22"/>
              </w:rPr>
              <w:t xml:space="preserve"> diferentes</w:t>
            </w:r>
          </w:p>
        </w:tc>
      </w:tr>
      <w:tr w:rsidR="00CC5246" w:rsidTr="00CC5246">
        <w:tc>
          <w:tcPr>
            <w:tcW w:w="2830" w:type="dxa"/>
          </w:tcPr>
          <w:p w:rsidR="00CC5246" w:rsidRDefault="00CC5246" w:rsidP="00CC524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Cs w:val="22"/>
              </w:rPr>
            </w:pPr>
            <w:r>
              <w:rPr>
                <w:rFonts w:ascii="Cambria" w:hAnsi="Cambria" w:cs="Cambria"/>
                <w:szCs w:val="22"/>
              </w:rPr>
              <w:t>Ecológica</w:t>
            </w:r>
          </w:p>
        </w:tc>
        <w:tc>
          <w:tcPr>
            <w:tcW w:w="3969" w:type="dxa"/>
          </w:tcPr>
          <w:p w:rsidR="00CC5246" w:rsidRDefault="00CC5246" w:rsidP="00CC5246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2"/>
              </w:rPr>
            </w:pPr>
            <w:r>
              <w:rPr>
                <w:rFonts w:ascii="Cambria" w:hAnsi="Cambria" w:cs="Cambria"/>
                <w:szCs w:val="22"/>
              </w:rPr>
              <w:t>Llevar a cabo experimentos en lugares</w:t>
            </w:r>
          </w:p>
          <w:p w:rsidR="00CC5246" w:rsidRDefault="00CC5246" w:rsidP="00CC5246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2"/>
              </w:rPr>
            </w:pPr>
            <w:r>
              <w:rPr>
                <w:rFonts w:ascii="Cambria" w:hAnsi="Cambria" w:cs="Cambria"/>
                <w:szCs w:val="22"/>
              </w:rPr>
              <w:t>donde l</w:t>
            </w:r>
            <w:r>
              <w:rPr>
                <w:rFonts w:ascii="Cambria" w:hAnsi="Cambria" w:cs="Cambria"/>
                <w:szCs w:val="22"/>
              </w:rPr>
              <w:t xml:space="preserve">as especies no se encuentran de </w:t>
            </w:r>
            <w:r>
              <w:rPr>
                <w:rFonts w:ascii="Cambria" w:hAnsi="Cambria" w:cs="Cambria"/>
                <w:szCs w:val="22"/>
              </w:rPr>
              <w:t>forma silvestre.</w:t>
            </w:r>
          </w:p>
          <w:p w:rsidR="00CC5246" w:rsidRPr="00CC5246" w:rsidRDefault="00CC5246" w:rsidP="00CC5246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2"/>
              </w:rPr>
            </w:pPr>
            <w:r>
              <w:rPr>
                <w:rFonts w:ascii="Cambria" w:hAnsi="Cambria" w:cs="Cambria"/>
                <w:szCs w:val="22"/>
              </w:rPr>
              <w:t>Llevar</w:t>
            </w:r>
            <w:r>
              <w:rPr>
                <w:rFonts w:ascii="Cambria" w:hAnsi="Cambria" w:cs="Cambria"/>
                <w:szCs w:val="22"/>
              </w:rPr>
              <w:t xml:space="preserve"> a cabo experimentos en lugares </w:t>
            </w:r>
            <w:r>
              <w:rPr>
                <w:rFonts w:ascii="Cambria" w:hAnsi="Cambria" w:cs="Cambria"/>
                <w:szCs w:val="22"/>
              </w:rPr>
              <w:t>don</w:t>
            </w:r>
            <w:r>
              <w:rPr>
                <w:rFonts w:ascii="Cambria" w:hAnsi="Cambria" w:cs="Cambria"/>
                <w:szCs w:val="22"/>
              </w:rPr>
              <w:t>de no hay parientes silvestres.</w:t>
            </w:r>
          </w:p>
        </w:tc>
        <w:tc>
          <w:tcPr>
            <w:tcW w:w="2835" w:type="dxa"/>
          </w:tcPr>
          <w:p w:rsidR="00CC5246" w:rsidRDefault="00CC5246" w:rsidP="00CC5246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2"/>
              </w:rPr>
            </w:pPr>
            <w:r>
              <w:rPr>
                <w:rFonts w:ascii="Cambria" w:hAnsi="Cambria" w:cs="Cambria"/>
                <w:szCs w:val="22"/>
              </w:rPr>
              <w:t xml:space="preserve">Mosquitos </w:t>
            </w:r>
            <w:proofErr w:type="spellStart"/>
            <w:r>
              <w:rPr>
                <w:rFonts w:ascii="Cambria,Italic" w:hAnsi="Cambria,Italic" w:cs="Cambria,Italic"/>
                <w:i/>
                <w:iCs/>
                <w:szCs w:val="22"/>
              </w:rPr>
              <w:t>Anopheles</w:t>
            </w:r>
            <w:proofErr w:type="spellEnd"/>
            <w:r>
              <w:rPr>
                <w:rFonts w:ascii="Cambria,Italic" w:hAnsi="Cambria,Italic" w:cs="Cambria,Italic"/>
                <w:i/>
                <w:iCs/>
                <w:szCs w:val="22"/>
              </w:rPr>
              <w:t xml:space="preserve"> </w:t>
            </w:r>
            <w:r>
              <w:rPr>
                <w:rFonts w:ascii="Cambria" w:hAnsi="Cambria" w:cs="Cambria"/>
                <w:szCs w:val="22"/>
              </w:rPr>
              <w:t>en</w:t>
            </w:r>
          </w:p>
          <w:p w:rsidR="00CC5246" w:rsidRDefault="00CC5246" w:rsidP="00CC5246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2"/>
              </w:rPr>
            </w:pPr>
            <w:r>
              <w:rPr>
                <w:rFonts w:ascii="Cambria" w:hAnsi="Cambria" w:cs="Cambria"/>
                <w:szCs w:val="22"/>
              </w:rPr>
              <w:t>Boston.</w:t>
            </w:r>
          </w:p>
          <w:p w:rsidR="00CC5246" w:rsidRDefault="00CC5246" w:rsidP="00CC5246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2"/>
              </w:rPr>
            </w:pPr>
          </w:p>
          <w:p w:rsidR="00CC5246" w:rsidRPr="00CC5246" w:rsidRDefault="00CC5246" w:rsidP="00CC5246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2"/>
              </w:rPr>
            </w:pPr>
            <w:r>
              <w:rPr>
                <w:rFonts w:ascii="Cambria" w:hAnsi="Cambria" w:cs="Cambria"/>
                <w:szCs w:val="22"/>
              </w:rPr>
              <w:t xml:space="preserve">Mosquitos </w:t>
            </w:r>
            <w:proofErr w:type="spellStart"/>
            <w:r>
              <w:rPr>
                <w:rFonts w:ascii="Cambria,Italic" w:hAnsi="Cambria,Italic" w:cs="Cambria,Italic"/>
                <w:i/>
                <w:iCs/>
                <w:szCs w:val="22"/>
              </w:rPr>
              <w:t>Anopheles</w:t>
            </w:r>
            <w:proofErr w:type="spellEnd"/>
            <w:r>
              <w:rPr>
                <w:rFonts w:ascii="Cambria,Italic" w:hAnsi="Cambria,Italic" w:cs="Cambria,Italic"/>
                <w:i/>
                <w:iCs/>
                <w:szCs w:val="22"/>
              </w:rPr>
              <w:t xml:space="preserve"> </w:t>
            </w:r>
            <w:r>
              <w:rPr>
                <w:rFonts w:ascii="Cambria" w:hAnsi="Cambria" w:cs="Cambria"/>
                <w:szCs w:val="22"/>
              </w:rPr>
              <w:t>en Los Ángeles.</w:t>
            </w:r>
          </w:p>
        </w:tc>
      </w:tr>
      <w:tr w:rsidR="00CC5246" w:rsidTr="00CC5246">
        <w:tc>
          <w:tcPr>
            <w:tcW w:w="2830" w:type="dxa"/>
          </w:tcPr>
          <w:p w:rsidR="00CC5246" w:rsidRDefault="00CC5246" w:rsidP="00CC524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Cs w:val="22"/>
              </w:rPr>
            </w:pPr>
            <w:r>
              <w:rPr>
                <w:rFonts w:ascii="Cambria" w:hAnsi="Cambria" w:cs="Cambria"/>
                <w:szCs w:val="22"/>
              </w:rPr>
              <w:t>Reproductiva</w:t>
            </w:r>
          </w:p>
        </w:tc>
        <w:tc>
          <w:tcPr>
            <w:tcW w:w="3969" w:type="dxa"/>
          </w:tcPr>
          <w:p w:rsidR="00CC5246" w:rsidRDefault="00CC5246" w:rsidP="00CC5246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szCs w:val="22"/>
              </w:rPr>
            </w:pPr>
            <w:r>
              <w:rPr>
                <w:rFonts w:ascii="Cambria" w:hAnsi="Cambria" w:cs="Cambria"/>
                <w:szCs w:val="22"/>
              </w:rPr>
              <w:t>Utilizar cepas de laboratorio estériles.</w:t>
            </w:r>
          </w:p>
        </w:tc>
        <w:tc>
          <w:tcPr>
            <w:tcW w:w="2835" w:type="dxa"/>
          </w:tcPr>
          <w:p w:rsidR="00CC5246" w:rsidRPr="00CC5246" w:rsidRDefault="00CC5246" w:rsidP="00CC5246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2"/>
              </w:rPr>
            </w:pPr>
            <w:r>
              <w:rPr>
                <w:rFonts w:ascii="Cambria" w:hAnsi="Cambria" w:cs="Cambria"/>
                <w:szCs w:val="22"/>
              </w:rPr>
              <w:t>Drosop</w:t>
            </w:r>
            <w:r>
              <w:rPr>
                <w:rFonts w:ascii="Cambria" w:hAnsi="Cambria" w:cs="Cambria"/>
                <w:szCs w:val="22"/>
              </w:rPr>
              <w:t>hila con autosoma compuesto.</w:t>
            </w:r>
          </w:p>
        </w:tc>
      </w:tr>
      <w:tr w:rsidR="00CC5246" w:rsidTr="00CC5246">
        <w:tc>
          <w:tcPr>
            <w:tcW w:w="2830" w:type="dxa"/>
          </w:tcPr>
          <w:p w:rsidR="00CC5246" w:rsidRDefault="00CC5246" w:rsidP="00CC524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Cs w:val="22"/>
              </w:rPr>
            </w:pPr>
            <w:r>
              <w:rPr>
                <w:rFonts w:ascii="Cambria" w:hAnsi="Cambria" w:cs="Cambria"/>
                <w:szCs w:val="22"/>
              </w:rPr>
              <w:t>Barrera física</w:t>
            </w:r>
          </w:p>
        </w:tc>
        <w:tc>
          <w:tcPr>
            <w:tcW w:w="3969" w:type="dxa"/>
          </w:tcPr>
          <w:p w:rsidR="00CC5246" w:rsidRDefault="00CC5246" w:rsidP="00CC5246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2"/>
              </w:rPr>
            </w:pPr>
            <w:r>
              <w:rPr>
                <w:rFonts w:ascii="Cambria" w:hAnsi="Cambria" w:cs="Cambria"/>
                <w:szCs w:val="22"/>
              </w:rPr>
              <w:t>Util</w:t>
            </w:r>
            <w:r>
              <w:rPr>
                <w:rFonts w:ascii="Cambria" w:hAnsi="Cambria" w:cs="Cambria"/>
                <w:szCs w:val="22"/>
              </w:rPr>
              <w:t xml:space="preserve">izar barreras físicas entre los </w:t>
            </w:r>
            <w:r>
              <w:rPr>
                <w:rFonts w:ascii="Cambria" w:hAnsi="Cambria" w:cs="Cambria"/>
                <w:szCs w:val="22"/>
              </w:rPr>
              <w:t>organismos y su ambiente.</w:t>
            </w:r>
          </w:p>
          <w:p w:rsidR="00CC5246" w:rsidRDefault="00CC5246" w:rsidP="00CC5246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:rsidR="00CC5246" w:rsidRDefault="00CC5246" w:rsidP="00CC5246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2"/>
              </w:rPr>
            </w:pPr>
            <w:r>
              <w:rPr>
                <w:rFonts w:ascii="Cambria" w:hAnsi="Cambria" w:cs="Cambria"/>
                <w:szCs w:val="22"/>
              </w:rPr>
              <w:t xml:space="preserve">Cuartos aislados, con triple </w:t>
            </w:r>
            <w:r>
              <w:rPr>
                <w:rFonts w:ascii="Cambria" w:hAnsi="Cambria" w:cs="Cambria"/>
                <w:szCs w:val="22"/>
              </w:rPr>
              <w:t>puerta.</w:t>
            </w:r>
          </w:p>
          <w:p w:rsidR="00CC5246" w:rsidRPr="00CC5246" w:rsidRDefault="00CC5246" w:rsidP="00CC5246">
            <w:pPr>
              <w:autoSpaceDE w:val="0"/>
              <w:autoSpaceDN w:val="0"/>
              <w:adjustRightInd w:val="0"/>
              <w:rPr>
                <w:rFonts w:ascii="Cambria" w:hAnsi="Cambria" w:cs="Cambria"/>
                <w:szCs w:val="22"/>
              </w:rPr>
            </w:pPr>
            <w:r>
              <w:rPr>
                <w:rFonts w:ascii="Cambria" w:hAnsi="Cambria" w:cs="Cambria"/>
                <w:szCs w:val="22"/>
              </w:rPr>
              <w:t xml:space="preserve">Cámaras de bajas </w:t>
            </w:r>
            <w:r>
              <w:rPr>
                <w:rFonts w:ascii="Cambria" w:hAnsi="Cambria" w:cs="Cambria"/>
                <w:szCs w:val="22"/>
              </w:rPr>
              <w:t>temperaturas.</w:t>
            </w:r>
          </w:p>
        </w:tc>
      </w:tr>
    </w:tbl>
    <w:p w:rsidR="00CC5246" w:rsidRDefault="00CC5246" w:rsidP="00CC524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Cs w:val="22"/>
        </w:rPr>
      </w:pPr>
    </w:p>
    <w:p w:rsidR="00CC5246" w:rsidRPr="00CC5246" w:rsidRDefault="00CC5246" w:rsidP="00CC5246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Cs w:val="22"/>
        </w:rPr>
      </w:pPr>
    </w:p>
    <w:p w:rsidR="00824116" w:rsidRDefault="00CC524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 w:rsidRPr="00CC5246">
        <w:rPr>
          <w:rFonts w:cs="Cambria"/>
          <w:szCs w:val="22"/>
        </w:rPr>
        <w:t>Considerando los puntos anteriores, ante el desarrollo de las nuev</w:t>
      </w:r>
      <w:r>
        <w:rPr>
          <w:rFonts w:cs="Cambria"/>
          <w:szCs w:val="22"/>
        </w:rPr>
        <w:t xml:space="preserve">as tecnologías y los protocolos </w:t>
      </w:r>
      <w:r w:rsidRPr="00CC5246">
        <w:rPr>
          <w:rFonts w:cs="Cambria"/>
          <w:szCs w:val="22"/>
        </w:rPr>
        <w:t>de evaluación de riesgo, el principal reto implicará el diseño de estrategias integrales y holísticas</w:t>
      </w:r>
      <w:r>
        <w:rPr>
          <w:rFonts w:cs="Cambria"/>
          <w:szCs w:val="22"/>
        </w:rPr>
        <w:t xml:space="preserve"> </w:t>
      </w:r>
      <w:r w:rsidRPr="00CC5246">
        <w:rPr>
          <w:rFonts w:cs="Cambria"/>
          <w:szCs w:val="22"/>
        </w:rPr>
        <w:t xml:space="preserve">que permitan determinar si los nuevos desarrollos biotecnológicos son seguros y </w:t>
      </w:r>
      <w:r>
        <w:rPr>
          <w:rFonts w:cs="Cambria"/>
          <w:szCs w:val="22"/>
        </w:rPr>
        <w:t xml:space="preserve">pertinentes </w:t>
      </w:r>
      <w:r w:rsidRPr="00CC5246">
        <w:rPr>
          <w:rFonts w:cs="Cambria"/>
          <w:szCs w:val="22"/>
        </w:rPr>
        <w:t>en los diferentes ámbitos, ecosistemas, sociedades y economías.</w:t>
      </w:r>
      <w:r w:rsidR="00824116" w:rsidRPr="00CC5246">
        <w:rPr>
          <w:rFonts w:cs="Cambria"/>
          <w:color w:val="000000"/>
          <w:szCs w:val="22"/>
        </w:rPr>
        <w:t xml:space="preserve"> Algunas de las</w:t>
      </w:r>
      <w:r w:rsidR="00824116" w:rsidRPr="00824116">
        <w:rPr>
          <w:rFonts w:cs="Cambria"/>
          <w:color w:val="000000"/>
          <w:szCs w:val="22"/>
        </w:rPr>
        <w:t xml:space="preserve"> preguntas que</w:t>
      </w:r>
      <w:r>
        <w:rPr>
          <w:rFonts w:cs="Cambria"/>
          <w:szCs w:val="22"/>
        </w:rPr>
        <w:t xml:space="preserve"> </w:t>
      </w:r>
      <w:r w:rsidR="00824116" w:rsidRPr="00824116">
        <w:rPr>
          <w:rFonts w:cs="Cambria"/>
          <w:color w:val="000000"/>
          <w:szCs w:val="22"/>
        </w:rPr>
        <w:t>surgen cuando se pretende realizar una evaluación de riesgo que cumpla con este enfoque son:</w:t>
      </w:r>
    </w:p>
    <w:p w:rsidR="006C178E" w:rsidRPr="00CC5246" w:rsidRDefault="006C178E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Cs w:val="22"/>
        </w:rPr>
      </w:pPr>
    </w:p>
    <w:p w:rsidR="00824116" w:rsidRPr="006C178E" w:rsidRDefault="00824116" w:rsidP="006C17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mbria"/>
          <w:color w:val="000000"/>
          <w:szCs w:val="22"/>
        </w:rPr>
      </w:pPr>
      <w:r w:rsidRPr="006C178E">
        <w:rPr>
          <w:rFonts w:cs="Cambria"/>
          <w:color w:val="000000"/>
          <w:szCs w:val="22"/>
        </w:rPr>
        <w:t>¿Cuáles son las áreas potenciales de riesgo o de impacto asociadas a estas tecnologías?</w:t>
      </w:r>
    </w:p>
    <w:p w:rsidR="00824116" w:rsidRPr="006C178E" w:rsidRDefault="00824116" w:rsidP="006C17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mbria"/>
          <w:color w:val="000000"/>
          <w:szCs w:val="22"/>
        </w:rPr>
      </w:pPr>
      <w:r w:rsidRPr="006C178E">
        <w:rPr>
          <w:rFonts w:cs="Cambria"/>
          <w:color w:val="000000"/>
          <w:szCs w:val="22"/>
        </w:rPr>
        <w:t>¿Cuáles son las incertidumbres asociadas a estas tecnologías?</w:t>
      </w:r>
    </w:p>
    <w:p w:rsidR="006C178E" w:rsidRPr="006C178E" w:rsidRDefault="00824116" w:rsidP="006C17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mbria"/>
          <w:color w:val="000000"/>
          <w:szCs w:val="22"/>
        </w:rPr>
      </w:pPr>
      <w:r w:rsidRPr="006C178E">
        <w:rPr>
          <w:rFonts w:cs="Cambria"/>
          <w:color w:val="000000"/>
          <w:szCs w:val="22"/>
        </w:rPr>
        <w:t xml:space="preserve">¿Qué mecanismos de prevención de riesgos podrían </w:t>
      </w:r>
      <w:r w:rsidR="006C178E" w:rsidRPr="006C178E">
        <w:rPr>
          <w:rFonts w:cs="Cambria"/>
          <w:color w:val="000000"/>
          <w:szCs w:val="22"/>
        </w:rPr>
        <w:t xml:space="preserve">utilizarse para disminuir estas </w:t>
      </w:r>
      <w:r w:rsidRPr="006C178E">
        <w:rPr>
          <w:rFonts w:cs="Cambria"/>
          <w:color w:val="000000"/>
          <w:szCs w:val="22"/>
        </w:rPr>
        <w:t xml:space="preserve">incertidumbres? ¿Cómo pueden integrarse estos métodos en los </w:t>
      </w:r>
      <w:r w:rsidR="006C178E" w:rsidRPr="006C178E">
        <w:rPr>
          <w:rFonts w:cs="Cambria"/>
          <w:color w:val="000000"/>
          <w:szCs w:val="22"/>
        </w:rPr>
        <w:t xml:space="preserve">modelos de evaluación de riesgo </w:t>
      </w:r>
      <w:r w:rsidRPr="006C178E">
        <w:rPr>
          <w:rFonts w:cs="Cambria"/>
          <w:color w:val="000000"/>
          <w:szCs w:val="22"/>
        </w:rPr>
        <w:t>y en los procesos de toma de decisiones asociados? ¿Pueden estos métodos tomar</w:t>
      </w:r>
      <w:r w:rsidR="006C178E" w:rsidRPr="006C178E">
        <w:rPr>
          <w:rFonts w:cs="Cambria"/>
          <w:color w:val="000000"/>
          <w:szCs w:val="22"/>
        </w:rPr>
        <w:t xml:space="preserve"> en cuenta distintos tipos de impactos?</w:t>
      </w:r>
    </w:p>
    <w:p w:rsidR="00824116" w:rsidRPr="006C178E" w:rsidRDefault="00824116" w:rsidP="006C17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mbria"/>
          <w:color w:val="000000"/>
          <w:szCs w:val="22"/>
        </w:rPr>
      </w:pPr>
      <w:r w:rsidRPr="006C178E">
        <w:rPr>
          <w:rFonts w:cs="Cambria"/>
          <w:color w:val="000000"/>
          <w:szCs w:val="22"/>
        </w:rPr>
        <w:t xml:space="preserve">¿Qué aspectos de esta tecnología provocan los riesgos y afectan </w:t>
      </w:r>
      <w:r w:rsidR="006C178E" w:rsidRPr="006C178E">
        <w:rPr>
          <w:rFonts w:cs="Cambria"/>
          <w:color w:val="000000"/>
          <w:szCs w:val="22"/>
        </w:rPr>
        <w:t xml:space="preserve">la percepción tecnológica según </w:t>
      </w:r>
      <w:r w:rsidRPr="006C178E">
        <w:rPr>
          <w:rFonts w:cs="Cambria"/>
          <w:color w:val="000000"/>
          <w:szCs w:val="22"/>
        </w:rPr>
        <w:t>expertos de distintas áreas?</w:t>
      </w:r>
    </w:p>
    <w:p w:rsidR="006C178E" w:rsidRDefault="006C178E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6C178E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 w:rsidRPr="00824116">
        <w:rPr>
          <w:rFonts w:cs="Cambria"/>
          <w:color w:val="000000"/>
          <w:szCs w:val="22"/>
        </w:rPr>
        <w:t xml:space="preserve">Para responder estas preguntas, las evaluaciones de riesgo de estas tecnologías implican </w:t>
      </w:r>
      <w:r w:rsidR="006C178E">
        <w:rPr>
          <w:rFonts w:cs="Cambria"/>
          <w:color w:val="000000"/>
          <w:szCs w:val="22"/>
        </w:rPr>
        <w:t xml:space="preserve">una </w:t>
      </w:r>
      <w:r w:rsidRPr="00824116">
        <w:rPr>
          <w:rFonts w:cs="Cambria"/>
          <w:color w:val="000000"/>
          <w:szCs w:val="22"/>
        </w:rPr>
        <w:t>concepción más amplia del riesgo que la definición técnica estr</w:t>
      </w:r>
      <w:r w:rsidR="006C178E">
        <w:rPr>
          <w:rFonts w:cs="Cambria"/>
          <w:color w:val="000000"/>
          <w:szCs w:val="22"/>
        </w:rPr>
        <w:t xml:space="preserve">icta de la gravedad del peligro </w:t>
      </w:r>
      <w:r w:rsidRPr="00824116">
        <w:rPr>
          <w:rFonts w:cs="Cambria"/>
          <w:color w:val="000000"/>
          <w:szCs w:val="22"/>
        </w:rPr>
        <w:t>combinado con la probabilidad de ocurrencia o exposición. E</w:t>
      </w:r>
      <w:r w:rsidR="006C178E">
        <w:rPr>
          <w:rFonts w:cs="Cambria"/>
          <w:color w:val="000000"/>
          <w:szCs w:val="22"/>
        </w:rPr>
        <w:t xml:space="preserve">stas propuestas se conocen como </w:t>
      </w:r>
      <w:r w:rsidRPr="00824116">
        <w:rPr>
          <w:rFonts w:cs="Cambria"/>
          <w:color w:val="000000"/>
          <w:szCs w:val="22"/>
        </w:rPr>
        <w:t>esquemas de evaluación de riesgos “</w:t>
      </w:r>
      <w:proofErr w:type="spellStart"/>
      <w:r w:rsidRPr="00824116">
        <w:rPr>
          <w:rFonts w:cs="Cambria,Italic"/>
          <w:i/>
          <w:iCs/>
          <w:color w:val="000000"/>
          <w:szCs w:val="22"/>
        </w:rPr>
        <w:t>societales</w:t>
      </w:r>
      <w:proofErr w:type="spellEnd"/>
      <w:r w:rsidRPr="00824116">
        <w:rPr>
          <w:rFonts w:cs="Cambria"/>
          <w:color w:val="000000"/>
          <w:szCs w:val="22"/>
        </w:rPr>
        <w:t>”, ya que incluyen fa</w:t>
      </w:r>
      <w:r w:rsidR="006C178E">
        <w:rPr>
          <w:rFonts w:cs="Cambria"/>
          <w:color w:val="000000"/>
          <w:szCs w:val="22"/>
        </w:rPr>
        <w:t xml:space="preserve">ctores psicométricos y </w:t>
      </w:r>
      <w:r w:rsidRPr="00824116">
        <w:rPr>
          <w:rFonts w:cs="Cambria"/>
          <w:color w:val="000000"/>
          <w:szCs w:val="22"/>
        </w:rPr>
        <w:t xml:space="preserve">sociales que afectan el cómo las personas perciben el riesgo </w:t>
      </w:r>
      <w:r w:rsidR="006C178E">
        <w:rPr>
          <w:rFonts w:cs="Cambria"/>
          <w:color w:val="000000"/>
          <w:szCs w:val="22"/>
        </w:rPr>
        <w:t xml:space="preserve">y lo que valoran para prevenir, </w:t>
      </w:r>
      <w:r w:rsidRPr="00824116">
        <w:rPr>
          <w:rFonts w:cs="Cambria"/>
          <w:color w:val="000000"/>
          <w:szCs w:val="22"/>
        </w:rPr>
        <w:t>mitigar o aceptarlo. Se pueden tomar en cuenta criterios com</w:t>
      </w:r>
      <w:r w:rsidR="006C178E">
        <w:rPr>
          <w:rFonts w:cs="Cambria"/>
          <w:color w:val="000000"/>
          <w:szCs w:val="22"/>
        </w:rPr>
        <w:t xml:space="preserve">o R1) peligro potencial para la </w:t>
      </w:r>
      <w:r w:rsidRPr="00824116">
        <w:rPr>
          <w:rFonts w:cs="Cambria"/>
          <w:color w:val="000000"/>
          <w:szCs w:val="22"/>
        </w:rPr>
        <w:t>salud humana, R2) peligro potencial para el medio ambiente</w:t>
      </w:r>
      <w:r w:rsidR="006C178E">
        <w:rPr>
          <w:rFonts w:cs="Cambria"/>
          <w:color w:val="000000"/>
          <w:szCs w:val="22"/>
        </w:rPr>
        <w:t xml:space="preserve">, R3) grado de imposibilidad de </w:t>
      </w:r>
      <w:r w:rsidRPr="00824116">
        <w:rPr>
          <w:rFonts w:cs="Cambria"/>
          <w:color w:val="000000"/>
          <w:szCs w:val="22"/>
        </w:rPr>
        <w:t>manejo de los peligros potenciales, R4) grado de irreversibilidad d</w:t>
      </w:r>
      <w:r w:rsidR="006C178E">
        <w:rPr>
          <w:rFonts w:cs="Cambria"/>
          <w:color w:val="000000"/>
          <w:szCs w:val="22"/>
        </w:rPr>
        <w:t xml:space="preserve">e los peligros potenciales, R5) </w:t>
      </w:r>
      <w:r w:rsidRPr="00824116">
        <w:rPr>
          <w:rFonts w:cs="Cambria"/>
          <w:color w:val="000000"/>
          <w:szCs w:val="22"/>
        </w:rPr>
        <w:t xml:space="preserve">probabilidad de desarrollo comercial en los próximos 15 años, </w:t>
      </w:r>
      <w:r w:rsidR="006C178E">
        <w:rPr>
          <w:rFonts w:cs="Cambria"/>
          <w:color w:val="000000"/>
          <w:szCs w:val="22"/>
        </w:rPr>
        <w:t xml:space="preserve">R6) beneficio potencial para la </w:t>
      </w:r>
      <w:r w:rsidRPr="00824116">
        <w:rPr>
          <w:rFonts w:cs="Cambria"/>
          <w:color w:val="000000"/>
          <w:szCs w:val="22"/>
        </w:rPr>
        <w:t>salud del ser humano, R7) beneficio potencial para e</w:t>
      </w:r>
      <w:r w:rsidR="006C178E">
        <w:rPr>
          <w:rFonts w:cs="Cambria"/>
          <w:color w:val="000000"/>
          <w:szCs w:val="22"/>
        </w:rPr>
        <w:t xml:space="preserve">l medio ambiente y R8) grado de </w:t>
      </w:r>
      <w:r w:rsidRPr="00824116">
        <w:rPr>
          <w:rFonts w:cs="Cambria"/>
          <w:color w:val="000000"/>
          <w:szCs w:val="22"/>
        </w:rPr>
        <w:t>preocupación pública</w:t>
      </w:r>
      <w:r w:rsidR="006C178E">
        <w:rPr>
          <w:rStyle w:val="Refdenotaalpie"/>
          <w:rFonts w:cs="Cambria"/>
          <w:color w:val="000000"/>
          <w:szCs w:val="22"/>
        </w:rPr>
        <w:footnoteReference w:id="2"/>
      </w:r>
      <w:r w:rsidR="006C178E">
        <w:rPr>
          <w:rFonts w:cs="Cambria"/>
          <w:color w:val="000000"/>
          <w:szCs w:val="22"/>
        </w:rPr>
        <w:t>.</w:t>
      </w:r>
    </w:p>
    <w:p w:rsidR="00824116" w:rsidRP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 w:rsidRPr="00824116">
        <w:rPr>
          <w:rFonts w:cs="Cambria"/>
          <w:color w:val="000000"/>
          <w:szCs w:val="22"/>
        </w:rPr>
        <w:t>.</w:t>
      </w:r>
    </w:p>
    <w:p w:rsidR="00824116" w:rsidRP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color w:val="000000"/>
          <w:szCs w:val="22"/>
        </w:rPr>
      </w:pPr>
      <w:r w:rsidRPr="00824116">
        <w:rPr>
          <w:rFonts w:cs="Cambria,Bold"/>
          <w:b/>
          <w:bCs/>
          <w:color w:val="000000"/>
          <w:szCs w:val="22"/>
        </w:rPr>
        <w:t>3. Necesidades específicas para realizar evaluacione</w:t>
      </w:r>
      <w:r w:rsidR="006C178E">
        <w:rPr>
          <w:rFonts w:cs="Cambria,Bold"/>
          <w:b/>
          <w:bCs/>
          <w:color w:val="000000"/>
          <w:szCs w:val="22"/>
        </w:rPr>
        <w:t xml:space="preserve">s de riesgo de organismos vivos </w:t>
      </w:r>
      <w:r w:rsidRPr="00824116">
        <w:rPr>
          <w:rFonts w:cs="Cambria,Bold"/>
          <w:b/>
          <w:bCs/>
          <w:color w:val="000000"/>
          <w:szCs w:val="22"/>
        </w:rPr>
        <w:t>modificados por “gene drives”</w:t>
      </w:r>
    </w:p>
    <w:p w:rsidR="006C178E" w:rsidRDefault="006C178E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0A5374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 w:rsidRPr="00824116">
        <w:rPr>
          <w:rFonts w:cs="Cambria"/>
          <w:color w:val="000000"/>
          <w:szCs w:val="22"/>
        </w:rPr>
        <w:t>Para poder realizar evaluaciones de riesgo específicas pa</w:t>
      </w:r>
      <w:r w:rsidR="006C178E">
        <w:rPr>
          <w:rFonts w:cs="Cambria"/>
          <w:color w:val="000000"/>
          <w:szCs w:val="22"/>
        </w:rPr>
        <w:t xml:space="preserve">ra los organismos genéticamente </w:t>
      </w:r>
      <w:r w:rsidRPr="00824116">
        <w:rPr>
          <w:rFonts w:cs="Cambria"/>
          <w:color w:val="000000"/>
          <w:szCs w:val="22"/>
        </w:rPr>
        <w:t>modificados generados por impulsores genéticos, es necesari</w:t>
      </w:r>
      <w:r w:rsidR="006C178E">
        <w:rPr>
          <w:rFonts w:cs="Cambria"/>
          <w:color w:val="000000"/>
          <w:szCs w:val="22"/>
        </w:rPr>
        <w:t xml:space="preserve">o recordar que la bioseguridad, </w:t>
      </w:r>
      <w:r w:rsidRPr="00824116">
        <w:rPr>
          <w:rFonts w:cs="Cambria"/>
          <w:color w:val="000000"/>
          <w:szCs w:val="22"/>
        </w:rPr>
        <w:t>además de tomar en cuenta aspectos de impacto a la salud y ambientales, debe</w:t>
      </w:r>
      <w:r w:rsidR="006C178E">
        <w:rPr>
          <w:rFonts w:cs="Cambria"/>
          <w:color w:val="000000"/>
          <w:szCs w:val="22"/>
        </w:rPr>
        <w:t xml:space="preserve"> tener </w:t>
      </w:r>
      <w:r w:rsidRPr="00824116">
        <w:rPr>
          <w:rFonts w:cs="Cambria"/>
          <w:color w:val="000000"/>
          <w:szCs w:val="22"/>
        </w:rPr>
        <w:t>consideraciones sociales, éticas y económicas y debe ser obje</w:t>
      </w:r>
      <w:r w:rsidR="006C178E">
        <w:rPr>
          <w:rFonts w:cs="Cambria"/>
          <w:color w:val="000000"/>
          <w:szCs w:val="22"/>
        </w:rPr>
        <w:t xml:space="preserve">to de discusiones públicas. Las </w:t>
      </w:r>
      <w:r w:rsidRPr="00824116">
        <w:rPr>
          <w:rFonts w:cs="Cambria"/>
          <w:color w:val="000000"/>
          <w:szCs w:val="22"/>
        </w:rPr>
        <w:t>consideraciones socioeconómicas deben tomar en cuent</w:t>
      </w:r>
      <w:r w:rsidR="006C178E">
        <w:rPr>
          <w:rFonts w:cs="Cambria"/>
          <w:color w:val="000000"/>
          <w:szCs w:val="22"/>
        </w:rPr>
        <w:t xml:space="preserve">a a las comunidades indígenas y </w:t>
      </w:r>
      <w:r w:rsidRPr="00824116">
        <w:rPr>
          <w:rFonts w:cs="Cambria"/>
          <w:color w:val="000000"/>
          <w:szCs w:val="22"/>
        </w:rPr>
        <w:t>campesinas, y proteger sus conocimientos</w:t>
      </w:r>
      <w:r w:rsidR="006C178E">
        <w:rPr>
          <w:rStyle w:val="Refdenotaalpie"/>
          <w:rFonts w:cs="Cambria"/>
          <w:color w:val="000000"/>
          <w:szCs w:val="22"/>
        </w:rPr>
        <w:footnoteReference w:id="3"/>
      </w:r>
      <w:r w:rsidRPr="00824116">
        <w:rPr>
          <w:rFonts w:cs="Cambria"/>
          <w:color w:val="000000"/>
          <w:szCs w:val="22"/>
        </w:rPr>
        <w:t xml:space="preserve">. </w:t>
      </w:r>
    </w:p>
    <w:p w:rsidR="000A5374" w:rsidRDefault="000A5374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824116" w:rsidRP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 w:rsidRPr="00824116">
        <w:rPr>
          <w:rFonts w:cs="Cambria"/>
          <w:color w:val="000000"/>
          <w:szCs w:val="22"/>
        </w:rPr>
        <w:t>En el Artículo 26 del Protoco</w:t>
      </w:r>
      <w:r w:rsidR="006C178E">
        <w:rPr>
          <w:rFonts w:cs="Cambria"/>
          <w:color w:val="000000"/>
          <w:szCs w:val="22"/>
        </w:rPr>
        <w:t xml:space="preserve">lo de Cartagena se </w:t>
      </w:r>
      <w:r w:rsidRPr="00824116">
        <w:rPr>
          <w:rFonts w:cs="Cambria"/>
          <w:color w:val="000000"/>
          <w:szCs w:val="22"/>
        </w:rPr>
        <w:t xml:space="preserve">estipula que las consideraciones socioeconómicas pueden ser </w:t>
      </w:r>
      <w:r w:rsidR="006C178E">
        <w:rPr>
          <w:rFonts w:cs="Cambria"/>
          <w:color w:val="000000"/>
          <w:szCs w:val="22"/>
        </w:rPr>
        <w:t xml:space="preserve">parte de las decisiones a nivel </w:t>
      </w:r>
      <w:r w:rsidRPr="00824116">
        <w:rPr>
          <w:rFonts w:cs="Cambria"/>
          <w:color w:val="000000"/>
          <w:szCs w:val="22"/>
        </w:rPr>
        <w:t>nacional y se alienta a las partes del protocolo a cooperar a este</w:t>
      </w:r>
      <w:r w:rsidR="006C178E">
        <w:rPr>
          <w:rFonts w:cs="Cambria"/>
          <w:color w:val="000000"/>
          <w:szCs w:val="22"/>
        </w:rPr>
        <w:t xml:space="preserve"> respecto. Sin embargo, todavía </w:t>
      </w:r>
      <w:r w:rsidRPr="00824116">
        <w:rPr>
          <w:rFonts w:cs="Cambria"/>
          <w:color w:val="000000"/>
          <w:szCs w:val="22"/>
        </w:rPr>
        <w:t>no existe un consenso sobre la puesta en práctica de estas c</w:t>
      </w:r>
      <w:r w:rsidR="006C178E">
        <w:rPr>
          <w:rFonts w:cs="Cambria"/>
          <w:color w:val="000000"/>
          <w:szCs w:val="22"/>
        </w:rPr>
        <w:t xml:space="preserve">onsideraciones en los distintos </w:t>
      </w:r>
      <w:r w:rsidRPr="00824116">
        <w:rPr>
          <w:rFonts w:cs="Cambria"/>
          <w:color w:val="000000"/>
          <w:szCs w:val="22"/>
        </w:rPr>
        <w:t>países miembros.</w:t>
      </w:r>
    </w:p>
    <w:p w:rsidR="006C178E" w:rsidRDefault="006C178E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824116" w:rsidRP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 w:rsidRPr="00824116">
        <w:rPr>
          <w:rFonts w:cs="Cambria"/>
          <w:color w:val="000000"/>
          <w:szCs w:val="22"/>
        </w:rPr>
        <w:t>Entre las principales necesidades para llevar a cabo la eval</w:t>
      </w:r>
      <w:r w:rsidR="006C178E">
        <w:rPr>
          <w:rFonts w:cs="Cambria"/>
          <w:color w:val="000000"/>
          <w:szCs w:val="22"/>
        </w:rPr>
        <w:t xml:space="preserve">uación de riesgos de las nuevas </w:t>
      </w:r>
      <w:r w:rsidRPr="00824116">
        <w:rPr>
          <w:rFonts w:cs="Cambria"/>
          <w:color w:val="000000"/>
          <w:szCs w:val="22"/>
        </w:rPr>
        <w:t>tecnologías está el realizar análisis de decisión de criterios múl</w:t>
      </w:r>
      <w:r w:rsidR="006C178E">
        <w:rPr>
          <w:rFonts w:cs="Cambria"/>
          <w:color w:val="000000"/>
          <w:szCs w:val="22"/>
        </w:rPr>
        <w:t xml:space="preserve">tiples (MCDA) para respaldar la </w:t>
      </w:r>
      <w:r w:rsidRPr="00824116">
        <w:rPr>
          <w:rFonts w:cs="Cambria"/>
          <w:color w:val="000000"/>
          <w:szCs w:val="22"/>
        </w:rPr>
        <w:t xml:space="preserve">gestión del riesgo de las tecnologías emergentes a través de </w:t>
      </w:r>
      <w:r w:rsidR="006C178E">
        <w:rPr>
          <w:rFonts w:cs="Cambria"/>
          <w:color w:val="000000"/>
          <w:szCs w:val="22"/>
        </w:rPr>
        <w:t xml:space="preserve">una evaluación y comparación de </w:t>
      </w:r>
      <w:r w:rsidRPr="00824116">
        <w:rPr>
          <w:rFonts w:cs="Cambria"/>
          <w:color w:val="000000"/>
          <w:szCs w:val="22"/>
        </w:rPr>
        <w:t>criterios múltiples de las propiedades de la nueva te</w:t>
      </w:r>
      <w:r w:rsidR="006C178E">
        <w:rPr>
          <w:rFonts w:cs="Cambria"/>
          <w:color w:val="000000"/>
          <w:szCs w:val="22"/>
        </w:rPr>
        <w:t xml:space="preserve">cnología en comparación con las </w:t>
      </w:r>
      <w:r w:rsidRPr="00824116">
        <w:rPr>
          <w:rFonts w:cs="Cambria"/>
          <w:color w:val="000000"/>
          <w:szCs w:val="22"/>
        </w:rPr>
        <w:t>alternativas existentes.</w:t>
      </w:r>
    </w:p>
    <w:p w:rsidR="006C178E" w:rsidRDefault="006C178E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824116" w:rsidRP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 w:rsidRPr="00824116">
        <w:rPr>
          <w:rFonts w:cs="Cambria"/>
          <w:color w:val="000000"/>
          <w:szCs w:val="22"/>
        </w:rPr>
        <w:t>Estos criterios múltiples deben tener una perspectiva holíst</w:t>
      </w:r>
      <w:r w:rsidR="006C178E">
        <w:rPr>
          <w:rFonts w:cs="Cambria"/>
          <w:color w:val="000000"/>
          <w:szCs w:val="22"/>
        </w:rPr>
        <w:t xml:space="preserve">ica o integral considerando los </w:t>
      </w:r>
      <w:r w:rsidRPr="00824116">
        <w:rPr>
          <w:rFonts w:cs="Cambria"/>
          <w:color w:val="000000"/>
          <w:szCs w:val="22"/>
        </w:rPr>
        <w:t>diferentes enfoques mencionados anteriormente y que se es</w:t>
      </w:r>
      <w:r w:rsidR="006C178E">
        <w:rPr>
          <w:rFonts w:cs="Cambria"/>
          <w:color w:val="000000"/>
          <w:szCs w:val="22"/>
        </w:rPr>
        <w:t xml:space="preserve">quematizan de manera resumida a </w:t>
      </w:r>
      <w:r w:rsidRPr="00824116">
        <w:rPr>
          <w:rFonts w:cs="Cambria"/>
          <w:color w:val="000000"/>
          <w:szCs w:val="22"/>
        </w:rPr>
        <w:t>continuación, en la figura 2.</w:t>
      </w:r>
    </w:p>
    <w:p w:rsidR="006C178E" w:rsidRDefault="006C178E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6C178E" w:rsidRDefault="0060396F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>
        <w:rPr>
          <w:rFonts w:cs="Cambria"/>
          <w:noProof/>
          <w:color w:val="00000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6224D" wp14:editId="45AEB63E">
                <wp:simplePos x="0" y="0"/>
                <wp:positionH relativeFrom="column">
                  <wp:posOffset>2147366</wp:posOffset>
                </wp:positionH>
                <wp:positionV relativeFrom="paragraph">
                  <wp:posOffset>91440</wp:posOffset>
                </wp:positionV>
                <wp:extent cx="1337094" cy="474070"/>
                <wp:effectExtent l="0" t="0" r="15875" b="2159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474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96F" w:rsidRPr="000A5374" w:rsidRDefault="0060396F" w:rsidP="006039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Cs w:val="22"/>
                              </w:rPr>
                            </w:pPr>
                            <w:r w:rsidRPr="000A5374">
                              <w:rPr>
                                <w:rFonts w:ascii="Calibri" w:hAnsi="Calibri" w:cs="Calibri"/>
                                <w:b/>
                                <w:color w:val="FFFFFF"/>
                                <w:szCs w:val="22"/>
                              </w:rPr>
                              <w:t>Pertinencia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6224D" id="Rectángulo 7" o:spid="_x0000_s1026" style="position:absolute;left:0;text-align:left;margin-left:169.1pt;margin-top:7.2pt;width:105.3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0396F" w:rsidRPr="000A5374" w:rsidRDefault="0060396F" w:rsidP="006039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Cs w:val="22"/>
                        </w:rPr>
                      </w:pPr>
                      <w:r w:rsidRPr="000A5374">
                        <w:rPr>
                          <w:rFonts w:ascii="Calibri" w:hAnsi="Calibri" w:cs="Calibri"/>
                          <w:b/>
                          <w:color w:val="FFFFFF"/>
                          <w:szCs w:val="22"/>
                        </w:rPr>
                        <w:t>Pertinencia Social</w:t>
                      </w:r>
                    </w:p>
                  </w:txbxContent>
                </v:textbox>
              </v:rect>
            </w:pict>
          </mc:Fallback>
        </mc:AlternateContent>
      </w:r>
    </w:p>
    <w:p w:rsidR="006C178E" w:rsidRDefault="006C178E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6C178E" w:rsidRDefault="006C178E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6C178E" w:rsidRDefault="000A5374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>
        <w:rPr>
          <w:rFonts w:cs="Cambria"/>
          <w:noProof/>
          <w:color w:val="00000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2819005</wp:posOffset>
                </wp:positionH>
                <wp:positionV relativeFrom="paragraph">
                  <wp:posOffset>51747</wp:posOffset>
                </wp:positionV>
                <wp:extent cx="25879" cy="518327"/>
                <wp:effectExtent l="57150" t="0" r="69850" b="5334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" cy="5183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AF2A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221.95pt;margin-top:4.05pt;width:2.05pt;height:4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6C178E" w:rsidRDefault="006C178E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6C178E" w:rsidRDefault="006C178E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6C178E" w:rsidRDefault="000A5374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>
        <w:rPr>
          <w:rFonts w:cs="Cambria"/>
          <w:noProof/>
          <w:color w:val="00000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58695</wp:posOffset>
                </wp:positionV>
                <wp:extent cx="1526876" cy="1440455"/>
                <wp:effectExtent l="0" t="0" r="16510" b="2667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876" cy="1440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374" w:rsidRPr="000A5374" w:rsidRDefault="000A5374" w:rsidP="000A537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A5374">
                              <w:rPr>
                                <w:b/>
                                <w:color w:val="FFFFFF" w:themeColor="background1"/>
                              </w:rPr>
                              <w:t>Evaluación de riesgo de nuevas tecnologías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" o:spid="_x0000_s1027" style="position:absolute;left:0;text-align:left;margin-left:164.15pt;margin-top:4.6pt;width:120.2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0A5374" w:rsidRPr="000A5374" w:rsidRDefault="000A5374" w:rsidP="000A537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A5374">
                        <w:rPr>
                          <w:b/>
                          <w:color w:val="FFFFFF" w:themeColor="background1"/>
                        </w:rPr>
                        <w:t>Evaluación de riesgo de nuevas tecnologías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Cambria"/>
          <w:noProof/>
          <w:color w:val="00000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93E3C" wp14:editId="35954A15">
                <wp:simplePos x="0" y="0"/>
                <wp:positionH relativeFrom="column">
                  <wp:posOffset>4339086</wp:posOffset>
                </wp:positionH>
                <wp:positionV relativeFrom="paragraph">
                  <wp:posOffset>59750</wp:posOffset>
                </wp:positionV>
                <wp:extent cx="1337094" cy="474070"/>
                <wp:effectExtent l="0" t="0" r="15875" b="2159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474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374" w:rsidRPr="000A5374" w:rsidRDefault="000A5374" w:rsidP="000A53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Cs w:val="22"/>
                              </w:rPr>
                            </w:pPr>
                            <w:r w:rsidRPr="000A5374">
                              <w:rPr>
                                <w:rFonts w:ascii="Calibri" w:hAnsi="Calibri" w:cs="Calibri"/>
                                <w:b/>
                                <w:color w:val="FFFFFF"/>
                                <w:szCs w:val="22"/>
                              </w:rPr>
                              <w:t xml:space="preserve">Consideraciones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Cs w:val="22"/>
                              </w:rPr>
                              <w:t>Éticas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93E3C" id="Rectángulo 9" o:spid="_x0000_s1028" style="position:absolute;left:0;text-align:left;margin-left:341.65pt;margin-top:4.7pt;width:105.3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0A5374" w:rsidRPr="000A5374" w:rsidRDefault="000A5374" w:rsidP="000A53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Cs w:val="22"/>
                        </w:rPr>
                      </w:pPr>
                      <w:r w:rsidRPr="000A5374">
                        <w:rPr>
                          <w:rFonts w:ascii="Calibri" w:hAnsi="Calibri" w:cs="Calibri"/>
                          <w:b/>
                          <w:color w:val="FFFFFF"/>
                          <w:szCs w:val="22"/>
                        </w:rPr>
                        <w:t xml:space="preserve">Consideraciones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Cs w:val="22"/>
                        </w:rPr>
                        <w:t>Éticas</w:t>
                      </w:r>
                    </w:p>
                  </w:txbxContent>
                </v:textbox>
              </v:rect>
            </w:pict>
          </mc:Fallback>
        </mc:AlternateContent>
      </w:r>
      <w:r w:rsidR="0060396F">
        <w:rPr>
          <w:rFonts w:cs="Cambria"/>
          <w:noProof/>
          <w:color w:val="00000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15421</wp:posOffset>
                </wp:positionH>
                <wp:positionV relativeFrom="paragraph">
                  <wp:posOffset>58899</wp:posOffset>
                </wp:positionV>
                <wp:extent cx="1337094" cy="474070"/>
                <wp:effectExtent l="0" t="0" r="15875" b="215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4740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96F" w:rsidRPr="000A5374" w:rsidRDefault="0060396F" w:rsidP="006039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Cs w:val="22"/>
                              </w:rPr>
                            </w:pPr>
                            <w:r w:rsidRPr="000A5374">
                              <w:rPr>
                                <w:rFonts w:ascii="Calibri" w:hAnsi="Calibri" w:cs="Calibri"/>
                                <w:b/>
                                <w:color w:val="FFFFFF"/>
                                <w:szCs w:val="22"/>
                              </w:rPr>
                              <w:t xml:space="preserve">Consideraciones de riesgo </w:t>
                            </w:r>
                            <w:r w:rsidRPr="000A5374">
                              <w:rPr>
                                <w:rFonts w:ascii="Calibri" w:hAnsi="Calibri" w:cs="Calibri"/>
                                <w:b/>
                                <w:color w:val="FFFFFF"/>
                                <w:szCs w:val="22"/>
                              </w:rPr>
                              <w:t>ambiental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9" style="position:absolute;left:0;text-align:left;margin-left:1.2pt;margin-top:4.65pt;width:105.3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60396F" w:rsidRPr="000A5374" w:rsidRDefault="0060396F" w:rsidP="006039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Cs w:val="22"/>
                        </w:rPr>
                      </w:pPr>
                      <w:r w:rsidRPr="000A5374">
                        <w:rPr>
                          <w:rFonts w:ascii="Calibri" w:hAnsi="Calibri" w:cs="Calibri"/>
                          <w:b/>
                          <w:color w:val="FFFFFF"/>
                          <w:szCs w:val="22"/>
                        </w:rPr>
                        <w:t xml:space="preserve">Consideraciones de riesgo </w:t>
                      </w:r>
                      <w:r w:rsidRPr="000A5374">
                        <w:rPr>
                          <w:rFonts w:ascii="Calibri" w:hAnsi="Calibri" w:cs="Calibri"/>
                          <w:b/>
                          <w:color w:val="FFFFFF"/>
                          <w:szCs w:val="22"/>
                        </w:rPr>
                        <w:t>ambiental</w:t>
                      </w:r>
                    </w:p>
                  </w:txbxContent>
                </v:textbox>
              </v:rect>
            </w:pict>
          </mc:Fallback>
        </mc:AlternateContent>
      </w:r>
    </w:p>
    <w:p w:rsidR="006C178E" w:rsidRDefault="000A5374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>
        <w:rPr>
          <w:rFonts w:cs="Cambria"/>
          <w:noProof/>
          <w:color w:val="00000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3560876</wp:posOffset>
                </wp:positionH>
                <wp:positionV relativeFrom="paragraph">
                  <wp:posOffset>130259</wp:posOffset>
                </wp:positionV>
                <wp:extent cx="776378" cy="231775"/>
                <wp:effectExtent l="38100" t="0" r="24130" b="730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378" cy="231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548C9" id="Conector recto de flecha 15" o:spid="_x0000_s1026" type="#_x0000_t32" style="position:absolute;margin-left:280.4pt;margin-top:10.25pt;width:61.15pt;height:18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Cambria"/>
          <w:noProof/>
          <w:color w:val="00000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1352095</wp:posOffset>
                </wp:positionH>
                <wp:positionV relativeFrom="paragraph">
                  <wp:posOffset>130259</wp:posOffset>
                </wp:positionV>
                <wp:extent cx="733664" cy="232170"/>
                <wp:effectExtent l="0" t="0" r="66675" b="730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664" cy="2321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71FFF" id="Conector recto de flecha 13" o:spid="_x0000_s1026" type="#_x0000_t32" style="position:absolute;margin-left:106.45pt;margin-top:10.25pt;width:57.75pt;height:1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:rsidR="006C178E" w:rsidRDefault="006C178E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60396F" w:rsidRDefault="0060396F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60396F" w:rsidRDefault="0060396F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60396F" w:rsidRDefault="0060396F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60396F" w:rsidRDefault="0060396F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6C178E" w:rsidRDefault="000A5374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>
        <w:rPr>
          <w:rFonts w:cs="Cambria"/>
          <w:noProof/>
          <w:color w:val="00000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3482819</wp:posOffset>
                </wp:positionH>
                <wp:positionV relativeFrom="paragraph">
                  <wp:posOffset>40197</wp:posOffset>
                </wp:positionV>
                <wp:extent cx="621521" cy="439743"/>
                <wp:effectExtent l="38100" t="38100" r="26670" b="1778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1521" cy="4397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FEC0A" id="Conector recto de flecha 16" o:spid="_x0000_s1026" type="#_x0000_t32" style="position:absolute;margin-left:274.25pt;margin-top:3.15pt;width:48.95pt;height:34.6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Cambria"/>
          <w:noProof/>
          <w:color w:val="00000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1671691</wp:posOffset>
                </wp:positionH>
                <wp:positionV relativeFrom="paragraph">
                  <wp:posOffset>91955</wp:posOffset>
                </wp:positionV>
                <wp:extent cx="612476" cy="388189"/>
                <wp:effectExtent l="0" t="38100" r="54610" b="3111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6" cy="3881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223A8" id="Conector recto de flecha 14" o:spid="_x0000_s1026" type="#_x0000_t32" style="position:absolute;margin-left:131.65pt;margin-top:7.25pt;width:48.25pt;height:30.5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6C178E" w:rsidRDefault="006C178E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0A5374" w:rsidRDefault="000A5374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>
        <w:rPr>
          <w:rFonts w:cs="Cambria"/>
          <w:noProof/>
          <w:color w:val="00000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93E3C" wp14:editId="35954A15">
                <wp:simplePos x="0" y="0"/>
                <wp:positionH relativeFrom="column">
                  <wp:posOffset>3890010</wp:posOffset>
                </wp:positionH>
                <wp:positionV relativeFrom="paragraph">
                  <wp:posOffset>142624</wp:posOffset>
                </wp:positionV>
                <wp:extent cx="1337094" cy="474070"/>
                <wp:effectExtent l="0" t="0" r="15875" b="2159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4740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374" w:rsidRPr="000A5374" w:rsidRDefault="000A5374" w:rsidP="000A53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Cs w:val="22"/>
                              </w:rPr>
                              <w:t>Consideraciones de desarrollo Sostenible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93E3C" id="Rectángulo 10" o:spid="_x0000_s1030" style="position:absolute;left:0;text-align:left;margin-left:306.3pt;margin-top:11.25pt;width:105.3pt;height: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A5374" w:rsidRPr="000A5374" w:rsidRDefault="000A5374" w:rsidP="000A53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Cs w:val="22"/>
                        </w:rPr>
                        <w:t>Consideraciones de desarrollo Sostenible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mbria"/>
          <w:noProof/>
          <w:color w:val="00000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93E3C" wp14:editId="35954A15">
                <wp:simplePos x="0" y="0"/>
                <wp:positionH relativeFrom="column">
                  <wp:posOffset>543465</wp:posOffset>
                </wp:positionH>
                <wp:positionV relativeFrom="paragraph">
                  <wp:posOffset>140371</wp:posOffset>
                </wp:positionV>
                <wp:extent cx="1337094" cy="474070"/>
                <wp:effectExtent l="0" t="0" r="15875" b="2159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474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374" w:rsidRPr="000A5374" w:rsidRDefault="000A5374" w:rsidP="000A53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Cs w:val="22"/>
                              </w:rPr>
                              <w:t>Impactos a la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93E3C" id="Rectángulo 11" o:spid="_x0000_s1031" style="position:absolute;left:0;text-align:left;margin-left:42.8pt;margin-top:11.05pt;width:105.3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0A5374" w:rsidRPr="000A5374" w:rsidRDefault="000A5374" w:rsidP="000A53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Cs w:val="22"/>
                        </w:rPr>
                        <w:t>Impactos a la salud</w:t>
                      </w:r>
                    </w:p>
                  </w:txbxContent>
                </v:textbox>
              </v:rect>
            </w:pict>
          </mc:Fallback>
        </mc:AlternateContent>
      </w:r>
    </w:p>
    <w:p w:rsidR="000A5374" w:rsidRDefault="000A5374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0A5374" w:rsidRDefault="000A5374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0A5374" w:rsidRDefault="000A5374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0A5374" w:rsidRDefault="000A5374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0A5374" w:rsidRDefault="000A5374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</w:p>
    <w:p w:rsidR="00824116" w:rsidRPr="00824116" w:rsidRDefault="00824116" w:rsidP="0082411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Cs w:val="22"/>
        </w:rPr>
      </w:pPr>
      <w:r w:rsidRPr="00824116">
        <w:rPr>
          <w:rFonts w:cs="Cambria"/>
          <w:color w:val="000000"/>
          <w:szCs w:val="22"/>
        </w:rPr>
        <w:t>Otras de las necesidades para implementar evaluaciones de riesgo son:</w:t>
      </w:r>
    </w:p>
    <w:p w:rsidR="00824116" w:rsidRPr="006C178E" w:rsidRDefault="00824116" w:rsidP="006C17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mbria"/>
          <w:color w:val="000000"/>
          <w:szCs w:val="22"/>
        </w:rPr>
      </w:pPr>
      <w:r w:rsidRPr="006C178E">
        <w:rPr>
          <w:rFonts w:cs="Cambria"/>
          <w:color w:val="000000"/>
          <w:szCs w:val="22"/>
        </w:rPr>
        <w:t>Generar documentos guía, específicos para cada país, que marq</w:t>
      </w:r>
      <w:r w:rsidR="006C178E" w:rsidRPr="006C178E">
        <w:rPr>
          <w:rFonts w:cs="Cambria"/>
          <w:color w:val="000000"/>
          <w:szCs w:val="22"/>
        </w:rPr>
        <w:t xml:space="preserve">uen los principios a considerar </w:t>
      </w:r>
      <w:r w:rsidRPr="006C178E">
        <w:rPr>
          <w:rFonts w:cs="Cambria"/>
          <w:color w:val="000000"/>
          <w:szCs w:val="22"/>
        </w:rPr>
        <w:t>para evaluar la pertinencia de los desarrollos.</w:t>
      </w:r>
    </w:p>
    <w:p w:rsidR="00824116" w:rsidRPr="006C178E" w:rsidRDefault="00824116" w:rsidP="006C17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mbria"/>
          <w:color w:val="000000"/>
          <w:szCs w:val="22"/>
        </w:rPr>
      </w:pPr>
      <w:r w:rsidRPr="006C178E">
        <w:rPr>
          <w:rFonts w:cs="Cambria"/>
          <w:color w:val="000000"/>
          <w:szCs w:val="22"/>
        </w:rPr>
        <w:t>Contar con un Marco Legal que considere los aspectos que hacen</w:t>
      </w:r>
      <w:r w:rsidR="006C178E" w:rsidRPr="006C178E">
        <w:rPr>
          <w:rFonts w:cs="Cambria"/>
          <w:color w:val="000000"/>
          <w:szCs w:val="22"/>
        </w:rPr>
        <w:t xml:space="preserve"> de estas tecnologías productos </w:t>
      </w:r>
      <w:r w:rsidRPr="006C178E">
        <w:rPr>
          <w:rFonts w:cs="Cambria"/>
          <w:color w:val="000000"/>
          <w:szCs w:val="22"/>
        </w:rPr>
        <w:t xml:space="preserve">diferentes a los </w:t>
      </w:r>
      <w:proofErr w:type="spellStart"/>
      <w:r w:rsidRPr="006C178E">
        <w:rPr>
          <w:rFonts w:cs="Cambria"/>
          <w:color w:val="000000"/>
          <w:szCs w:val="22"/>
        </w:rPr>
        <w:t>OGMs</w:t>
      </w:r>
      <w:proofErr w:type="spellEnd"/>
      <w:r w:rsidRPr="006C178E">
        <w:rPr>
          <w:rFonts w:cs="Cambria"/>
          <w:color w:val="000000"/>
          <w:szCs w:val="22"/>
        </w:rPr>
        <w:t xml:space="preserve"> tradicionales, y que por tanto deben respon</w:t>
      </w:r>
      <w:r w:rsidR="006C178E" w:rsidRPr="006C178E">
        <w:rPr>
          <w:rFonts w:cs="Cambria"/>
          <w:color w:val="000000"/>
          <w:szCs w:val="22"/>
        </w:rPr>
        <w:t xml:space="preserve">der a una regulación específica </w:t>
      </w:r>
      <w:r w:rsidRPr="006C178E">
        <w:rPr>
          <w:rFonts w:cs="Cambria"/>
          <w:color w:val="000000"/>
          <w:szCs w:val="22"/>
        </w:rPr>
        <w:t>dependiendo del producto del que se trate.</w:t>
      </w:r>
    </w:p>
    <w:p w:rsidR="00824116" w:rsidRPr="006C178E" w:rsidRDefault="00824116" w:rsidP="006C17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mbria"/>
          <w:color w:val="000000"/>
          <w:szCs w:val="22"/>
        </w:rPr>
      </w:pPr>
      <w:r w:rsidRPr="006C178E">
        <w:rPr>
          <w:rFonts w:cs="Cambria"/>
          <w:color w:val="000000"/>
          <w:szCs w:val="22"/>
        </w:rPr>
        <w:t>Definir estrategias de monitoreo y detección con métodos validados.</w:t>
      </w:r>
    </w:p>
    <w:p w:rsidR="00824116" w:rsidRPr="006C178E" w:rsidRDefault="00824116" w:rsidP="006C17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mbria"/>
          <w:color w:val="000000"/>
          <w:szCs w:val="22"/>
        </w:rPr>
      </w:pPr>
      <w:r w:rsidRPr="006C178E">
        <w:rPr>
          <w:rFonts w:cs="Cambria"/>
          <w:color w:val="000000"/>
          <w:szCs w:val="22"/>
        </w:rPr>
        <w:t>Abrir las discusiones más allá de los círculos académicos y gubernamentales.</w:t>
      </w:r>
    </w:p>
    <w:p w:rsidR="007F55B8" w:rsidRPr="006C178E" w:rsidRDefault="00824116" w:rsidP="006C178E">
      <w:pPr>
        <w:pStyle w:val="Prrafodelista"/>
        <w:numPr>
          <w:ilvl w:val="0"/>
          <w:numId w:val="2"/>
        </w:numPr>
        <w:ind w:left="284" w:hanging="284"/>
        <w:jc w:val="both"/>
        <w:rPr>
          <w:szCs w:val="22"/>
        </w:rPr>
      </w:pPr>
      <w:r w:rsidRPr="006C178E">
        <w:rPr>
          <w:rFonts w:cs="Cambria"/>
          <w:color w:val="000000"/>
          <w:szCs w:val="22"/>
        </w:rPr>
        <w:t>Generar consultas públicas sobre la pertinencia de estas tecnologías.</w:t>
      </w:r>
    </w:p>
    <w:p w:rsidR="006C178E" w:rsidRPr="00824116" w:rsidRDefault="006C178E">
      <w:pPr>
        <w:jc w:val="both"/>
        <w:rPr>
          <w:szCs w:val="22"/>
        </w:rPr>
      </w:pPr>
    </w:p>
    <w:sectPr w:rsidR="006C178E" w:rsidRPr="00824116" w:rsidSect="00CC5246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E3" w:rsidRDefault="008412E3" w:rsidP="006C178E">
      <w:pPr>
        <w:spacing w:after="0" w:line="240" w:lineRule="auto"/>
      </w:pPr>
      <w:r>
        <w:separator/>
      </w:r>
    </w:p>
  </w:endnote>
  <w:endnote w:type="continuationSeparator" w:id="0">
    <w:p w:rsidR="008412E3" w:rsidRDefault="008412E3" w:rsidP="006C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E3" w:rsidRDefault="008412E3" w:rsidP="006C178E">
      <w:pPr>
        <w:spacing w:after="0" w:line="240" w:lineRule="auto"/>
      </w:pPr>
      <w:r>
        <w:separator/>
      </w:r>
    </w:p>
  </w:footnote>
  <w:footnote w:type="continuationSeparator" w:id="0">
    <w:p w:rsidR="008412E3" w:rsidRDefault="008412E3" w:rsidP="006C178E">
      <w:pPr>
        <w:spacing w:after="0" w:line="240" w:lineRule="auto"/>
      </w:pPr>
      <w:r>
        <w:continuationSeparator/>
      </w:r>
    </w:p>
  </w:footnote>
  <w:footnote w:id="1">
    <w:p w:rsidR="006C178E" w:rsidRPr="006C178E" w:rsidRDefault="006C178E" w:rsidP="006C178E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Pr="006C178E">
        <w:t>Akbari</w:t>
      </w:r>
      <w:proofErr w:type="spellEnd"/>
      <w:r w:rsidRPr="006C178E">
        <w:t xml:space="preserve"> OS, </w:t>
      </w:r>
      <w:proofErr w:type="spellStart"/>
      <w:r w:rsidRPr="006C178E">
        <w:t>Bellen</w:t>
      </w:r>
      <w:proofErr w:type="spellEnd"/>
      <w:r w:rsidRPr="006C178E">
        <w:t xml:space="preserve"> HJ, </w:t>
      </w:r>
      <w:proofErr w:type="spellStart"/>
      <w:r w:rsidRPr="006C178E">
        <w:t>Bier</w:t>
      </w:r>
      <w:proofErr w:type="spellEnd"/>
      <w:r w:rsidRPr="006C178E">
        <w:t xml:space="preserve"> E, et al. </w:t>
      </w:r>
      <w:r w:rsidRPr="006C178E">
        <w:rPr>
          <w:lang w:val="en-US"/>
        </w:rPr>
        <w:t xml:space="preserve">(2015) BIOSAFETY. Safeguarding gene drive experiments in the laboratory. </w:t>
      </w:r>
      <w:r w:rsidRPr="006C178E">
        <w:rPr>
          <w:i/>
          <w:iCs/>
        </w:rPr>
        <w:t>Science</w:t>
      </w:r>
      <w:r w:rsidRPr="006C178E">
        <w:t>.</w:t>
      </w:r>
      <w:proofErr w:type="gramStart"/>
      <w:r w:rsidRPr="006C178E">
        <w:t>;349</w:t>
      </w:r>
      <w:proofErr w:type="gramEnd"/>
      <w:r w:rsidRPr="006C178E">
        <w:t>(6251):927-9.</w:t>
      </w:r>
    </w:p>
    <w:p w:rsidR="006C178E" w:rsidRDefault="006C178E">
      <w:pPr>
        <w:pStyle w:val="Textonotapie"/>
      </w:pPr>
    </w:p>
  </w:footnote>
  <w:footnote w:id="2">
    <w:p w:rsidR="006C178E" w:rsidRPr="006C178E" w:rsidRDefault="006C178E" w:rsidP="006C178E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6C178E">
        <w:rPr>
          <w:lang w:val="en-US"/>
        </w:rPr>
        <w:t xml:space="preserve"> Cummings CL, </w:t>
      </w:r>
      <w:proofErr w:type="spellStart"/>
      <w:r w:rsidRPr="006C178E">
        <w:rPr>
          <w:lang w:val="en-US"/>
        </w:rPr>
        <w:t>Kuzma</w:t>
      </w:r>
      <w:proofErr w:type="spellEnd"/>
      <w:r w:rsidRPr="006C178E">
        <w:rPr>
          <w:lang w:val="en-US"/>
        </w:rPr>
        <w:t xml:space="preserve"> J (2017) Societal Risk Evaluation Scheme (SRES): Scenario-Based Multi-Criteria Evaluation of Synthetic Biology Applications. </w:t>
      </w:r>
      <w:proofErr w:type="spellStart"/>
      <w:r w:rsidRPr="006C178E">
        <w:rPr>
          <w:lang w:val="en-US"/>
        </w:rPr>
        <w:t>PLoS</w:t>
      </w:r>
      <w:proofErr w:type="spellEnd"/>
      <w:r w:rsidRPr="006C178E">
        <w:rPr>
          <w:lang w:val="en-US"/>
        </w:rPr>
        <w:t xml:space="preserve"> ONE 12(1): e0168564. doi:10.1371/journal.pone.0168564</w:t>
      </w:r>
    </w:p>
    <w:p w:rsidR="006C178E" w:rsidRDefault="006C178E">
      <w:pPr>
        <w:pStyle w:val="Textonotapie"/>
      </w:pPr>
    </w:p>
  </w:footnote>
  <w:footnote w:id="3">
    <w:p w:rsidR="006C178E" w:rsidRPr="006C178E" w:rsidRDefault="006C178E" w:rsidP="006C178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Refdenotaalpie"/>
        </w:rPr>
        <w:footnoteRef/>
      </w:r>
      <w:r w:rsidRPr="006C178E">
        <w:t xml:space="preserve"> </w:t>
      </w:r>
      <w:r w:rsidRPr="006C178E">
        <w:rPr>
          <w:sz w:val="20"/>
          <w:szCs w:val="20"/>
        </w:rPr>
        <w:t>Según lo referido en el Convenio 169 de la OIT sobre pueblos indígenas y tribales en países independientes, aprobada el 27 de Junio de 1989 y en la más reciente Declaración sobre los derechos de los campesinos y otras personas que trabajan en zonas rurales aprobada por la ONU el 17 de diciembre de 2018.</w:t>
      </w:r>
    </w:p>
    <w:p w:rsidR="006C178E" w:rsidRPr="006C178E" w:rsidRDefault="006C178E" w:rsidP="006C178E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0"/>
          <w:szCs w:val="20"/>
        </w:rPr>
      </w:pPr>
    </w:p>
    <w:p w:rsidR="006C178E" w:rsidRDefault="006C178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74" w:rsidRPr="000A5374" w:rsidRDefault="000A5374" w:rsidP="000A5374">
    <w:pPr>
      <w:pStyle w:val="Encabezado"/>
      <w:jc w:val="right"/>
      <w:rPr>
        <w:sz w:val="20"/>
        <w:szCs w:val="20"/>
      </w:rPr>
    </w:pPr>
    <w:r w:rsidRPr="000A5374">
      <w:rPr>
        <w:sz w:val="20"/>
        <w:szCs w:val="20"/>
      </w:rPr>
      <w:t>Anexo TGL001159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87239"/>
    <w:multiLevelType w:val="hybridMultilevel"/>
    <w:tmpl w:val="7FEE5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324D6"/>
    <w:multiLevelType w:val="hybridMultilevel"/>
    <w:tmpl w:val="A4980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1D"/>
    <w:rsid w:val="000A5374"/>
    <w:rsid w:val="0060396F"/>
    <w:rsid w:val="006C178E"/>
    <w:rsid w:val="007F55B8"/>
    <w:rsid w:val="00824116"/>
    <w:rsid w:val="008412E3"/>
    <w:rsid w:val="00C3351D"/>
    <w:rsid w:val="00C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4D9E9-B360-455D-AC08-F38CB10E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Theme="minorHAnsi" w:hAnsi="Montserrat" w:cs="Times New Roman"/>
        <w:color w:val="262626" w:themeColor="text1" w:themeTint="D9"/>
        <w:sz w:val="22"/>
        <w:szCs w:val="2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C17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17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178E"/>
    <w:rPr>
      <w:vertAlign w:val="superscript"/>
    </w:rPr>
  </w:style>
  <w:style w:type="paragraph" w:styleId="Prrafodelista">
    <w:name w:val="List Paragraph"/>
    <w:basedOn w:val="Normal"/>
    <w:uiPriority w:val="34"/>
    <w:qFormat/>
    <w:rsid w:val="006C17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5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374"/>
  </w:style>
  <w:style w:type="paragraph" w:styleId="Piedepgina">
    <w:name w:val="footer"/>
    <w:basedOn w:val="Normal"/>
    <w:link w:val="PiedepginaCar"/>
    <w:uiPriority w:val="99"/>
    <w:unhideWhenUsed/>
    <w:rsid w:val="000A5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E223-B9B9-4403-A9D9-AAA0DD2C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Hernández López, Santos Roberto</dc:creator>
  <cp:keywords/>
  <dc:description/>
  <cp:lastModifiedBy>Hernández López, Santos Roberto</cp:lastModifiedBy>
  <cp:revision>2</cp:revision>
  <dcterms:created xsi:type="dcterms:W3CDTF">2019-03-16T01:47:00Z</dcterms:created>
  <dcterms:modified xsi:type="dcterms:W3CDTF">2019-03-16T01:47:00Z</dcterms:modified>
</cp:coreProperties>
</file>