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mbria" w:hAnsi="Cambria"/>
          <w:i w:val="0"/>
          <w:sz w:val="22"/>
          <w:szCs w:val="22"/>
        </w:rPr>
      </w:pPr>
      <w:r>
        <w:rPr>
          <w:rFonts w:ascii="Cambria" w:hAnsi="Cambria"/>
          <w:i w:val="0"/>
          <w:sz w:val="22"/>
          <w:szCs w:val="22"/>
        </w:rPr>
        <w:t xml:space="preserve">Determination of the Safety of </w:t>
      </w:r>
      <w:r>
        <w:rPr>
          <w:rFonts w:ascii="Cambria" w:hAnsi="Cambria"/>
          <w:i w:val="0"/>
          <w:sz w:val="22"/>
          <w:szCs w:val="22"/>
          <w:lang w:val="en-PH"/>
        </w:rPr>
        <w:t>BASF</w:t>
      </w:r>
      <w:r>
        <w:rPr>
          <w:rFonts w:ascii="Cambria" w:hAnsi="Cambria"/>
          <w:i w:val="0"/>
          <w:sz w:val="22"/>
          <w:szCs w:val="22"/>
        </w:rPr>
        <w:t>’s</w:t>
      </w:r>
    </w:p>
    <w:p>
      <w:pPr>
        <w:pBdr>
          <w:bottom w:val="single" w:color="auto" w:sz="12" w:space="1"/>
        </w:pBdr>
        <w:jc w:val="center"/>
        <w:rPr>
          <w:rFonts w:ascii="Cambria" w:hAnsi="Cambria"/>
          <w:i w:val="0"/>
          <w:sz w:val="22"/>
          <w:szCs w:val="22"/>
          <w:lang w:val="en-PH"/>
        </w:rPr>
      </w:pPr>
      <w:r>
        <w:rPr>
          <w:rFonts w:ascii="Cambria" w:hAnsi="Cambria"/>
          <w:i w:val="0"/>
          <w:sz w:val="22"/>
          <w:szCs w:val="22"/>
          <w:lang w:val="en-PH"/>
        </w:rPr>
        <w:t>Oilseed Rape RF3</w:t>
      </w:r>
    </w:p>
    <w:p>
      <w:pPr>
        <w:pBdr>
          <w:bottom w:val="single" w:color="auto" w:sz="12" w:space="1"/>
        </w:pBdr>
        <w:jc w:val="center"/>
        <w:rPr>
          <w:rFonts w:ascii="Cambria" w:hAnsi="Cambria"/>
          <w:b w:val="0"/>
          <w:i w:val="0"/>
          <w:sz w:val="22"/>
          <w:szCs w:val="22"/>
        </w:rPr>
      </w:pPr>
      <w:r>
        <w:rPr>
          <w:rFonts w:ascii="Cambria" w:hAnsi="Cambria"/>
          <w:i w:val="0"/>
          <w:sz w:val="22"/>
          <w:szCs w:val="22"/>
        </w:rPr>
        <w:t>for Direct use as Food, Feed, or Processing</w:t>
      </w:r>
    </w:p>
    <w:p>
      <w:pPr>
        <w:spacing w:after="40"/>
        <w:jc w:val="both"/>
        <w:rPr>
          <w:rFonts w:ascii="Cambria" w:hAnsi="Cambria"/>
          <w:i w:val="0"/>
          <w:sz w:val="22"/>
          <w:szCs w:val="22"/>
        </w:rPr>
      </w:pPr>
    </w:p>
    <w:p>
      <w:pPr>
        <w:spacing w:after="40"/>
        <w:jc w:val="both"/>
        <w:rPr>
          <w:rFonts w:ascii="Cambria" w:hAnsi="Cambria"/>
          <w:b w:val="0"/>
          <w:i w:val="0"/>
          <w:sz w:val="22"/>
          <w:szCs w:val="22"/>
        </w:rPr>
      </w:pPr>
      <w:r>
        <w:rPr>
          <w:rFonts w:ascii="Cambria" w:hAnsi="Cambria"/>
          <w:b w:val="0"/>
          <w:i w:val="0"/>
          <w:sz w:val="22"/>
          <w:szCs w:val="22"/>
        </w:rPr>
        <w:t xml:space="preserve">The product dossier of </w:t>
      </w:r>
      <w:r>
        <w:rPr>
          <w:rFonts w:ascii="Cambria" w:hAnsi="Cambria"/>
          <w:b w:val="0"/>
          <w:i w:val="0"/>
          <w:sz w:val="22"/>
          <w:szCs w:val="22"/>
          <w:lang w:val="en-US"/>
        </w:rPr>
        <w:t>BASF Philippines</w:t>
      </w:r>
      <w:r>
        <w:rPr>
          <w:rFonts w:ascii="Cambria" w:hAnsi="Cambria"/>
          <w:b w:val="0"/>
          <w:i w:val="0"/>
          <w:sz w:val="22"/>
          <w:szCs w:val="22"/>
        </w:rPr>
        <w:t xml:space="preserve">’ </w:t>
      </w:r>
      <w:r>
        <w:rPr>
          <w:rFonts w:ascii="Cambria" w:hAnsi="Cambria"/>
          <w:b w:val="0"/>
          <w:i w:val="0"/>
          <w:sz w:val="22"/>
          <w:szCs w:val="22"/>
          <w:lang w:val="en-PH"/>
        </w:rPr>
        <w:t>oilseed rape RF3</w:t>
      </w:r>
      <w:r>
        <w:rPr>
          <w:rFonts w:ascii="Cambria" w:hAnsi="Cambria"/>
          <w:b w:val="0"/>
          <w:i w:val="0"/>
          <w:sz w:val="22"/>
          <w:szCs w:val="22"/>
        </w:rPr>
        <w:t xml:space="preserve"> was reviewed for safety and nutritional differences compared to the conventional </w:t>
      </w:r>
      <w:r>
        <w:rPr>
          <w:rFonts w:ascii="Cambria" w:hAnsi="Cambria"/>
          <w:b w:val="0"/>
          <w:i w:val="0"/>
          <w:sz w:val="22"/>
          <w:szCs w:val="22"/>
          <w:lang w:val="en-PH"/>
        </w:rPr>
        <w:t>oilseed rape</w:t>
      </w:r>
      <w:r>
        <w:rPr>
          <w:rFonts w:ascii="Cambria" w:hAnsi="Cambria"/>
          <w:b w:val="0"/>
          <w:i w:val="0"/>
          <w:sz w:val="22"/>
          <w:szCs w:val="22"/>
        </w:rPr>
        <w:t xml:space="preserve">. The focus of the food/feed safety assessment is based on the following issues: (a) the nature of the genetic modification; (b) novel protein expression; (c) </w:t>
      </w:r>
      <w:r>
        <w:rPr>
          <w:rFonts w:ascii="Cambria" w:hAnsi="Cambria"/>
          <w:b w:val="0"/>
          <w:i w:val="0"/>
          <w:iCs/>
          <w:sz w:val="22"/>
          <w:szCs w:val="22"/>
        </w:rPr>
        <w:t>in vitro</w:t>
      </w:r>
      <w:r>
        <w:rPr>
          <w:rFonts w:ascii="Cambria" w:hAnsi="Cambria"/>
          <w:b w:val="0"/>
          <w:i w:val="0"/>
          <w:sz w:val="22"/>
          <w:szCs w:val="22"/>
        </w:rPr>
        <w:t xml:space="preserve"> digestibility; (d) toxicological assessment; (e) allergenic potential; and (f) compositional and nutritional assessment.</w:t>
      </w:r>
    </w:p>
    <w:p>
      <w:pPr>
        <w:pStyle w:val="4"/>
        <w:spacing w:after="40"/>
        <w:ind w:left="360"/>
        <w:rPr>
          <w:rFonts w:ascii="Cambria" w:hAnsi="Cambria"/>
          <w:sz w:val="22"/>
          <w:szCs w:val="22"/>
        </w:rPr>
      </w:pPr>
    </w:p>
    <w:p>
      <w:pPr>
        <w:jc w:val="both"/>
        <w:rPr>
          <w:rFonts w:ascii="Cambria" w:hAnsi="Cambria"/>
          <w:b w:val="0"/>
          <w:i w:val="0"/>
          <w:sz w:val="22"/>
          <w:szCs w:val="22"/>
        </w:rPr>
      </w:pPr>
      <w:r>
        <w:rPr>
          <w:rFonts w:ascii="Cambria" w:hAnsi="Cambria"/>
          <w:b w:val="0"/>
          <w:i w:val="0"/>
          <w:sz w:val="22"/>
          <w:szCs w:val="22"/>
        </w:rPr>
        <w:t xml:space="preserve">A biosafety permit for </w:t>
      </w:r>
      <w:r>
        <w:rPr>
          <w:rFonts w:ascii="Cambria" w:hAnsi="Cambria"/>
          <w:b w:val="0"/>
          <w:i w:val="0"/>
          <w:sz w:val="22"/>
          <w:szCs w:val="22"/>
          <w:lang w:val="en-PH"/>
        </w:rPr>
        <w:t>oilseed rape RF3</w:t>
      </w:r>
      <w:r>
        <w:rPr>
          <w:rFonts w:ascii="Cambria" w:hAnsi="Cambria"/>
          <w:b w:val="0"/>
          <w:i w:val="0"/>
          <w:sz w:val="22"/>
          <w:szCs w:val="22"/>
        </w:rPr>
        <w:t xml:space="preserve"> and all progenies derived from crosses of the product with any conventionally bred </w:t>
      </w:r>
      <w:r>
        <w:rPr>
          <w:rFonts w:ascii="Cambria" w:hAnsi="Cambria"/>
          <w:b w:val="0"/>
          <w:i w:val="0"/>
          <w:sz w:val="22"/>
          <w:szCs w:val="22"/>
          <w:lang w:val="en-PH"/>
        </w:rPr>
        <w:t>oilseed rape</w:t>
      </w:r>
      <w:r>
        <w:rPr>
          <w:rFonts w:ascii="Cambria" w:hAnsi="Cambria"/>
          <w:b w:val="0"/>
          <w:i w:val="0"/>
          <w:sz w:val="22"/>
          <w:szCs w:val="22"/>
        </w:rPr>
        <w:t xml:space="preserve"> and </w:t>
      </w:r>
      <w:r>
        <w:rPr>
          <w:rFonts w:ascii="Cambria" w:hAnsi="Cambria"/>
          <w:b w:val="0"/>
          <w:i w:val="0"/>
          <w:sz w:val="22"/>
          <w:szCs w:val="22"/>
          <w:lang w:val="en-PH"/>
        </w:rPr>
        <w:t>oilseed rape</w:t>
      </w:r>
      <w:r>
        <w:rPr>
          <w:rFonts w:ascii="Cambria" w:hAnsi="Cambria"/>
          <w:b w:val="0"/>
          <w:i w:val="0"/>
          <w:sz w:val="22"/>
          <w:szCs w:val="22"/>
        </w:rPr>
        <w:t xml:space="preserve"> containing approved-biotech events for direct use as food, feed or for processing, was issued to </w:t>
      </w:r>
      <w:r>
        <w:rPr>
          <w:rFonts w:ascii="Cambria" w:hAnsi="Cambria"/>
          <w:b w:val="0"/>
          <w:i w:val="0"/>
          <w:sz w:val="22"/>
          <w:szCs w:val="22"/>
          <w:lang w:val="en-US"/>
        </w:rPr>
        <w:t>BASF</w:t>
      </w:r>
      <w:r>
        <w:rPr>
          <w:rFonts w:ascii="Cambria" w:hAnsi="Cambria"/>
          <w:b w:val="0"/>
          <w:i w:val="0"/>
          <w:sz w:val="22"/>
          <w:szCs w:val="22"/>
        </w:rPr>
        <w:t xml:space="preserve"> Philippines Inc. on </w:t>
      </w:r>
      <w:r>
        <w:rPr>
          <w:rFonts w:ascii="Cambria" w:hAnsi="Cambria"/>
          <w:b w:val="0"/>
          <w:i w:val="0"/>
          <w:sz w:val="22"/>
          <w:szCs w:val="22"/>
          <w:lang w:val="en-PH"/>
        </w:rPr>
        <w:t>November 21</w:t>
      </w:r>
      <w:r>
        <w:rPr>
          <w:rFonts w:ascii="Cambria" w:hAnsi="Cambria"/>
          <w:b w:val="0"/>
          <w:i w:val="0"/>
          <w:sz w:val="22"/>
          <w:szCs w:val="22"/>
        </w:rPr>
        <w:t xml:space="preserve">, 2018. The permit is valid for five years and shall expire on </w:t>
      </w:r>
      <w:r>
        <w:rPr>
          <w:rFonts w:ascii="Cambria" w:hAnsi="Cambria"/>
          <w:b w:val="0"/>
          <w:i w:val="0"/>
          <w:sz w:val="22"/>
          <w:szCs w:val="22"/>
          <w:lang w:val="en-PH"/>
        </w:rPr>
        <w:t>November 20</w:t>
      </w:r>
      <w:r>
        <w:rPr>
          <w:rFonts w:ascii="Cambria" w:hAnsi="Cambria"/>
          <w:b w:val="0"/>
          <w:i w:val="0"/>
          <w:sz w:val="22"/>
          <w:szCs w:val="22"/>
        </w:rPr>
        <w:t>, 2023 subject to the terms and conditions set forth in DOST-DA-DENR-DOH-DILG Joint Department Circular No. 1 series of 2016. The said product was included in the Lists of Approval Registry being prepared by the Department of Agriculture – Bureau of Plant Industry.</w:t>
      </w:r>
    </w:p>
    <w:p>
      <w:pPr>
        <w:spacing w:after="40"/>
        <w:ind w:left="360"/>
        <w:jc w:val="both"/>
        <w:rPr>
          <w:rFonts w:ascii="Cambria" w:hAnsi="Cambria"/>
          <w:b w:val="0"/>
          <w:i w:val="0"/>
          <w:sz w:val="22"/>
          <w:szCs w:val="22"/>
        </w:rPr>
      </w:pPr>
    </w:p>
    <w:p>
      <w:pPr>
        <w:pBdr>
          <w:bottom w:val="single" w:color="auto" w:sz="12" w:space="1"/>
        </w:pBdr>
        <w:spacing w:after="40"/>
        <w:jc w:val="both"/>
        <w:rPr>
          <w:rFonts w:ascii="Cambria" w:hAnsi="Cambria"/>
          <w:b w:val="0"/>
          <w:sz w:val="22"/>
          <w:szCs w:val="22"/>
        </w:rPr>
      </w:pPr>
      <w:r>
        <w:rPr>
          <w:rFonts w:ascii="Cambria" w:hAnsi="Cambria"/>
          <w:b w:val="0"/>
          <w:sz w:val="22"/>
          <w:szCs w:val="22"/>
        </w:rPr>
        <w:t>This approval is for use as Food, Feed or Processing only. This does not include cultivation of</w:t>
      </w:r>
      <w:r>
        <w:rPr>
          <w:rFonts w:ascii="Cambria" w:hAnsi="Cambria"/>
          <w:b w:val="0"/>
          <w:sz w:val="22"/>
          <w:szCs w:val="22"/>
          <w:lang w:val="en-PH"/>
        </w:rPr>
        <w:t xml:space="preserve"> RF3</w:t>
      </w:r>
      <w:r>
        <w:rPr>
          <w:rFonts w:ascii="Cambria" w:hAnsi="Cambria"/>
          <w:b w:val="0"/>
          <w:sz w:val="22"/>
          <w:szCs w:val="22"/>
        </w:rPr>
        <w:t xml:space="preserve"> in the Philippines. Food and Feed use of </w:t>
      </w:r>
      <w:r>
        <w:rPr>
          <w:rFonts w:ascii="Cambria" w:hAnsi="Cambria"/>
          <w:b w:val="0"/>
          <w:sz w:val="22"/>
          <w:szCs w:val="22"/>
          <w:lang w:val="en-PH"/>
        </w:rPr>
        <w:t>RF3</w:t>
      </w:r>
      <w:r>
        <w:rPr>
          <w:rFonts w:ascii="Cambria" w:hAnsi="Cambria"/>
          <w:b w:val="0"/>
          <w:sz w:val="22"/>
          <w:szCs w:val="22"/>
        </w:rPr>
        <w:t xml:space="preserve"> and its by-products is therefore authorized as of </w:t>
      </w:r>
      <w:r>
        <w:rPr>
          <w:rFonts w:ascii="Cambria" w:hAnsi="Cambria"/>
          <w:b w:val="0"/>
          <w:sz w:val="22"/>
          <w:szCs w:val="22"/>
          <w:lang w:val="en-PH"/>
        </w:rPr>
        <w:t>November 21</w:t>
      </w:r>
      <w:r>
        <w:rPr>
          <w:rFonts w:ascii="Cambria" w:hAnsi="Cambria"/>
          <w:b w:val="0"/>
          <w:sz w:val="22"/>
          <w:szCs w:val="22"/>
        </w:rPr>
        <w:t>, 2018. The biosafety permit (No. 1</w:t>
      </w:r>
      <w:r>
        <w:rPr>
          <w:rFonts w:ascii="Cambria" w:hAnsi="Cambria"/>
          <w:b w:val="0"/>
          <w:sz w:val="22"/>
          <w:szCs w:val="22"/>
          <w:lang w:val="en-US"/>
        </w:rPr>
        <w:t>8</w:t>
      </w:r>
      <w:r>
        <w:rPr>
          <w:rFonts w:ascii="Cambria" w:hAnsi="Cambria"/>
          <w:b w:val="0"/>
          <w:sz w:val="22"/>
          <w:szCs w:val="22"/>
        </w:rPr>
        <w:t>-0</w:t>
      </w:r>
      <w:r>
        <w:rPr>
          <w:rFonts w:ascii="Cambria" w:hAnsi="Cambria"/>
          <w:b w:val="0"/>
          <w:sz w:val="22"/>
          <w:szCs w:val="22"/>
          <w:lang w:val="en-PH"/>
        </w:rPr>
        <w:t>2</w:t>
      </w:r>
      <w:r>
        <w:rPr>
          <w:rFonts w:ascii="Cambria" w:hAnsi="Cambria"/>
          <w:b w:val="0"/>
          <w:sz w:val="22"/>
          <w:szCs w:val="22"/>
          <w:lang w:val="en-US"/>
        </w:rPr>
        <w:t>9</w:t>
      </w:r>
      <w:r>
        <w:rPr>
          <w:rFonts w:ascii="Cambria" w:hAnsi="Cambria"/>
          <w:b w:val="0"/>
          <w:sz w:val="22"/>
          <w:szCs w:val="22"/>
        </w:rPr>
        <w:t xml:space="preserve">FFP) stated that </w:t>
      </w:r>
      <w:r>
        <w:rPr>
          <w:rFonts w:ascii="Cambria" w:hAnsi="Cambria"/>
          <w:b w:val="0"/>
          <w:sz w:val="22"/>
          <w:szCs w:val="22"/>
          <w:lang w:val="en-PH"/>
        </w:rPr>
        <w:t>RF3</w:t>
      </w:r>
      <w:r>
        <w:rPr>
          <w:rFonts w:ascii="Cambria" w:hAnsi="Cambria"/>
          <w:b w:val="0"/>
          <w:sz w:val="22"/>
          <w:szCs w:val="22"/>
        </w:rPr>
        <w:t xml:space="preserve"> is as safe for human food, livestock feed and for processing as its conventional counterparts.  </w:t>
      </w:r>
    </w:p>
    <w:p>
      <w:pPr>
        <w:spacing w:after="40"/>
        <w:jc w:val="both"/>
        <w:rPr>
          <w:rFonts w:ascii="Cambria" w:hAnsi="Cambria"/>
          <w:i w:val="0"/>
          <w:sz w:val="22"/>
          <w:szCs w:val="22"/>
        </w:rPr>
      </w:pPr>
    </w:p>
    <w:p>
      <w:pPr>
        <w:numPr>
          <w:ilvl w:val="0"/>
          <w:numId w:val="1"/>
        </w:numPr>
        <w:tabs>
          <w:tab w:val="left" w:pos="360"/>
          <w:tab w:val="clear" w:pos="1080"/>
        </w:tabs>
        <w:spacing w:after="40"/>
        <w:ind w:left="360" w:hanging="360"/>
        <w:jc w:val="both"/>
        <w:rPr>
          <w:rFonts w:ascii="Cambria" w:hAnsi="Cambria"/>
          <w:i w:val="0"/>
          <w:sz w:val="22"/>
          <w:szCs w:val="22"/>
          <w:u w:val="single"/>
        </w:rPr>
      </w:pPr>
      <w:r>
        <w:rPr>
          <w:rFonts w:ascii="Cambria" w:hAnsi="Cambria"/>
          <w:i w:val="0"/>
          <w:sz w:val="22"/>
          <w:szCs w:val="22"/>
          <w:u w:val="single"/>
        </w:rPr>
        <w:t>Brief Identification of the Genetically Modified Organism (Living Modified Organism)</w:t>
      </w:r>
    </w:p>
    <w:p>
      <w:pPr>
        <w:spacing w:after="40"/>
        <w:ind w:left="1080"/>
        <w:jc w:val="both"/>
        <w:rPr>
          <w:rFonts w:ascii="Cambria" w:hAnsi="Cambria"/>
          <w:b w:val="0"/>
          <w:i w:val="0"/>
          <w:sz w:val="22"/>
          <w:szCs w:val="22"/>
        </w:rPr>
      </w:pPr>
    </w:p>
    <w:p>
      <w:pPr>
        <w:ind w:left="3600" w:hanging="3240"/>
        <w:jc w:val="both"/>
        <w:rPr>
          <w:rFonts w:ascii="Cambria" w:hAnsi="Cambria"/>
          <w:b w:val="0"/>
          <w:i w:val="0"/>
          <w:sz w:val="22"/>
          <w:szCs w:val="22"/>
          <w:lang w:val="en-PH"/>
        </w:rPr>
      </w:pPr>
      <w:r>
        <w:rPr>
          <w:rFonts w:ascii="Cambria" w:hAnsi="Cambria"/>
          <w:i w:val="0"/>
          <w:sz w:val="22"/>
          <w:szCs w:val="22"/>
        </w:rPr>
        <w:t>Designation:</w:t>
      </w:r>
      <w:r>
        <w:rPr>
          <w:rFonts w:ascii="Cambria" w:hAnsi="Cambria"/>
          <w:b w:val="0"/>
          <w:i w:val="0"/>
          <w:sz w:val="22"/>
          <w:szCs w:val="22"/>
        </w:rPr>
        <w:tab/>
      </w:r>
      <w:r>
        <w:rPr>
          <w:rFonts w:ascii="Cambria" w:hAnsi="Cambria"/>
          <w:b w:val="0"/>
          <w:i w:val="0"/>
          <w:sz w:val="22"/>
          <w:szCs w:val="22"/>
          <w:lang w:val="en-PH"/>
        </w:rPr>
        <w:t>Oilseed Rape RF3</w:t>
      </w:r>
    </w:p>
    <w:p>
      <w:pPr>
        <w:spacing w:after="40"/>
        <w:ind w:left="1080"/>
        <w:jc w:val="both"/>
        <w:rPr>
          <w:rFonts w:ascii="Cambria" w:hAnsi="Cambria"/>
          <w:b w:val="0"/>
          <w:i w:val="0"/>
          <w:sz w:val="22"/>
          <w:szCs w:val="22"/>
        </w:rPr>
      </w:pPr>
    </w:p>
    <w:p>
      <w:pPr>
        <w:ind w:firstLine="360"/>
        <w:rPr>
          <w:rFonts w:ascii="Cambria" w:hAnsi="Cambria"/>
          <w:b w:val="0"/>
          <w:i w:val="0"/>
          <w:sz w:val="22"/>
          <w:szCs w:val="22"/>
        </w:rPr>
      </w:pPr>
      <w:r>
        <w:rPr>
          <w:rFonts w:ascii="Cambria" w:hAnsi="Cambria"/>
          <w:i w:val="0"/>
          <w:sz w:val="22"/>
          <w:szCs w:val="22"/>
        </w:rPr>
        <w:t>Applicant:</w:t>
      </w:r>
      <w:r>
        <w:rPr>
          <w:rFonts w:ascii="Cambria" w:hAnsi="Cambria"/>
          <w:i w:val="0"/>
          <w:sz w:val="22"/>
          <w:szCs w:val="22"/>
        </w:rPr>
        <w:tab/>
      </w:r>
      <w:r>
        <w:rPr>
          <w:rFonts w:ascii="Cambria" w:hAnsi="Cambria"/>
          <w:i w:val="0"/>
          <w:sz w:val="22"/>
          <w:szCs w:val="22"/>
        </w:rPr>
        <w:tab/>
      </w:r>
      <w:r>
        <w:rPr>
          <w:rFonts w:ascii="Cambria" w:hAnsi="Cambria"/>
          <w:i w:val="0"/>
          <w:sz w:val="22"/>
          <w:szCs w:val="22"/>
        </w:rPr>
        <w:tab/>
      </w:r>
      <w:r>
        <w:rPr>
          <w:rFonts w:ascii="Cambria" w:hAnsi="Cambria"/>
          <w:i w:val="0"/>
          <w:sz w:val="22"/>
          <w:szCs w:val="22"/>
        </w:rPr>
        <w:tab/>
      </w:r>
      <w:r>
        <w:rPr>
          <w:rFonts w:ascii="Cambria" w:hAnsi="Cambria"/>
          <w:b/>
          <w:bCs/>
          <w:i w:val="0"/>
          <w:sz w:val="22"/>
          <w:szCs w:val="22"/>
          <w:lang w:val="en-US"/>
        </w:rPr>
        <w:t>BASF</w:t>
      </w:r>
      <w:r>
        <w:rPr>
          <w:rFonts w:ascii="Cambria" w:hAnsi="Cambria"/>
          <w:b/>
          <w:bCs/>
          <w:i w:val="0"/>
          <w:sz w:val="22"/>
          <w:szCs w:val="22"/>
        </w:rPr>
        <w:t xml:space="preserve"> PHILIPPINES, INC.     </w:t>
      </w:r>
      <w:r>
        <w:rPr>
          <w:rFonts w:ascii="Cambria" w:hAnsi="Cambria"/>
          <w:b w:val="0"/>
          <w:i w:val="0"/>
          <w:sz w:val="22"/>
          <w:szCs w:val="22"/>
        </w:rPr>
        <w:t xml:space="preserve">                                                 </w:t>
      </w:r>
    </w:p>
    <w:p>
      <w:pPr>
        <w:ind w:firstLine="3600"/>
        <w:rPr>
          <w:rFonts w:hint="default" w:ascii="Cambria" w:hAnsi="Cambria"/>
          <w:b w:val="0"/>
          <w:i w:val="0"/>
          <w:sz w:val="22"/>
          <w:szCs w:val="22"/>
        </w:rPr>
      </w:pPr>
      <w:r>
        <w:rPr>
          <w:rFonts w:hint="default" w:ascii="Cambria" w:hAnsi="Cambria"/>
          <w:b w:val="0"/>
          <w:i w:val="0"/>
          <w:sz w:val="22"/>
          <w:szCs w:val="22"/>
        </w:rPr>
        <w:t>11F HHIC Building, 1128 University Parkway,</w:t>
      </w:r>
    </w:p>
    <w:p>
      <w:pPr>
        <w:ind w:firstLine="3600"/>
        <w:rPr>
          <w:rFonts w:ascii="Cambria" w:hAnsi="Cambria"/>
          <w:b w:val="0"/>
          <w:i w:val="0"/>
          <w:sz w:val="22"/>
          <w:szCs w:val="22"/>
        </w:rPr>
      </w:pPr>
      <w:r>
        <w:rPr>
          <w:rFonts w:hint="default" w:ascii="Cambria" w:hAnsi="Cambria"/>
          <w:b w:val="0"/>
          <w:i w:val="0"/>
          <w:sz w:val="22"/>
          <w:szCs w:val="22"/>
        </w:rPr>
        <w:t>Bonifacio Global City, Taguig</w:t>
      </w:r>
      <w:r>
        <w:rPr>
          <w:rFonts w:ascii="Cambria" w:hAnsi="Cambria"/>
          <w:b w:val="0"/>
          <w:i w:val="0"/>
          <w:sz w:val="22"/>
          <w:szCs w:val="22"/>
        </w:rPr>
        <w:t xml:space="preserve">                                                                </w:t>
      </w:r>
    </w:p>
    <w:p>
      <w:pPr>
        <w:spacing w:after="40"/>
        <w:ind w:left="1080" w:hanging="720"/>
        <w:jc w:val="both"/>
        <w:rPr>
          <w:rFonts w:ascii="Cambria" w:hAnsi="Cambria"/>
          <w:i w:val="0"/>
          <w:sz w:val="22"/>
          <w:szCs w:val="22"/>
        </w:rPr>
      </w:pPr>
    </w:p>
    <w:p>
      <w:pPr>
        <w:spacing w:after="40"/>
        <w:ind w:left="1080" w:hanging="720"/>
        <w:jc w:val="both"/>
        <w:rPr>
          <w:rFonts w:ascii="Cambria" w:hAnsi="Cambria"/>
          <w:i w:val="0"/>
          <w:sz w:val="22"/>
          <w:szCs w:val="22"/>
        </w:rPr>
      </w:pPr>
      <w:r>
        <w:rPr>
          <w:rFonts w:ascii="Cambria" w:hAnsi="Cambria"/>
          <w:i w:val="0"/>
          <w:sz w:val="22"/>
          <w:szCs w:val="22"/>
        </w:rPr>
        <w:t>Plant Species:</w:t>
      </w:r>
    </w:p>
    <w:p>
      <w:pPr>
        <w:spacing w:after="40"/>
        <w:ind w:left="1080" w:hanging="720"/>
        <w:jc w:val="both"/>
        <w:rPr>
          <w:rFonts w:ascii="Cambria" w:hAnsi="Cambria"/>
          <w:b w:val="0"/>
          <w:i w:val="0"/>
          <w:sz w:val="22"/>
          <w:szCs w:val="22"/>
        </w:rPr>
      </w:pPr>
    </w:p>
    <w:p>
      <w:pPr>
        <w:spacing w:after="40"/>
        <w:ind w:left="720"/>
        <w:jc w:val="both"/>
        <w:rPr>
          <w:rFonts w:ascii="Cambria" w:hAnsi="Cambria"/>
          <w:b w:val="0"/>
          <w:sz w:val="22"/>
          <w:szCs w:val="22"/>
        </w:rPr>
      </w:pPr>
      <w:r>
        <w:rPr>
          <w:rFonts w:ascii="Cambria" w:hAnsi="Cambria"/>
          <w:b w:val="0"/>
          <w:i w:val="0"/>
          <w:sz w:val="22"/>
          <w:szCs w:val="22"/>
        </w:rPr>
        <w:t>Name:</w:t>
      </w:r>
      <w:r>
        <w:rPr>
          <w:rFonts w:ascii="Cambria" w:hAnsi="Cambria"/>
          <w:b w:val="0"/>
          <w:i w:val="0"/>
          <w:sz w:val="22"/>
          <w:szCs w:val="22"/>
        </w:rPr>
        <w:tab/>
      </w:r>
      <w:r>
        <w:rPr>
          <w:rFonts w:ascii="Cambria" w:hAnsi="Cambria"/>
          <w:b w:val="0"/>
          <w:i w:val="0"/>
          <w:sz w:val="22"/>
          <w:szCs w:val="22"/>
        </w:rPr>
        <w:tab/>
      </w:r>
      <w:r>
        <w:rPr>
          <w:rFonts w:ascii="Cambria" w:hAnsi="Cambria"/>
          <w:b w:val="0"/>
          <w:i w:val="0"/>
          <w:sz w:val="22"/>
          <w:szCs w:val="22"/>
        </w:rPr>
        <w:tab/>
      </w:r>
      <w:r>
        <w:rPr>
          <w:rFonts w:ascii="Cambria" w:hAnsi="Cambria"/>
          <w:b w:val="0"/>
          <w:i w:val="0"/>
          <w:sz w:val="22"/>
          <w:szCs w:val="22"/>
        </w:rPr>
        <w:tab/>
      </w:r>
      <w:r>
        <w:rPr>
          <w:rFonts w:ascii="Cambria" w:hAnsi="Cambria"/>
          <w:b w:val="0"/>
          <w:i w:val="0"/>
          <w:sz w:val="22"/>
          <w:szCs w:val="22"/>
          <w:lang w:val="en-PH"/>
        </w:rPr>
        <w:t>Oilseed rape</w:t>
      </w:r>
      <w:r>
        <w:rPr>
          <w:rFonts w:ascii="Cambria" w:hAnsi="Cambria"/>
          <w:b w:val="0"/>
          <w:i w:val="0"/>
          <w:sz w:val="22"/>
          <w:szCs w:val="22"/>
        </w:rPr>
        <w:t xml:space="preserve"> (</w:t>
      </w:r>
      <w:r>
        <w:rPr>
          <w:rFonts w:ascii="Cambria" w:hAnsi="Cambria"/>
          <w:b w:val="0"/>
          <w:i/>
          <w:iCs/>
          <w:sz w:val="22"/>
          <w:szCs w:val="22"/>
          <w:lang w:val="en-PH"/>
        </w:rPr>
        <w:t>Brassica napus</w:t>
      </w:r>
      <w:r>
        <w:rPr>
          <w:rFonts w:ascii="Cambria" w:hAnsi="Cambria"/>
          <w:b w:val="0"/>
          <w:sz w:val="22"/>
          <w:szCs w:val="22"/>
        </w:rPr>
        <w:t>)</w:t>
      </w:r>
    </w:p>
    <w:p>
      <w:pPr>
        <w:spacing w:after="40"/>
        <w:ind w:left="720"/>
        <w:jc w:val="both"/>
        <w:rPr>
          <w:rFonts w:ascii="Cambria" w:hAnsi="Cambria"/>
          <w:b w:val="0"/>
          <w:sz w:val="22"/>
          <w:szCs w:val="22"/>
        </w:rPr>
      </w:pPr>
    </w:p>
    <w:p>
      <w:pPr>
        <w:spacing w:after="40"/>
        <w:ind w:left="720"/>
        <w:jc w:val="both"/>
        <w:rPr>
          <w:rFonts w:ascii="Cambria" w:hAnsi="Cambria"/>
          <w:b w:val="0"/>
          <w:sz w:val="22"/>
          <w:szCs w:val="22"/>
          <w:lang w:val="en-PH"/>
        </w:rPr>
      </w:pPr>
      <w:r>
        <w:rPr>
          <w:rFonts w:ascii="Cambria" w:hAnsi="Cambria"/>
          <w:b w:val="0"/>
          <w:i w:val="0"/>
          <w:sz w:val="22"/>
          <w:szCs w:val="22"/>
        </w:rPr>
        <w:t xml:space="preserve">Parent Material:         </w:t>
      </w:r>
      <w:r>
        <w:rPr>
          <w:rFonts w:ascii="Cambria" w:hAnsi="Cambria"/>
          <w:b w:val="0"/>
          <w:i w:val="0"/>
          <w:sz w:val="22"/>
          <w:szCs w:val="22"/>
        </w:rPr>
        <w:tab/>
      </w:r>
      <w:r>
        <w:rPr>
          <w:rFonts w:ascii="Cambria" w:hAnsi="Cambria"/>
          <w:b w:val="0"/>
          <w:i w:val="0"/>
          <w:sz w:val="22"/>
          <w:szCs w:val="22"/>
        </w:rPr>
        <w:tab/>
      </w:r>
      <w:r>
        <w:rPr>
          <w:rFonts w:ascii="Cambria" w:hAnsi="Cambria"/>
          <w:b w:val="0"/>
          <w:i w:val="0"/>
          <w:sz w:val="22"/>
          <w:szCs w:val="22"/>
          <w:lang w:val="en-PH"/>
        </w:rPr>
        <w:t>Oilseed rape RF3</w:t>
      </w:r>
    </w:p>
    <w:p>
      <w:pPr>
        <w:spacing w:after="40"/>
        <w:ind w:left="720"/>
        <w:jc w:val="both"/>
        <w:rPr>
          <w:rFonts w:ascii="Cambria" w:hAnsi="Cambria"/>
          <w:b w:val="0"/>
          <w:sz w:val="22"/>
          <w:szCs w:val="22"/>
        </w:rPr>
      </w:pPr>
    </w:p>
    <w:p>
      <w:pPr>
        <w:spacing w:after="40"/>
        <w:ind w:left="720"/>
        <w:jc w:val="both"/>
        <w:rPr>
          <w:rFonts w:ascii="Cambria" w:hAnsi="Cambria"/>
          <w:b w:val="0"/>
          <w:sz w:val="22"/>
          <w:szCs w:val="22"/>
          <w:lang w:val="en-PH"/>
        </w:rPr>
      </w:pPr>
      <w:r>
        <w:rPr>
          <w:rFonts w:ascii="Cambria" w:hAnsi="Cambria"/>
          <w:b w:val="0"/>
          <w:i w:val="0"/>
          <w:sz w:val="22"/>
          <w:szCs w:val="22"/>
        </w:rPr>
        <w:t xml:space="preserve">Center of Origin:        </w:t>
      </w:r>
      <w:r>
        <w:rPr>
          <w:rFonts w:ascii="Cambria" w:hAnsi="Cambria"/>
          <w:b w:val="0"/>
          <w:i w:val="0"/>
          <w:sz w:val="22"/>
          <w:szCs w:val="22"/>
        </w:rPr>
        <w:tab/>
      </w:r>
      <w:r>
        <w:rPr>
          <w:rFonts w:ascii="Cambria" w:hAnsi="Cambria"/>
          <w:b w:val="0"/>
          <w:i w:val="0"/>
          <w:sz w:val="22"/>
          <w:szCs w:val="22"/>
        </w:rPr>
        <w:tab/>
      </w:r>
      <w:r>
        <w:rPr>
          <w:rFonts w:ascii="Cambria" w:hAnsi="Cambria"/>
          <w:b w:val="0"/>
          <w:i w:val="0"/>
          <w:sz w:val="22"/>
          <w:szCs w:val="22"/>
          <w:lang w:val="en-PH"/>
        </w:rPr>
        <w:t>Canada</w:t>
      </w:r>
    </w:p>
    <w:p>
      <w:pPr>
        <w:spacing w:after="40"/>
        <w:ind w:left="3600" w:hanging="2520"/>
        <w:jc w:val="both"/>
        <w:rPr>
          <w:rFonts w:ascii="Cambria" w:hAnsi="Cambria"/>
          <w:b w:val="0"/>
          <w:i w:val="0"/>
          <w:sz w:val="22"/>
          <w:szCs w:val="22"/>
        </w:rPr>
      </w:pPr>
    </w:p>
    <w:p>
      <w:pPr>
        <w:spacing w:after="40"/>
        <w:ind w:left="3600" w:hanging="2880"/>
        <w:jc w:val="both"/>
        <w:rPr>
          <w:rFonts w:ascii="Cambria" w:hAnsi="Cambria"/>
          <w:b w:val="0"/>
          <w:i w:val="0"/>
          <w:sz w:val="22"/>
          <w:szCs w:val="22"/>
          <w:lang w:val="en-PH"/>
        </w:rPr>
      </w:pPr>
      <w:r>
        <w:rPr>
          <w:rFonts w:ascii="Cambria" w:hAnsi="Cambria"/>
          <w:b w:val="0"/>
          <w:i w:val="0"/>
          <w:sz w:val="22"/>
          <w:szCs w:val="22"/>
        </w:rPr>
        <w:t xml:space="preserve">Toxic Factors/Allergen(s): </w:t>
      </w:r>
      <w:r>
        <w:rPr>
          <w:rFonts w:ascii="Cambria" w:hAnsi="Cambria"/>
          <w:b w:val="0"/>
          <w:i w:val="0"/>
          <w:sz w:val="22"/>
          <w:szCs w:val="22"/>
        </w:rPr>
        <w:tab/>
      </w:r>
      <w:r>
        <w:rPr>
          <w:rFonts w:ascii="Cambria" w:hAnsi="Cambria"/>
          <w:b w:val="0"/>
          <w:i w:val="0"/>
          <w:color w:val="auto"/>
          <w:sz w:val="22"/>
          <w:szCs w:val="22"/>
          <w:lang w:val="en-PH"/>
        </w:rPr>
        <w:t>Glucosinolates, eruric acid, phenolic compounds</w:t>
      </w:r>
    </w:p>
    <w:p>
      <w:pPr>
        <w:spacing w:after="40"/>
        <w:ind w:left="1080" w:hanging="720"/>
        <w:jc w:val="both"/>
        <w:rPr>
          <w:rFonts w:ascii="Cambria" w:hAnsi="Cambria"/>
          <w:i w:val="0"/>
          <w:sz w:val="22"/>
          <w:szCs w:val="22"/>
        </w:rPr>
      </w:pPr>
    </w:p>
    <w:p>
      <w:pPr>
        <w:spacing w:after="40"/>
        <w:ind w:left="1080" w:hanging="720"/>
        <w:jc w:val="both"/>
        <w:rPr>
          <w:rFonts w:ascii="Cambria" w:hAnsi="Cambria"/>
          <w:b w:val="0"/>
          <w:i w:val="0"/>
          <w:sz w:val="22"/>
          <w:szCs w:val="22"/>
          <w:lang w:val="en-PH"/>
        </w:rPr>
      </w:pPr>
      <w:r>
        <w:rPr>
          <w:rFonts w:ascii="Cambria" w:hAnsi="Cambria"/>
          <w:i w:val="0"/>
          <w:sz w:val="22"/>
          <w:szCs w:val="22"/>
        </w:rPr>
        <w:t>Trait Description:</w:t>
      </w:r>
      <w:r>
        <w:rPr>
          <w:rFonts w:ascii="Cambria" w:hAnsi="Cambria"/>
          <w:i w:val="0"/>
          <w:sz w:val="22"/>
          <w:szCs w:val="22"/>
        </w:rPr>
        <w:tab/>
      </w:r>
      <w:r>
        <w:rPr>
          <w:rFonts w:ascii="Cambria" w:hAnsi="Cambria"/>
          <w:i w:val="0"/>
          <w:sz w:val="22"/>
          <w:szCs w:val="22"/>
        </w:rPr>
        <w:tab/>
      </w:r>
      <w:r>
        <w:rPr>
          <w:rFonts w:ascii="Cambria" w:hAnsi="Cambria"/>
          <w:b w:val="0"/>
          <w:i w:val="0"/>
          <w:sz w:val="22"/>
          <w:szCs w:val="22"/>
          <w:lang w:val="en-US"/>
        </w:rPr>
        <w:t>Gl</w:t>
      </w:r>
      <w:r>
        <w:rPr>
          <w:rFonts w:ascii="Cambria" w:hAnsi="Cambria"/>
          <w:b w:val="0"/>
          <w:i w:val="0"/>
          <w:sz w:val="22"/>
          <w:szCs w:val="22"/>
          <w:lang w:val="en-PH"/>
        </w:rPr>
        <w:t>ufosinate</w:t>
      </w:r>
      <w:r>
        <w:rPr>
          <w:rFonts w:ascii="Cambria" w:hAnsi="Cambria"/>
          <w:b w:val="0"/>
          <w:i w:val="0"/>
          <w:sz w:val="22"/>
          <w:szCs w:val="22"/>
          <w:lang w:val="en-US"/>
        </w:rPr>
        <w:t xml:space="preserve"> herbicide tolerance</w:t>
      </w:r>
      <w:r>
        <w:rPr>
          <w:rFonts w:ascii="Cambria" w:hAnsi="Cambria"/>
          <w:b w:val="0"/>
          <w:i w:val="0"/>
          <w:sz w:val="22"/>
          <w:szCs w:val="22"/>
          <w:lang w:val="en-PH"/>
        </w:rPr>
        <w:t>, fertility restoration</w:t>
      </w:r>
    </w:p>
    <w:p>
      <w:pPr>
        <w:spacing w:after="40"/>
        <w:ind w:left="1080"/>
        <w:jc w:val="both"/>
        <w:rPr>
          <w:rFonts w:ascii="Cambria" w:hAnsi="Cambria"/>
          <w:b w:val="0"/>
          <w:i w:val="0"/>
          <w:sz w:val="22"/>
          <w:szCs w:val="22"/>
        </w:rPr>
      </w:pPr>
      <w:r>
        <w:rPr>
          <w:rFonts w:ascii="Cambria" w:hAnsi="Cambria"/>
          <w:i w:val="0"/>
          <w:sz w:val="22"/>
          <w:szCs w:val="22"/>
        </w:rPr>
        <w:tab/>
      </w:r>
      <w:r>
        <w:rPr>
          <w:rFonts w:ascii="Cambria" w:hAnsi="Cambria"/>
          <w:i w:val="0"/>
          <w:sz w:val="22"/>
          <w:szCs w:val="22"/>
        </w:rPr>
        <w:tab/>
      </w:r>
    </w:p>
    <w:p>
      <w:pPr>
        <w:spacing w:after="40"/>
        <w:ind w:left="3600" w:hanging="3240"/>
        <w:jc w:val="both"/>
        <w:rPr>
          <w:rFonts w:ascii="Cambria" w:hAnsi="Cambria"/>
          <w:b w:val="0"/>
          <w:i w:val="0"/>
          <w:color w:val="auto"/>
          <w:sz w:val="22"/>
          <w:szCs w:val="22"/>
        </w:rPr>
      </w:pPr>
      <w:r>
        <w:rPr>
          <w:rFonts w:ascii="Cambria" w:hAnsi="Cambria"/>
          <w:i w:val="0"/>
          <w:sz w:val="22"/>
          <w:szCs w:val="22"/>
        </w:rPr>
        <w:t>Trait Introduction Method:</w:t>
      </w:r>
      <w:r>
        <w:rPr>
          <w:rFonts w:ascii="Cambria" w:hAnsi="Cambria"/>
          <w:i w:val="0"/>
          <w:sz w:val="22"/>
          <w:szCs w:val="22"/>
        </w:rPr>
        <w:tab/>
      </w:r>
      <w:r>
        <w:rPr>
          <w:rFonts w:ascii="Cambria" w:hAnsi="Cambria"/>
          <w:b w:val="0"/>
          <w:color w:val="auto"/>
          <w:sz w:val="22"/>
          <w:szCs w:val="22"/>
        </w:rPr>
        <w:t>Agrobacterium tumefaciens</w:t>
      </w:r>
      <w:r>
        <w:rPr>
          <w:rFonts w:ascii="Cambria" w:hAnsi="Cambria"/>
          <w:b w:val="0"/>
          <w:i w:val="0"/>
          <w:color w:val="auto"/>
          <w:sz w:val="22"/>
          <w:szCs w:val="22"/>
        </w:rPr>
        <w:t>-mediated transformation</w:t>
      </w:r>
    </w:p>
    <w:p>
      <w:pPr>
        <w:spacing w:after="40"/>
        <w:ind w:left="3600" w:hanging="3240"/>
        <w:jc w:val="both"/>
        <w:rPr>
          <w:rFonts w:ascii="Cambria" w:hAnsi="Cambria"/>
          <w:b w:val="0"/>
          <w:i w:val="0"/>
          <w:sz w:val="22"/>
          <w:szCs w:val="22"/>
        </w:rPr>
      </w:pPr>
    </w:p>
    <w:p>
      <w:pPr>
        <w:pStyle w:val="12"/>
        <w:tabs>
          <w:tab w:val="left" w:pos="3600"/>
          <w:tab w:val="left" w:pos="3690"/>
        </w:tabs>
        <w:ind w:left="3600" w:hanging="3240"/>
        <w:jc w:val="both"/>
        <w:rPr>
          <w:rFonts w:ascii="Cambria" w:hAnsi="Cambria"/>
          <w:color w:val="FF0000"/>
          <w:sz w:val="22"/>
          <w:szCs w:val="22"/>
          <w:lang w:val="en-PH"/>
        </w:rPr>
      </w:pPr>
      <w:r>
        <w:rPr>
          <w:rFonts w:ascii="Cambria" w:hAnsi="Cambria"/>
          <w:b/>
          <w:sz w:val="22"/>
          <w:szCs w:val="22"/>
        </w:rPr>
        <w:t>Donor Organisms</w:t>
      </w:r>
      <w:r>
        <w:rPr>
          <w:rFonts w:ascii="Cambria" w:hAnsi="Cambria"/>
          <w:i/>
          <w:sz w:val="22"/>
          <w:szCs w:val="22"/>
        </w:rPr>
        <w:t>:</w:t>
      </w:r>
      <w:r>
        <w:rPr>
          <w:rFonts w:ascii="Cambria" w:hAnsi="Cambria"/>
          <w:b/>
          <w:i/>
          <w:sz w:val="22"/>
          <w:szCs w:val="22"/>
        </w:rPr>
        <w:tab/>
      </w:r>
      <w:r>
        <w:rPr>
          <w:rFonts w:hint="default" w:ascii="Cambria" w:hAnsi="Cambria"/>
          <w:b w:val="0"/>
          <w:bCs/>
          <w:i/>
          <w:sz w:val="22"/>
          <w:szCs w:val="22"/>
        </w:rPr>
        <w:t>Bacilllus amyloliquefaciens</w:t>
      </w:r>
      <w:r>
        <w:rPr>
          <w:rFonts w:hint="default" w:ascii="Cambria" w:hAnsi="Cambria"/>
          <w:b w:val="0"/>
          <w:bCs/>
          <w:i/>
          <w:sz w:val="22"/>
          <w:szCs w:val="22"/>
          <w:lang w:val="en-PH"/>
        </w:rPr>
        <w:t>, Streptomyces hygroscopicus</w:t>
      </w:r>
    </w:p>
    <w:p>
      <w:pPr>
        <w:pStyle w:val="12"/>
        <w:tabs>
          <w:tab w:val="left" w:pos="3600"/>
          <w:tab w:val="left" w:pos="3690"/>
        </w:tabs>
        <w:jc w:val="both"/>
        <w:rPr>
          <w:rFonts w:ascii="Cambria" w:hAnsi="Cambria"/>
          <w:color w:val="FF0000"/>
          <w:sz w:val="22"/>
          <w:szCs w:val="22"/>
        </w:rPr>
      </w:pPr>
    </w:p>
    <w:p>
      <w:pPr>
        <w:spacing w:after="40"/>
        <w:jc w:val="both"/>
        <w:rPr>
          <w:rFonts w:ascii="Cambria" w:hAnsi="Cambria"/>
          <w:b w:val="0"/>
          <w:i w:val="0"/>
          <w:sz w:val="22"/>
          <w:szCs w:val="22"/>
        </w:rPr>
      </w:pPr>
    </w:p>
    <w:p>
      <w:pPr>
        <w:spacing w:before="120" w:after="120"/>
        <w:ind w:left="3600" w:hanging="3600"/>
        <w:jc w:val="both"/>
        <w:rPr>
          <w:rFonts w:hint="default" w:ascii="Cambria" w:hAnsi="Cambria"/>
          <w:b w:val="0"/>
          <w:i w:val="0"/>
          <w:sz w:val="22"/>
          <w:szCs w:val="22"/>
        </w:rPr>
      </w:pPr>
      <w:r>
        <w:rPr>
          <w:rFonts w:ascii="Cambria" w:hAnsi="Cambria"/>
          <w:i w:val="0"/>
          <w:sz w:val="22"/>
          <w:szCs w:val="22"/>
        </w:rPr>
        <w:t xml:space="preserve">        Pathogenicity:</w:t>
      </w:r>
      <w:r>
        <w:rPr>
          <w:rFonts w:ascii="Cambria" w:hAnsi="Cambria"/>
          <w:b w:val="0"/>
          <w:i w:val="0"/>
          <w:sz w:val="22"/>
          <w:szCs w:val="22"/>
        </w:rPr>
        <w:tab/>
      </w:r>
      <w:r>
        <w:rPr>
          <w:rFonts w:hint="default" w:ascii="Cambria" w:hAnsi="Cambria"/>
          <w:b w:val="0"/>
          <w:i/>
          <w:iCs/>
          <w:sz w:val="22"/>
          <w:szCs w:val="22"/>
          <w:lang w:val="en-PH"/>
        </w:rPr>
        <w:t>bar</w:t>
      </w:r>
      <w:r>
        <w:rPr>
          <w:rFonts w:hint="default" w:ascii="Cambria" w:hAnsi="Cambria"/>
          <w:b w:val="0"/>
          <w:i w:val="0"/>
          <w:sz w:val="22"/>
          <w:szCs w:val="22"/>
        </w:rPr>
        <w:t xml:space="preserve"> eliminates herbicidal activity of glufosinate (phosphinothricin) herbicides by acetylation</w:t>
      </w:r>
    </w:p>
    <w:p>
      <w:pPr>
        <w:spacing w:before="120" w:after="120"/>
        <w:ind w:left="3600" w:leftChars="0" w:firstLine="0" w:firstLineChars="0"/>
        <w:jc w:val="both"/>
        <w:rPr>
          <w:rFonts w:hint="default" w:ascii="Cambria" w:hAnsi="Cambria"/>
          <w:b w:val="0"/>
          <w:i/>
          <w:iCs/>
          <w:sz w:val="22"/>
          <w:szCs w:val="22"/>
          <w:lang w:val="en-PH"/>
        </w:rPr>
      </w:pPr>
      <w:r>
        <w:rPr>
          <w:rFonts w:hint="default" w:ascii="Cambria" w:hAnsi="Cambria"/>
          <w:b w:val="0"/>
          <w:i/>
          <w:iCs/>
          <w:sz w:val="22"/>
          <w:szCs w:val="22"/>
          <w:lang w:val="en-PH"/>
        </w:rPr>
        <w:t xml:space="preserve">barstar  </w:t>
      </w:r>
      <w:r>
        <w:rPr>
          <w:rFonts w:hint="default" w:ascii="Cambria" w:hAnsi="Cambria"/>
          <w:b w:val="0"/>
          <w:i w:val="0"/>
          <w:iCs w:val="0"/>
          <w:sz w:val="22"/>
          <w:szCs w:val="22"/>
          <w:lang w:val="en-PH"/>
        </w:rPr>
        <w:t>restores fertility by repressing the inhibitory effect of barnase on tapetum cells of the anther</w:t>
      </w:r>
    </w:p>
    <w:p>
      <w:pPr>
        <w:spacing w:after="40"/>
        <w:jc w:val="both"/>
        <w:rPr>
          <w:rFonts w:ascii="Cambria" w:hAnsi="Cambria"/>
          <w:b w:val="0"/>
          <w:i w:val="0"/>
          <w:sz w:val="22"/>
          <w:szCs w:val="22"/>
        </w:rPr>
      </w:pPr>
    </w:p>
    <w:p>
      <w:pPr>
        <w:spacing w:after="40"/>
        <w:ind w:left="1080" w:hanging="720"/>
        <w:jc w:val="both"/>
        <w:rPr>
          <w:rFonts w:ascii="Cambria" w:hAnsi="Cambria"/>
          <w:b w:val="0"/>
          <w:i w:val="0"/>
          <w:sz w:val="22"/>
          <w:szCs w:val="22"/>
        </w:rPr>
      </w:pPr>
      <w:r>
        <w:rPr>
          <w:rFonts w:ascii="Cambria" w:hAnsi="Cambria"/>
          <w:i w:val="0"/>
          <w:sz w:val="22"/>
          <w:szCs w:val="22"/>
        </w:rPr>
        <w:t>Proposed Use:</w:t>
      </w:r>
      <w:r>
        <w:rPr>
          <w:rFonts w:ascii="Cambria" w:hAnsi="Cambria"/>
          <w:b w:val="0"/>
          <w:i w:val="0"/>
          <w:sz w:val="22"/>
          <w:szCs w:val="22"/>
        </w:rPr>
        <w:tab/>
      </w:r>
      <w:r>
        <w:rPr>
          <w:rFonts w:ascii="Cambria" w:hAnsi="Cambria"/>
          <w:b w:val="0"/>
          <w:i w:val="0"/>
          <w:sz w:val="22"/>
          <w:szCs w:val="22"/>
        </w:rPr>
        <w:tab/>
      </w:r>
      <w:r>
        <w:rPr>
          <w:rFonts w:ascii="Cambria" w:hAnsi="Cambria"/>
          <w:b w:val="0"/>
          <w:i w:val="0"/>
          <w:sz w:val="22"/>
          <w:szCs w:val="22"/>
        </w:rPr>
        <w:tab/>
      </w:r>
      <w:r>
        <w:rPr>
          <w:rFonts w:ascii="Cambria" w:hAnsi="Cambria"/>
          <w:b w:val="0"/>
          <w:i w:val="0"/>
          <w:color w:val="auto"/>
          <w:sz w:val="22"/>
          <w:szCs w:val="22"/>
        </w:rPr>
        <w:t>For direct use as food, feed or for processing</w:t>
      </w:r>
    </w:p>
    <w:p>
      <w:pPr>
        <w:spacing w:after="40"/>
        <w:jc w:val="both"/>
        <w:rPr>
          <w:rFonts w:ascii="Cambria" w:hAnsi="Cambria"/>
          <w:b w:val="0"/>
          <w:i w:val="0"/>
          <w:sz w:val="22"/>
          <w:szCs w:val="22"/>
        </w:rPr>
      </w:pPr>
    </w:p>
    <w:p>
      <w:pPr>
        <w:pStyle w:val="2"/>
        <w:tabs>
          <w:tab w:val="left" w:pos="540"/>
          <w:tab w:val="clear" w:pos="1080"/>
        </w:tabs>
        <w:spacing w:after="40"/>
        <w:ind w:left="540" w:hanging="540"/>
        <w:jc w:val="both"/>
        <w:rPr>
          <w:rFonts w:ascii="Cambria" w:hAnsi="Cambria"/>
          <w:sz w:val="22"/>
          <w:szCs w:val="22"/>
          <w:u w:val="single"/>
        </w:rPr>
      </w:pPr>
      <w:r>
        <w:rPr>
          <w:rFonts w:ascii="Cambria" w:hAnsi="Cambria"/>
          <w:sz w:val="22"/>
          <w:szCs w:val="22"/>
          <w:u w:val="single"/>
        </w:rPr>
        <w:t>Background Information</w:t>
      </w:r>
    </w:p>
    <w:p>
      <w:pPr>
        <w:spacing w:after="40"/>
        <w:jc w:val="both"/>
        <w:rPr>
          <w:rFonts w:ascii="Cambria" w:hAnsi="Cambria"/>
          <w:b w:val="0"/>
          <w:i w:val="0"/>
          <w:sz w:val="22"/>
          <w:szCs w:val="22"/>
        </w:rPr>
      </w:pPr>
    </w:p>
    <w:p>
      <w:pPr>
        <w:spacing w:after="40"/>
        <w:ind w:left="360"/>
        <w:jc w:val="both"/>
        <w:rPr>
          <w:rFonts w:hint="default" w:ascii="Cambria" w:hAnsi="Cambria"/>
          <w:b w:val="0"/>
          <w:bCs/>
          <w:i w:val="0"/>
          <w:iCs/>
          <w:sz w:val="22"/>
          <w:szCs w:val="22"/>
        </w:rPr>
      </w:pPr>
      <w:r>
        <w:rPr>
          <w:rFonts w:hint="default" w:ascii="Cambria" w:hAnsi="Cambria"/>
          <w:b w:val="0"/>
          <w:bCs/>
          <w:i w:val="0"/>
          <w:iCs/>
          <w:sz w:val="22"/>
          <w:szCs w:val="22"/>
        </w:rPr>
        <w:t xml:space="preserve">On </w:t>
      </w:r>
      <w:r>
        <w:rPr>
          <w:rFonts w:hint="default" w:ascii="Cambria" w:hAnsi="Cambria"/>
          <w:b w:val="0"/>
          <w:bCs/>
          <w:i w:val="0"/>
          <w:iCs/>
          <w:color w:val="auto"/>
          <w:sz w:val="22"/>
          <w:szCs w:val="22"/>
        </w:rPr>
        <w:t>November 22, 2016,</w:t>
      </w:r>
      <w:r>
        <w:rPr>
          <w:rFonts w:hint="default" w:ascii="Cambria" w:hAnsi="Cambria"/>
          <w:b w:val="0"/>
          <w:bCs/>
          <w:i w:val="0"/>
          <w:iCs/>
          <w:sz w:val="22"/>
          <w:szCs w:val="22"/>
        </w:rPr>
        <w:t xml:space="preserve"> Bayer CropScience Inc. submitted </w:t>
      </w:r>
      <w:r>
        <w:rPr>
          <w:rFonts w:hint="default" w:ascii="Cambria" w:hAnsi="Cambria"/>
          <w:b w:val="0"/>
          <w:bCs/>
          <w:i w:val="0"/>
          <w:iCs/>
          <w:sz w:val="22"/>
          <w:szCs w:val="22"/>
          <w:lang w:val="en-PH"/>
        </w:rPr>
        <w:t>oilseed rape RF3</w:t>
      </w:r>
      <w:r>
        <w:rPr>
          <w:rFonts w:hint="default" w:ascii="Cambria" w:hAnsi="Cambria"/>
          <w:b w:val="0"/>
          <w:bCs/>
          <w:i w:val="0"/>
          <w:iCs/>
          <w:sz w:val="22"/>
          <w:szCs w:val="22"/>
        </w:rPr>
        <w:t xml:space="preserve"> for direct use as food and feed, or for processing, as original application under the DOST-DA-DENR-DOH-DILG Joint Department Circular (JDC) No. 1 Series of 2016. </w:t>
      </w:r>
    </w:p>
    <w:p>
      <w:pPr>
        <w:spacing w:after="40"/>
        <w:ind w:left="360"/>
        <w:jc w:val="both"/>
        <w:rPr>
          <w:rFonts w:hint="default" w:ascii="Cambria" w:hAnsi="Cambria"/>
          <w:b w:val="0"/>
          <w:bCs/>
          <w:i w:val="0"/>
          <w:iCs/>
          <w:sz w:val="22"/>
          <w:szCs w:val="22"/>
        </w:rPr>
      </w:pPr>
    </w:p>
    <w:p>
      <w:pPr>
        <w:spacing w:after="40"/>
        <w:ind w:left="360"/>
        <w:jc w:val="both"/>
        <w:rPr>
          <w:rFonts w:hint="default" w:ascii="Cambria" w:hAnsi="Cambria"/>
          <w:b w:val="0"/>
          <w:bCs/>
          <w:i w:val="0"/>
          <w:iCs/>
          <w:color w:val="auto"/>
          <w:sz w:val="22"/>
          <w:szCs w:val="22"/>
          <w:lang w:val="en-PH"/>
        </w:rPr>
      </w:pPr>
      <w:r>
        <w:rPr>
          <w:rFonts w:hint="default" w:ascii="Cambria" w:hAnsi="Cambria"/>
          <w:b w:val="0"/>
          <w:bCs/>
          <w:i w:val="0"/>
          <w:iCs/>
          <w:color w:val="auto"/>
          <w:sz w:val="22"/>
          <w:szCs w:val="22"/>
          <w:lang w:val="en-PH"/>
        </w:rPr>
        <w:t>Bayer CropScience Inc., on their letter last August 22, 2018, stated that in light of their acquisition of Monsanto, Bayer AG and its affiliates signed an agreement to sell selected CropScience Businesses to BASF SE. According to the said agreement, ownership of this transformation event needs to be transferred from Bayer CropScience Inc. to BASF Philippines Inc. by changing the applicant name in all pending applications and accordingly direct future correspondences relevant to events with valid biosafety permits.</w:t>
      </w:r>
    </w:p>
    <w:p>
      <w:pPr>
        <w:spacing w:after="40"/>
        <w:ind w:left="360"/>
        <w:jc w:val="both"/>
        <w:rPr>
          <w:rFonts w:hint="default" w:ascii="Cambria" w:hAnsi="Cambria"/>
          <w:b w:val="0"/>
          <w:bCs/>
          <w:i w:val="0"/>
          <w:iCs/>
          <w:sz w:val="22"/>
          <w:szCs w:val="22"/>
          <w:lang w:val="en-PH"/>
        </w:rPr>
      </w:pPr>
    </w:p>
    <w:p>
      <w:pPr>
        <w:spacing w:after="40"/>
        <w:ind w:left="360"/>
        <w:jc w:val="both"/>
        <w:rPr>
          <w:rFonts w:hint="default" w:ascii="Cambria" w:hAnsi="Cambria"/>
          <w:b w:val="0"/>
          <w:bCs/>
          <w:i w:val="0"/>
          <w:iCs/>
          <w:sz w:val="22"/>
          <w:szCs w:val="22"/>
        </w:rPr>
      </w:pPr>
      <w:r>
        <w:rPr>
          <w:rFonts w:hint="default" w:ascii="Cambria" w:hAnsi="Cambria"/>
          <w:b w:val="0"/>
          <w:bCs/>
          <w:i w:val="0"/>
          <w:iCs/>
          <w:sz w:val="22"/>
          <w:szCs w:val="22"/>
        </w:rPr>
        <w:t xml:space="preserve">After reviewing the Risk Assessment Report and attachments submitted by the applicant, the assessors namely: Scientific and Technical Review Panel (STRP), BPI Plant Products Safety Services Division (BPI-PPSSD) and Bureau of Animal Industry- Biotech Team (BAI-BT), concurred that </w:t>
      </w:r>
      <w:r>
        <w:rPr>
          <w:rFonts w:hint="default" w:ascii="Cambria" w:hAnsi="Cambria"/>
          <w:b w:val="0"/>
          <w:bCs/>
          <w:i w:val="0"/>
          <w:iCs/>
          <w:sz w:val="22"/>
          <w:szCs w:val="22"/>
          <w:lang w:val="en-PH"/>
        </w:rPr>
        <w:t>oilseed rape RF3</w:t>
      </w:r>
      <w:r>
        <w:rPr>
          <w:rFonts w:hint="default" w:ascii="Cambria" w:hAnsi="Cambria"/>
          <w:b w:val="0"/>
          <w:bCs/>
          <w:i w:val="0"/>
          <w:iCs/>
          <w:sz w:val="22"/>
          <w:szCs w:val="22"/>
        </w:rPr>
        <w:t xml:space="preserve"> is as safe for human food and animal feed as its conventional counterpart.</w:t>
      </w:r>
    </w:p>
    <w:p>
      <w:pPr>
        <w:spacing w:after="40"/>
        <w:ind w:left="360"/>
        <w:jc w:val="both"/>
        <w:rPr>
          <w:rFonts w:hint="default" w:ascii="Cambria" w:hAnsi="Cambria"/>
          <w:b w:val="0"/>
          <w:bCs/>
          <w:i w:val="0"/>
          <w:iCs/>
          <w:sz w:val="22"/>
          <w:szCs w:val="22"/>
        </w:rPr>
      </w:pPr>
    </w:p>
    <w:p>
      <w:pPr>
        <w:spacing w:after="40"/>
        <w:ind w:left="360"/>
        <w:jc w:val="both"/>
        <w:rPr>
          <w:rFonts w:hint="default" w:ascii="Cambria" w:hAnsi="Cambria"/>
          <w:b w:val="0"/>
          <w:bCs/>
          <w:i w:val="0"/>
          <w:iCs/>
          <w:sz w:val="22"/>
          <w:szCs w:val="22"/>
        </w:rPr>
      </w:pPr>
      <w:r>
        <w:rPr>
          <w:rFonts w:hint="default" w:ascii="Cambria" w:hAnsi="Cambria"/>
          <w:b w:val="0"/>
          <w:bCs/>
          <w:i w:val="0"/>
          <w:iCs/>
          <w:sz w:val="22"/>
          <w:szCs w:val="22"/>
        </w:rPr>
        <w:t xml:space="preserve">The Department of Environment and Natural Resources – Biosafety Committee (DENR-BC), after a thorough scientific review and evaluation of the documents related to Environmental Risk along with the submitted sworn statement and accountability of the proponent, recommended the issuance of a biosafety permit for this regulated event provided the conditions set by DENR are complied.  </w:t>
      </w:r>
    </w:p>
    <w:p>
      <w:pPr>
        <w:spacing w:after="40"/>
        <w:ind w:left="360"/>
        <w:jc w:val="both"/>
        <w:rPr>
          <w:rFonts w:hint="default" w:ascii="Cambria" w:hAnsi="Cambria"/>
          <w:b w:val="0"/>
          <w:bCs/>
          <w:i w:val="0"/>
          <w:iCs/>
          <w:sz w:val="22"/>
          <w:szCs w:val="22"/>
        </w:rPr>
      </w:pPr>
    </w:p>
    <w:p>
      <w:pPr>
        <w:spacing w:after="40"/>
        <w:ind w:left="360"/>
        <w:jc w:val="both"/>
        <w:rPr>
          <w:rFonts w:hint="default" w:ascii="Cambria" w:hAnsi="Cambria"/>
          <w:b w:val="0"/>
          <w:bCs/>
          <w:i w:val="0"/>
          <w:iCs/>
          <w:sz w:val="22"/>
          <w:szCs w:val="22"/>
        </w:rPr>
      </w:pPr>
      <w:r>
        <w:rPr>
          <w:rFonts w:hint="default" w:ascii="Cambria" w:hAnsi="Cambria"/>
          <w:b w:val="0"/>
          <w:bCs/>
          <w:i w:val="0"/>
          <w:iCs/>
          <w:sz w:val="22"/>
          <w:szCs w:val="22"/>
        </w:rPr>
        <w:t xml:space="preserve">Also, the Department of Health – Biosafety Committee (DOH-BC), after a thorough scientific review and evaluation of documents related to Environmental Health Impact, concluded that </w:t>
      </w:r>
      <w:r>
        <w:rPr>
          <w:rFonts w:hint="default" w:ascii="Cambria" w:hAnsi="Cambria"/>
          <w:b w:val="0"/>
          <w:bCs/>
          <w:i w:val="0"/>
          <w:iCs/>
          <w:sz w:val="22"/>
          <w:szCs w:val="22"/>
          <w:lang w:val="en-PH"/>
        </w:rPr>
        <w:t>oilseed rape RF3</w:t>
      </w:r>
      <w:r>
        <w:rPr>
          <w:rFonts w:hint="default" w:ascii="Cambria" w:hAnsi="Cambria"/>
          <w:b w:val="0"/>
          <w:bCs/>
          <w:i w:val="0"/>
          <w:iCs/>
          <w:sz w:val="22"/>
          <w:szCs w:val="22"/>
        </w:rPr>
        <w:t xml:space="preserve"> will not pose any significant risk to the health and environment and that any hazards could be managed by the measures set by the department. DOH-BC also recommended for the issuance of biosafety permit for </w:t>
      </w:r>
      <w:r>
        <w:rPr>
          <w:rFonts w:hint="default" w:ascii="Cambria" w:hAnsi="Cambria"/>
          <w:b w:val="0"/>
          <w:bCs/>
          <w:i w:val="0"/>
          <w:iCs/>
          <w:sz w:val="22"/>
          <w:szCs w:val="22"/>
          <w:lang w:val="en-PH"/>
        </w:rPr>
        <w:t>oilseed rape RF3</w:t>
      </w:r>
      <w:r>
        <w:rPr>
          <w:rFonts w:hint="default" w:ascii="Cambria" w:hAnsi="Cambria"/>
          <w:b w:val="0"/>
          <w:bCs/>
          <w:i w:val="0"/>
          <w:iCs/>
          <w:sz w:val="22"/>
          <w:szCs w:val="22"/>
        </w:rPr>
        <w:t>.</w:t>
      </w:r>
    </w:p>
    <w:p>
      <w:pPr>
        <w:spacing w:after="40"/>
        <w:ind w:left="360"/>
        <w:jc w:val="both"/>
        <w:rPr>
          <w:rFonts w:hint="default" w:ascii="Cambria" w:hAnsi="Cambria"/>
          <w:b w:val="0"/>
          <w:bCs/>
          <w:i w:val="0"/>
          <w:iCs/>
          <w:sz w:val="22"/>
          <w:szCs w:val="22"/>
        </w:rPr>
      </w:pPr>
    </w:p>
    <w:p>
      <w:pPr>
        <w:spacing w:after="40"/>
        <w:ind w:left="360"/>
        <w:jc w:val="both"/>
        <w:rPr>
          <w:rFonts w:ascii="Cambria" w:hAnsi="Cambria"/>
          <w:b w:val="0"/>
          <w:bCs/>
          <w:i w:val="0"/>
          <w:iCs/>
          <w:sz w:val="22"/>
          <w:szCs w:val="22"/>
        </w:rPr>
      </w:pPr>
      <w:r>
        <w:rPr>
          <w:rFonts w:hint="default" w:ascii="Cambria" w:hAnsi="Cambria"/>
          <w:b w:val="0"/>
          <w:bCs/>
          <w:i w:val="0"/>
          <w:iCs/>
          <w:sz w:val="22"/>
          <w:szCs w:val="22"/>
        </w:rPr>
        <w:t>Furthermore, the Socio-economic, Ethical and Cultural (SEC) Considerations expert also recommended for the issuance of biosafety permit for this regulated article after assessing the socio-economic, social and ethical indicators for the adoption of Genetically Modified Organisms.</w:t>
      </w:r>
    </w:p>
    <w:p>
      <w:pPr>
        <w:spacing w:after="40"/>
        <w:ind w:left="360"/>
        <w:jc w:val="both"/>
        <w:rPr>
          <w:rFonts w:ascii="Cambria" w:hAnsi="Cambria"/>
          <w:b w:val="0"/>
          <w:i w:val="0"/>
          <w:color w:val="FF0000"/>
          <w:sz w:val="22"/>
          <w:szCs w:val="22"/>
        </w:rPr>
      </w:pPr>
    </w:p>
    <w:p>
      <w:pPr>
        <w:spacing w:after="40"/>
        <w:ind w:left="360"/>
        <w:jc w:val="both"/>
        <w:rPr>
          <w:rFonts w:ascii="Cambria" w:hAnsi="Cambria"/>
          <w:b w:val="0"/>
          <w:i w:val="0"/>
          <w:color w:val="auto"/>
          <w:sz w:val="22"/>
          <w:szCs w:val="22"/>
        </w:rPr>
      </w:pPr>
      <w:r>
        <w:rPr>
          <w:rFonts w:ascii="Cambria" w:hAnsi="Cambria"/>
          <w:b w:val="0"/>
          <w:i w:val="0"/>
          <w:color w:val="auto"/>
          <w:sz w:val="22"/>
          <w:szCs w:val="22"/>
        </w:rPr>
        <w:t xml:space="preserve">The DA-Biosafety Committee evaluated the assessment of all agencies including the SEC experts and recommended for the approval of the said application. </w:t>
      </w:r>
    </w:p>
    <w:p>
      <w:pPr>
        <w:spacing w:after="40"/>
        <w:ind w:left="360"/>
        <w:jc w:val="both"/>
        <w:rPr>
          <w:rFonts w:ascii="Cambria" w:hAnsi="Cambria"/>
          <w:b w:val="0"/>
          <w:i w:val="0"/>
          <w:sz w:val="22"/>
          <w:szCs w:val="22"/>
        </w:rPr>
      </w:pPr>
    </w:p>
    <w:p>
      <w:pPr>
        <w:spacing w:after="40"/>
        <w:jc w:val="both"/>
        <w:rPr>
          <w:rFonts w:ascii="Cambria" w:hAnsi="Cambria"/>
          <w:i w:val="0"/>
          <w:sz w:val="22"/>
          <w:szCs w:val="22"/>
        </w:rPr>
      </w:pPr>
      <w:r>
        <w:rPr>
          <w:rFonts w:ascii="Cambria" w:hAnsi="Cambria"/>
          <w:i w:val="0"/>
          <w:sz w:val="22"/>
          <w:szCs w:val="22"/>
        </w:rPr>
        <w:t>Food and Feed Safety</w:t>
      </w:r>
    </w:p>
    <w:p>
      <w:pPr>
        <w:spacing w:after="40"/>
        <w:jc w:val="both"/>
        <w:rPr>
          <w:rFonts w:ascii="Cambria" w:hAnsi="Cambria"/>
          <w:i w:val="0"/>
          <w:sz w:val="22"/>
          <w:szCs w:val="22"/>
        </w:rPr>
      </w:pPr>
    </w:p>
    <w:p>
      <w:pPr>
        <w:pStyle w:val="2"/>
        <w:numPr>
          <w:ilvl w:val="0"/>
          <w:numId w:val="2"/>
        </w:numPr>
        <w:tabs>
          <w:tab w:val="left" w:pos="540"/>
          <w:tab w:val="clear" w:pos="1080"/>
        </w:tabs>
        <w:spacing w:after="40"/>
        <w:ind w:hanging="1080"/>
        <w:jc w:val="both"/>
        <w:rPr>
          <w:rFonts w:ascii="Cambria" w:hAnsi="Cambria"/>
          <w:sz w:val="22"/>
          <w:szCs w:val="22"/>
          <w:u w:val="single"/>
        </w:rPr>
      </w:pPr>
      <w:r>
        <w:rPr>
          <w:rFonts w:ascii="Cambria" w:hAnsi="Cambria"/>
          <w:sz w:val="22"/>
          <w:szCs w:val="22"/>
          <w:u w:val="single"/>
        </w:rPr>
        <w:t xml:space="preserve">Description of Novel (Introduced) Traits </w:t>
      </w:r>
    </w:p>
    <w:p>
      <w:pPr>
        <w:spacing w:after="40"/>
        <w:ind w:left="543"/>
        <w:jc w:val="both"/>
        <w:rPr>
          <w:rFonts w:ascii="Cambria" w:hAnsi="Cambria"/>
          <w:b w:val="0"/>
          <w:i w:val="0"/>
          <w:sz w:val="22"/>
          <w:szCs w:val="22"/>
        </w:rPr>
      </w:pPr>
    </w:p>
    <w:p>
      <w:pPr>
        <w:spacing w:after="40"/>
        <w:ind w:left="417"/>
        <w:jc w:val="both"/>
        <w:rPr>
          <w:rFonts w:hint="default" w:ascii="Cambria" w:hAnsi="Cambria"/>
          <w:b w:val="0"/>
          <w:i w:val="0"/>
          <w:color w:val="auto"/>
          <w:sz w:val="22"/>
          <w:szCs w:val="22"/>
        </w:rPr>
      </w:pPr>
      <w:r>
        <w:rPr>
          <w:rFonts w:hint="default" w:ascii="Cambria" w:hAnsi="Cambria"/>
          <w:b w:val="0"/>
          <w:i w:val="0"/>
          <w:color w:val="auto"/>
          <w:sz w:val="22"/>
          <w:szCs w:val="22"/>
        </w:rPr>
        <w:t>RF3 oilseed rape contains a fertility restorer gene barstar from Bacillus amyloliquefaciens which encodes for the ribonuclease inhibitor Barstar. Barstar can form a one-to-one complex with Barnase in a male sterile line so the hybrid progeny will develop normally and rendered male fertile. RF3 oilseed rape also contains the bar gene from Streptomyces hygroscopicus which encodes for phosphinothricin acetyltransferase (PAT) conferring tolerance to herbicides containing glufosinate-ammonium.</w:t>
      </w:r>
    </w:p>
    <w:p>
      <w:pPr>
        <w:spacing w:after="40"/>
        <w:ind w:left="417"/>
        <w:jc w:val="both"/>
        <w:rPr>
          <w:rFonts w:ascii="Cambria" w:hAnsi="Cambria"/>
          <w:b w:val="0"/>
          <w:i w:val="0"/>
          <w:sz w:val="22"/>
          <w:szCs w:val="22"/>
        </w:rPr>
      </w:pPr>
      <w:r>
        <w:rPr>
          <w:rFonts w:ascii="Cambria" w:hAnsi="Cambria"/>
          <w:b w:val="0"/>
          <w:i w:val="0"/>
          <w:sz w:val="22"/>
          <w:szCs w:val="22"/>
        </w:rPr>
        <w:t xml:space="preserve"> </w:t>
      </w:r>
    </w:p>
    <w:p>
      <w:pPr>
        <w:pStyle w:val="3"/>
        <w:spacing w:after="40"/>
        <w:ind w:left="417" w:firstLine="663"/>
        <w:jc w:val="both"/>
        <w:rPr>
          <w:rFonts w:ascii="Cambria" w:hAnsi="Cambria"/>
          <w:sz w:val="22"/>
          <w:szCs w:val="22"/>
        </w:rPr>
      </w:pPr>
      <w:r>
        <w:rPr>
          <w:rFonts w:ascii="Cambria" w:hAnsi="Cambria"/>
          <w:sz w:val="22"/>
          <w:szCs w:val="22"/>
        </w:rPr>
        <w:t>Safety of the Expressed Proteins</w:t>
      </w:r>
    </w:p>
    <w:p>
      <w:pPr>
        <w:spacing w:after="40"/>
        <w:ind w:left="360"/>
        <w:jc w:val="both"/>
        <w:rPr>
          <w:rFonts w:ascii="Cambria" w:hAnsi="Cambria"/>
          <w:b w:val="0"/>
          <w:i w:val="0"/>
          <w:color w:val="FF0000"/>
          <w:sz w:val="22"/>
          <w:szCs w:val="22"/>
        </w:rPr>
      </w:pPr>
    </w:p>
    <w:p>
      <w:pPr>
        <w:spacing w:after="40"/>
        <w:ind w:left="360"/>
        <w:jc w:val="both"/>
        <w:rPr>
          <w:rFonts w:hint="default" w:ascii="Cambria" w:hAnsi="Cambria"/>
          <w:b w:val="0"/>
          <w:i w:val="0"/>
          <w:color w:val="auto"/>
          <w:sz w:val="22"/>
          <w:szCs w:val="22"/>
        </w:rPr>
      </w:pPr>
      <w:r>
        <w:rPr>
          <w:rFonts w:hint="default" w:ascii="Cambria" w:hAnsi="Cambria"/>
          <w:b w:val="0"/>
          <w:i w:val="0"/>
          <w:color w:val="auto"/>
          <w:sz w:val="22"/>
          <w:szCs w:val="22"/>
        </w:rPr>
        <w:t>Safety assessments conducted on RF3 oilseed rape demonstrate no potential effects on human and animal health and the environment. Barstar in RF3 is expressed selectively in the tapetum during anther development therefore no exposure is expected to the Barstar protein for animals or humans. The PAT protein has well understood activity, substrate specificity and share similar structural and functional properties with the class of acetyltransferase proteins that are widely distributed in nature. The PAT proteins share no sequence homology with known allergens and toxins and are not stable in digestive environments. An acute gavage study in mice found no adverse effects from exposure to a high oral dose of the PAT protein. The donor organisms, the introduced genes and the expressed proteins are widely distributed in nature and ubiquitous in the environment.</w:t>
      </w:r>
    </w:p>
    <w:p>
      <w:pPr>
        <w:spacing w:after="40"/>
        <w:ind w:left="360"/>
        <w:jc w:val="both"/>
        <w:rPr>
          <w:rFonts w:hint="default" w:ascii="Cambria" w:hAnsi="Cambria"/>
          <w:b w:val="0"/>
          <w:i w:val="0"/>
          <w:color w:val="auto"/>
          <w:sz w:val="22"/>
          <w:szCs w:val="22"/>
        </w:rPr>
      </w:pPr>
    </w:p>
    <w:p>
      <w:pPr>
        <w:pStyle w:val="2"/>
        <w:tabs>
          <w:tab w:val="left" w:pos="540"/>
          <w:tab w:val="clear" w:pos="1080"/>
        </w:tabs>
        <w:spacing w:after="40"/>
        <w:ind w:hanging="1080"/>
        <w:jc w:val="both"/>
        <w:rPr>
          <w:rFonts w:ascii="Cambria" w:hAnsi="Cambria"/>
          <w:sz w:val="22"/>
          <w:szCs w:val="22"/>
          <w:u w:val="single"/>
        </w:rPr>
      </w:pPr>
      <w:r>
        <w:rPr>
          <w:rFonts w:ascii="Cambria" w:hAnsi="Cambria"/>
          <w:sz w:val="22"/>
          <w:szCs w:val="22"/>
          <w:u w:val="single"/>
        </w:rPr>
        <w:t>Nutritional Composition (Compositional Analysis)</w:t>
      </w:r>
    </w:p>
    <w:p>
      <w:pPr>
        <w:spacing w:after="40"/>
        <w:ind w:left="360"/>
        <w:jc w:val="both"/>
        <w:rPr>
          <w:rFonts w:ascii="Cambria" w:hAnsi="Cambria"/>
          <w:b w:val="0"/>
          <w:i w:val="0"/>
          <w:sz w:val="22"/>
          <w:szCs w:val="22"/>
        </w:rPr>
      </w:pPr>
    </w:p>
    <w:p>
      <w:pPr>
        <w:spacing w:after="40"/>
        <w:ind w:left="360"/>
        <w:jc w:val="both"/>
        <w:rPr>
          <w:rFonts w:hint="default" w:ascii="Cambria" w:hAnsi="Cambria" w:cs="Tahoma"/>
          <w:b w:val="0"/>
          <w:i w:val="0"/>
          <w:color w:val="auto"/>
          <w:sz w:val="22"/>
          <w:szCs w:val="22"/>
        </w:rPr>
      </w:pPr>
      <w:r>
        <w:rPr>
          <w:rFonts w:hint="default" w:ascii="Cambria" w:hAnsi="Cambria" w:cs="Tahoma"/>
          <w:b w:val="0"/>
          <w:i w:val="0"/>
          <w:color w:val="auto"/>
          <w:sz w:val="22"/>
          <w:szCs w:val="22"/>
          <w:lang w:val="en-PH"/>
        </w:rPr>
        <w:t>P</w:t>
      </w:r>
      <w:r>
        <w:rPr>
          <w:rFonts w:hint="default" w:ascii="Cambria" w:hAnsi="Cambria" w:cs="Tahoma"/>
          <w:b w:val="0"/>
          <w:i w:val="0"/>
          <w:color w:val="auto"/>
          <w:sz w:val="22"/>
          <w:szCs w:val="22"/>
        </w:rPr>
        <w:t>roximate and fiber compounds in seeds from transgenic RF3 and non-transgenic counterpart plants ranges from commercial Canola hybrids and references ranges from literature are presented. Similarly, the table of micro-nutrients, anti-nutrients and amino acids in seeds is also presented.</w:t>
      </w:r>
    </w:p>
    <w:p>
      <w:pPr>
        <w:spacing w:after="40"/>
        <w:ind w:left="360"/>
        <w:jc w:val="both"/>
        <w:rPr>
          <w:rFonts w:hint="default" w:ascii="Cambria" w:hAnsi="Cambria" w:cs="Tahoma"/>
          <w:b w:val="0"/>
          <w:i w:val="0"/>
          <w:color w:val="auto"/>
          <w:sz w:val="22"/>
          <w:szCs w:val="22"/>
        </w:rPr>
      </w:pPr>
    </w:p>
    <w:p>
      <w:pPr>
        <w:spacing w:after="40"/>
        <w:ind w:left="360"/>
        <w:jc w:val="both"/>
        <w:rPr>
          <w:rFonts w:hint="default" w:ascii="Cambria" w:hAnsi="Cambria" w:cs="Tahoma"/>
          <w:b w:val="0"/>
          <w:i w:val="0"/>
          <w:color w:val="auto"/>
          <w:sz w:val="22"/>
          <w:szCs w:val="22"/>
        </w:rPr>
      </w:pPr>
      <w:r>
        <w:rPr>
          <w:rFonts w:hint="default" w:ascii="Cambria" w:hAnsi="Cambria" w:cs="Tahoma"/>
          <w:b w:val="0"/>
          <w:i w:val="0"/>
          <w:color w:val="auto"/>
          <w:sz w:val="22"/>
          <w:szCs w:val="22"/>
        </w:rPr>
        <w:t>Assessment of substantial equivalence conducted showed that glufosinate tolerant B. napus transformation Event RF3 is compositionally and nutritional equivalent to its non-transgenic counterpart in the same hybrid background and to commercial B. napus hybrids currently in the market. Based on statistical evaluation of results, it was concluded that there is no impact on the nutritional value of the B. napus seeds as a result of genetic modification.</w:t>
      </w:r>
    </w:p>
    <w:p>
      <w:pPr>
        <w:spacing w:after="40"/>
        <w:ind w:left="360"/>
        <w:jc w:val="both"/>
        <w:rPr>
          <w:rFonts w:hint="default" w:ascii="Cambria" w:hAnsi="Cambria" w:cs="Tahoma"/>
          <w:b w:val="0"/>
          <w:i w:val="0"/>
          <w:color w:val="auto"/>
          <w:sz w:val="22"/>
          <w:szCs w:val="22"/>
        </w:rPr>
      </w:pPr>
    </w:p>
    <w:p>
      <w:pPr>
        <w:pStyle w:val="2"/>
        <w:tabs>
          <w:tab w:val="left" w:pos="900"/>
          <w:tab w:val="clear" w:pos="1080"/>
        </w:tabs>
        <w:ind w:left="630" w:hanging="810"/>
        <w:rPr>
          <w:rFonts w:asciiTheme="majorHAnsi" w:hAnsiTheme="majorHAnsi"/>
          <w:sz w:val="22"/>
          <w:szCs w:val="22"/>
          <w:u w:val="single"/>
        </w:rPr>
      </w:pPr>
      <w:r>
        <w:rPr>
          <w:rFonts w:asciiTheme="majorHAnsi" w:hAnsiTheme="majorHAnsi"/>
          <w:sz w:val="22"/>
          <w:szCs w:val="22"/>
          <w:u w:val="single"/>
        </w:rPr>
        <w:t>Anti-Nutritional Factors</w:t>
      </w:r>
    </w:p>
    <w:p>
      <w:pPr>
        <w:spacing w:after="40"/>
        <w:rPr>
          <w:rFonts w:ascii="Cambria" w:hAnsi="Cambria"/>
          <w:sz w:val="22"/>
          <w:szCs w:val="22"/>
        </w:rPr>
      </w:pPr>
    </w:p>
    <w:p>
      <w:pPr>
        <w:spacing w:after="40"/>
        <w:ind w:left="360"/>
        <w:jc w:val="both"/>
        <w:rPr>
          <w:rFonts w:hint="default" w:ascii="Cambria" w:hAnsi="Cambria"/>
          <w:b w:val="0"/>
          <w:i w:val="0"/>
          <w:color w:val="auto"/>
          <w:sz w:val="22"/>
          <w:szCs w:val="22"/>
        </w:rPr>
      </w:pPr>
      <w:r>
        <w:rPr>
          <w:rFonts w:hint="default" w:ascii="Cambria" w:hAnsi="Cambria"/>
          <w:b w:val="0"/>
          <w:i w:val="0"/>
          <w:color w:val="auto"/>
          <w:sz w:val="22"/>
          <w:szCs w:val="22"/>
        </w:rPr>
        <w:t>Some anti-nutrients are present in low erucic acid rapeseed meal like glucosinolates, sinapine, tannins and phytic acid in very small amount, hence not considered a health concern for man and animals. Glucosinolates, considered toxicants, are low to zero. While these may be considered “toxicants” the bioactive compound may also be beneficial in cases of the Brassica species, e.g., cabbage, which is considered in phytomedicine as “anti-cancer.”</w:t>
      </w:r>
    </w:p>
    <w:p>
      <w:pPr>
        <w:spacing w:after="40"/>
        <w:ind w:left="360"/>
        <w:jc w:val="both"/>
        <w:rPr>
          <w:rFonts w:hint="default" w:ascii="Cambria" w:hAnsi="Cambria"/>
          <w:b w:val="0"/>
          <w:i w:val="0"/>
          <w:color w:val="auto"/>
          <w:sz w:val="22"/>
          <w:szCs w:val="22"/>
        </w:rPr>
      </w:pPr>
    </w:p>
    <w:p>
      <w:pPr>
        <w:spacing w:after="40"/>
        <w:ind w:left="360"/>
        <w:jc w:val="both"/>
        <w:rPr>
          <w:rFonts w:hint="default" w:ascii="Cambria" w:hAnsi="Cambria"/>
          <w:b w:val="0"/>
          <w:i w:val="0"/>
          <w:color w:val="auto"/>
          <w:sz w:val="22"/>
          <w:szCs w:val="22"/>
        </w:rPr>
      </w:pPr>
      <w:r>
        <w:rPr>
          <w:rFonts w:hint="default" w:ascii="Cambria" w:hAnsi="Cambria"/>
          <w:b w:val="0"/>
          <w:i w:val="0"/>
          <w:color w:val="auto"/>
          <w:sz w:val="22"/>
          <w:szCs w:val="22"/>
        </w:rPr>
        <w:t>Allergy to plants of Brassica species have been seen to have a shared sensitivity to other food allergens and is likely to be from other food allergens than from Brassica. The overall risk is very low as an allergen.</w:t>
      </w:r>
    </w:p>
    <w:p>
      <w:pPr>
        <w:spacing w:after="40"/>
        <w:ind w:left="360"/>
        <w:jc w:val="both"/>
        <w:rPr>
          <w:rFonts w:ascii="Cambria" w:hAnsi="Cambria"/>
          <w:sz w:val="22"/>
          <w:szCs w:val="22"/>
          <w:u w:val="single"/>
        </w:rPr>
      </w:pPr>
      <w:r>
        <w:rPr>
          <w:rFonts w:ascii="Cambria" w:hAnsi="Cambria"/>
          <w:b w:val="0"/>
          <w:i w:val="0"/>
          <w:sz w:val="22"/>
          <w:szCs w:val="22"/>
          <w:lang w:val="en-PH" w:eastAsia="en-PH"/>
        </w:rPr>
        <mc:AlternateContent>
          <mc:Choice Requires="wps">
            <w:drawing>
              <wp:anchor distT="0" distB="0" distL="114300" distR="114300" simplePos="0" relativeHeight="251658240" behindDoc="0" locked="0" layoutInCell="1" allowOverlap="1">
                <wp:simplePos x="0" y="0"/>
                <wp:positionH relativeFrom="column">
                  <wp:posOffset>-229235</wp:posOffset>
                </wp:positionH>
                <wp:positionV relativeFrom="paragraph">
                  <wp:posOffset>1905</wp:posOffset>
                </wp:positionV>
                <wp:extent cx="6673215" cy="0"/>
                <wp:effectExtent l="8890" t="13335" r="13970" b="5715"/>
                <wp:wrapNone/>
                <wp:docPr id="2" name="AutoShape 2"/>
                <wp:cNvGraphicFramePr/>
                <a:graphic xmlns:a="http://schemas.openxmlformats.org/drawingml/2006/main">
                  <a:graphicData uri="http://schemas.microsoft.com/office/word/2010/wordprocessingShape">
                    <wps:wsp>
                      <wps:cNvCnPr>
                        <a:cxnSpLocks noChangeShapeType="1"/>
                      </wps:cNvCnPr>
                      <wps:spPr bwMode="auto">
                        <a:xfrm>
                          <a:off x="0" y="0"/>
                          <a:ext cx="6673215"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18.05pt;margin-top:0.15pt;height:0pt;width:525.45pt;z-index:251658240;mso-width-relative:page;mso-height-relative:page;" filled="f" stroked="t" coordsize="21600,21600" o:gfxdata="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slsDNQAAAAGAQAADwAAAAAAAAABACAAAAAiAAAAZHJzL2Rvd25yZXYueG1sUEsBAhQAFAAA&#10;AAgAh07iQJBF1ly6AQAAZAMAAA4AAAAAAAAAAQAgAAAAIwEAAGRycy9lMm9Eb2MueG1sUEsFBgAA&#10;AAAGAAYAWQEAAE8FAAAAAA==&#10;">
                <v:fill on="f" focussize="0,0"/>
                <v:stroke color="#000000" joinstyle="round"/>
                <v:imagedata o:title=""/>
                <o:lock v:ext="edit" aspectratio="f"/>
              </v:shape>
            </w:pict>
          </mc:Fallback>
        </mc:AlternateContent>
      </w:r>
    </w:p>
    <w:p>
      <w:pPr>
        <w:spacing w:after="40"/>
        <w:ind w:left="90"/>
        <w:jc w:val="both"/>
        <w:rPr>
          <w:rFonts w:ascii="Cambria" w:hAnsi="Cambria"/>
          <w:i w:val="0"/>
          <w:sz w:val="22"/>
          <w:szCs w:val="22"/>
        </w:rPr>
      </w:pPr>
      <w:r>
        <w:rPr>
          <w:rFonts w:ascii="Cambria" w:hAnsi="Cambria"/>
          <w:i w:val="0"/>
          <w:sz w:val="22"/>
          <w:szCs w:val="22"/>
        </w:rPr>
        <w:t>Environmental Risk Assessment</w:t>
      </w:r>
    </w:p>
    <w:p>
      <w:pPr>
        <w:spacing w:after="40"/>
        <w:rPr>
          <w:rFonts w:ascii="Cambria" w:hAnsi="Cambria"/>
          <w:sz w:val="22"/>
          <w:szCs w:val="22"/>
        </w:rPr>
      </w:pPr>
    </w:p>
    <w:p>
      <w:pPr>
        <w:spacing w:after="40"/>
        <w:ind w:left="360"/>
        <w:jc w:val="both"/>
        <w:rPr>
          <w:rFonts w:ascii="Cambria" w:hAnsi="Cambria"/>
          <w:b w:val="0"/>
          <w:i w:val="0"/>
          <w:color w:val="auto"/>
          <w:sz w:val="22"/>
          <w:szCs w:val="22"/>
        </w:rPr>
      </w:pPr>
      <w:r>
        <w:rPr>
          <w:rFonts w:ascii="Cambria" w:hAnsi="Cambria"/>
          <w:b w:val="0"/>
          <w:i w:val="0"/>
          <w:color w:val="auto"/>
          <w:sz w:val="22"/>
          <w:szCs w:val="22"/>
        </w:rPr>
        <w:t xml:space="preserve">After a thorough scientific review and evaluation of the documents provided by the Bureau of Plant Industry (BPI) to the DENR Biosafety Committee within the prescribed period pursuant to the Joint Department Circular (JDC) No. 1 S 2016 on the application of </w:t>
      </w:r>
      <w:r>
        <w:rPr>
          <w:rFonts w:ascii="Cambria" w:hAnsi="Cambria"/>
          <w:b w:val="0"/>
          <w:i w:val="0"/>
          <w:color w:val="auto"/>
          <w:sz w:val="22"/>
          <w:szCs w:val="22"/>
          <w:lang w:val="en-PH"/>
        </w:rPr>
        <w:t>BASF</w:t>
      </w:r>
      <w:r>
        <w:rPr>
          <w:rFonts w:ascii="Cambria" w:hAnsi="Cambria"/>
          <w:b w:val="0"/>
          <w:i w:val="0"/>
          <w:color w:val="auto"/>
          <w:sz w:val="22"/>
          <w:szCs w:val="22"/>
        </w:rPr>
        <w:t xml:space="preserve"> Philippines Inc. for direct use for feed, food or processing of Genetically Modified </w:t>
      </w:r>
      <w:r>
        <w:rPr>
          <w:rFonts w:ascii="Cambria" w:hAnsi="Cambria"/>
          <w:b w:val="0"/>
          <w:i w:val="0"/>
          <w:color w:val="auto"/>
          <w:sz w:val="22"/>
          <w:szCs w:val="22"/>
          <w:lang w:val="en-PH"/>
        </w:rPr>
        <w:t>oilseed rape</w:t>
      </w:r>
      <w:r>
        <w:rPr>
          <w:rFonts w:ascii="Cambria" w:hAnsi="Cambria"/>
          <w:b w:val="0"/>
          <w:i w:val="0"/>
          <w:color w:val="auto"/>
          <w:sz w:val="22"/>
          <w:szCs w:val="22"/>
        </w:rPr>
        <w:t xml:space="preserve"> with single-trait product </w:t>
      </w:r>
      <w:r>
        <w:rPr>
          <w:rFonts w:ascii="Cambria" w:hAnsi="Cambria"/>
          <w:b w:val="0"/>
          <w:i w:val="0"/>
          <w:color w:val="auto"/>
          <w:sz w:val="22"/>
          <w:szCs w:val="22"/>
          <w:lang w:val="en-PH"/>
        </w:rPr>
        <w:t>RF3</w:t>
      </w:r>
      <w:r>
        <w:rPr>
          <w:rFonts w:ascii="Cambria" w:hAnsi="Cambria"/>
          <w:b w:val="0"/>
          <w:i w:val="0"/>
          <w:color w:val="auto"/>
          <w:sz w:val="22"/>
          <w:szCs w:val="22"/>
        </w:rPr>
        <w:t>, along with the submitted sworn statement and accountability of the proponent, a biosafety permit may be issued to the proponent if the conditions set by DENR are followed.</w:t>
      </w:r>
    </w:p>
    <w:p>
      <w:pPr>
        <w:spacing w:after="40"/>
        <w:ind w:left="360"/>
        <w:jc w:val="both"/>
        <w:rPr>
          <w:rFonts w:ascii="Cambria" w:hAnsi="Cambria"/>
          <w:b w:val="0"/>
          <w:i w:val="0"/>
          <w:sz w:val="22"/>
          <w:szCs w:val="22"/>
        </w:rPr>
      </w:pPr>
    </w:p>
    <w:p>
      <w:pPr>
        <w:spacing w:after="40"/>
        <w:ind w:left="90"/>
        <w:jc w:val="both"/>
        <w:rPr>
          <w:rFonts w:ascii="Cambria" w:hAnsi="Cambria"/>
          <w:b w:val="0"/>
          <w:i w:val="0"/>
          <w:sz w:val="22"/>
          <w:szCs w:val="22"/>
        </w:rPr>
      </w:pPr>
      <w:r>
        <w:rPr>
          <w:rFonts w:ascii="Cambria" w:hAnsi="Cambria"/>
          <w:i w:val="0"/>
          <w:sz w:val="22"/>
          <w:szCs w:val="22"/>
        </w:rPr>
        <w:t>Environmental Health Risk Assessment</w:t>
      </w:r>
    </w:p>
    <w:p>
      <w:pPr>
        <w:spacing w:after="40"/>
        <w:rPr>
          <w:rFonts w:ascii="Cambria" w:hAnsi="Cambria"/>
          <w:sz w:val="22"/>
          <w:szCs w:val="22"/>
        </w:rPr>
      </w:pPr>
    </w:p>
    <w:p>
      <w:pPr>
        <w:spacing w:after="40"/>
        <w:ind w:left="360"/>
        <w:jc w:val="both"/>
        <w:rPr>
          <w:rFonts w:ascii="Cambria" w:hAnsi="Cambria"/>
          <w:b w:val="0"/>
          <w:i w:val="0"/>
          <w:color w:val="auto"/>
          <w:sz w:val="22"/>
          <w:szCs w:val="22"/>
        </w:rPr>
      </w:pPr>
      <w:r>
        <w:rPr>
          <w:rFonts w:ascii="Cambria" w:hAnsi="Cambria"/>
          <w:b w:val="0"/>
          <w:i w:val="0"/>
          <w:color w:val="auto"/>
          <w:sz w:val="22"/>
          <w:szCs w:val="22"/>
        </w:rPr>
        <w:t>After a thorough scientific review and evaluation of the documents, DOH find sufficient evidence that the regulated article applied for direct use will not pose any significant risk to health and environment and that any hazards could be managed by the measures set by DOH.</w:t>
      </w:r>
    </w:p>
    <w:p>
      <w:pPr>
        <w:spacing w:after="40"/>
        <w:ind w:left="360"/>
        <w:jc w:val="both"/>
        <w:rPr>
          <w:rFonts w:ascii="Cambria" w:hAnsi="Cambria"/>
          <w:sz w:val="22"/>
          <w:szCs w:val="22"/>
          <w:u w:val="single"/>
        </w:rPr>
      </w:pPr>
      <w:r>
        <w:rPr>
          <w:rFonts w:ascii="Cambria" w:hAnsi="Cambria"/>
          <w:b w:val="0"/>
          <w:i w:val="0"/>
          <w:sz w:val="22"/>
          <w:szCs w:val="22"/>
          <w:lang w:val="en-PH" w:eastAsia="en-PH"/>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84455</wp:posOffset>
                </wp:positionV>
                <wp:extent cx="6673215" cy="0"/>
                <wp:effectExtent l="13970" t="13970" r="8890" b="5080"/>
                <wp:wrapNone/>
                <wp:docPr id="1" name="AutoShape 3"/>
                <wp:cNvGraphicFramePr/>
                <a:graphic xmlns:a="http://schemas.openxmlformats.org/drawingml/2006/main">
                  <a:graphicData uri="http://schemas.microsoft.com/office/word/2010/wordprocessingShape">
                    <wps:wsp>
                      <wps:cNvCnPr>
                        <a:cxnSpLocks noChangeShapeType="1"/>
                      </wps:cNvCnPr>
                      <wps:spPr bwMode="auto">
                        <a:xfrm>
                          <a:off x="0" y="0"/>
                          <a:ext cx="6673215" cy="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margin-left:-26.65pt;margin-top:6.65pt;height:0pt;width:525.45pt;z-index:251659264;mso-width-relative:page;mso-height-relative:page;" filled="f" stroked="t" coordsize="21600,21600" o:gfxdata="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yxodcAAAAJAQAADwAAAAAAAAABACAAAAAiAAAAZHJzL2Rvd25yZXYueG1sUEsBAhQA&#10;FAAAAAgAh07iQBZaahK6AQAAZAMAAA4AAAAAAAAAAQAgAAAAJgEAAGRycy9lMm9Eb2MueG1sUEsF&#10;BgAAAAAGAAYAWQEAAFIFAAAAAA==&#10;">
                <v:fill on="f" focussize="0,0"/>
                <v:stroke color="#000000" joinstyle="round"/>
                <v:imagedata o:title=""/>
                <o:lock v:ext="edit" aspectratio="f"/>
              </v:shape>
            </w:pict>
          </mc:Fallback>
        </mc:AlternateContent>
      </w:r>
    </w:p>
    <w:p>
      <w:pPr>
        <w:spacing w:after="40"/>
        <w:ind w:left="360"/>
        <w:jc w:val="both"/>
        <w:rPr>
          <w:rFonts w:ascii="Cambria" w:hAnsi="Cambria"/>
          <w:sz w:val="22"/>
          <w:szCs w:val="22"/>
          <w:u w:val="single"/>
        </w:rPr>
      </w:pPr>
    </w:p>
    <w:p>
      <w:pPr>
        <w:spacing w:after="40"/>
        <w:ind w:left="90"/>
        <w:jc w:val="both"/>
        <w:rPr>
          <w:rFonts w:ascii="Cambria" w:hAnsi="Cambria"/>
          <w:i w:val="0"/>
          <w:sz w:val="22"/>
          <w:szCs w:val="22"/>
        </w:rPr>
      </w:pPr>
      <w:r>
        <w:rPr>
          <w:rFonts w:ascii="Cambria" w:hAnsi="Cambria"/>
          <w:i w:val="0"/>
          <w:sz w:val="22"/>
          <w:szCs w:val="22"/>
        </w:rPr>
        <w:t>Socio-economic. Ethical and Cultural Impact Assessment</w:t>
      </w:r>
    </w:p>
    <w:p>
      <w:pPr>
        <w:spacing w:after="40"/>
        <w:rPr>
          <w:rFonts w:ascii="Cambria" w:hAnsi="Cambria"/>
          <w:sz w:val="22"/>
          <w:szCs w:val="22"/>
        </w:rPr>
      </w:pPr>
    </w:p>
    <w:p>
      <w:pPr>
        <w:spacing w:after="40"/>
        <w:ind w:left="356" w:leftChars="198" w:firstLine="2" w:firstLineChars="0"/>
        <w:jc w:val="both"/>
        <w:rPr>
          <w:rFonts w:hint="default" w:ascii="Cambria" w:hAnsi="Cambria"/>
          <w:b w:val="0"/>
          <w:i w:val="0"/>
          <w:color w:val="auto"/>
          <w:sz w:val="22"/>
          <w:szCs w:val="22"/>
        </w:rPr>
      </w:pPr>
      <w:r>
        <w:rPr>
          <w:rFonts w:hint="default" w:ascii="Cambria" w:hAnsi="Cambria"/>
          <w:b w:val="0"/>
          <w:i w:val="0"/>
          <w:color w:val="auto"/>
          <w:sz w:val="22"/>
          <w:szCs w:val="22"/>
        </w:rPr>
        <w:t>Patterns in utilization as food and feed, and for processing as well as patterns in trade are not expected to be drastically changed by the issuance of the biosafety permit. Based on Risk Assessment Form submitted by the applicant and a scientific opinion adopted on 15 October 2017 by the European Food and Safety Au</w:t>
      </w:r>
      <w:bookmarkStart w:id="0" w:name="_GoBack"/>
      <w:bookmarkEnd w:id="0"/>
      <w:r>
        <w:rPr>
          <w:rFonts w:hint="default" w:ascii="Cambria" w:hAnsi="Cambria"/>
          <w:b w:val="0"/>
          <w:i w:val="0"/>
          <w:color w:val="auto"/>
          <w:sz w:val="22"/>
          <w:szCs w:val="22"/>
        </w:rPr>
        <w:t>thority (EFSA), there is “no evidence ... for new hazards, modified exposure of scientific uncertainties that would change the conclusions of the original risk assessment on oilseed rape MS8, RF3 and MS8xRF3.</w:t>
      </w:r>
    </w:p>
    <w:p>
      <w:pPr>
        <w:spacing w:after="40"/>
        <w:jc w:val="both"/>
        <w:rPr>
          <w:rFonts w:hint="default" w:ascii="Cambria" w:hAnsi="Cambria"/>
          <w:b w:val="0"/>
          <w:i w:val="0"/>
          <w:color w:val="auto"/>
          <w:sz w:val="22"/>
          <w:szCs w:val="22"/>
        </w:rPr>
      </w:pPr>
    </w:p>
    <w:p>
      <w:pPr>
        <w:spacing w:after="40"/>
        <w:ind w:left="356" w:leftChars="198" w:firstLine="2" w:firstLineChars="0"/>
        <w:jc w:val="both"/>
        <w:rPr>
          <w:rFonts w:hint="default" w:ascii="Cambria" w:hAnsi="Cambria"/>
          <w:b w:val="0"/>
          <w:i w:val="0"/>
          <w:color w:val="auto"/>
          <w:sz w:val="22"/>
          <w:szCs w:val="22"/>
        </w:rPr>
      </w:pPr>
      <w:r>
        <w:rPr>
          <w:rFonts w:hint="default" w:ascii="Cambria" w:hAnsi="Cambria"/>
          <w:b w:val="0"/>
          <w:i w:val="0"/>
          <w:color w:val="auto"/>
          <w:sz w:val="22"/>
          <w:szCs w:val="22"/>
        </w:rPr>
        <w:t>Therefore, the SEC Expert recommended for the approval and issuance of biosafety permit of the said GM product.</w:t>
      </w:r>
    </w:p>
    <w:p>
      <w:pPr>
        <w:spacing w:after="40"/>
        <w:jc w:val="both"/>
        <w:rPr>
          <w:rFonts w:hint="default" w:ascii="Cambria" w:hAnsi="Cambria"/>
          <w:b w:val="0"/>
          <w:i w:val="0"/>
          <w:sz w:val="22"/>
          <w:szCs w:val="22"/>
        </w:rPr>
      </w:pPr>
    </w:p>
    <w:p>
      <w:pPr>
        <w:spacing w:after="40"/>
        <w:ind w:left="90"/>
        <w:jc w:val="both"/>
        <w:rPr>
          <w:rFonts w:ascii="Cambria" w:hAnsi="Cambria"/>
          <w:i w:val="0"/>
          <w:sz w:val="22"/>
          <w:szCs w:val="22"/>
        </w:rPr>
      </w:pPr>
      <w:r>
        <w:rPr>
          <w:rFonts w:ascii="Cambria" w:hAnsi="Cambria"/>
          <w:i w:val="0"/>
          <w:sz w:val="22"/>
          <w:szCs w:val="22"/>
        </w:rPr>
        <w:t>Regulatory Decision</w:t>
      </w:r>
    </w:p>
    <w:p>
      <w:pPr>
        <w:pStyle w:val="5"/>
        <w:spacing w:after="40"/>
        <w:ind w:left="360"/>
        <w:rPr>
          <w:rFonts w:ascii="Cambria" w:hAnsi="Cambria"/>
          <w:sz w:val="22"/>
          <w:szCs w:val="22"/>
        </w:rPr>
      </w:pPr>
    </w:p>
    <w:p>
      <w:pPr>
        <w:spacing w:after="40"/>
        <w:ind w:left="360"/>
        <w:jc w:val="both"/>
        <w:rPr>
          <w:color w:val="auto"/>
          <w:sz w:val="22"/>
          <w:szCs w:val="22"/>
        </w:rPr>
      </w:pPr>
      <w:r>
        <w:rPr>
          <w:rFonts w:ascii="Cambria" w:hAnsi="Cambria"/>
          <w:b w:val="0"/>
          <w:i w:val="0"/>
          <w:color w:val="auto"/>
          <w:sz w:val="22"/>
          <w:szCs w:val="22"/>
        </w:rPr>
        <w:t xml:space="preserve">Based on the results of the risk evaluation of the submitted scientific data and other information relevant to the application of </w:t>
      </w:r>
      <w:r>
        <w:rPr>
          <w:rFonts w:ascii="Cambria" w:hAnsi="Cambria"/>
          <w:b w:val="0"/>
          <w:i w:val="0"/>
          <w:color w:val="auto"/>
          <w:sz w:val="22"/>
          <w:szCs w:val="22"/>
          <w:lang w:val="en-PH"/>
        </w:rPr>
        <w:t>BASF</w:t>
      </w:r>
      <w:r>
        <w:rPr>
          <w:rFonts w:ascii="Cambria" w:hAnsi="Cambria"/>
          <w:b w:val="0"/>
          <w:i w:val="0"/>
          <w:color w:val="auto"/>
          <w:sz w:val="22"/>
          <w:szCs w:val="22"/>
        </w:rPr>
        <w:t xml:space="preserve"> Philippines Inc., it is concluded that </w:t>
      </w:r>
      <w:r>
        <w:rPr>
          <w:rFonts w:ascii="Cambria" w:hAnsi="Cambria"/>
          <w:b w:val="0"/>
          <w:i w:val="0"/>
          <w:color w:val="auto"/>
          <w:sz w:val="22"/>
          <w:szCs w:val="22"/>
          <w:lang w:val="en-PH"/>
        </w:rPr>
        <w:t>oilseed rape RF3</w:t>
      </w:r>
      <w:r>
        <w:rPr>
          <w:rFonts w:ascii="Cambria" w:hAnsi="Cambria"/>
          <w:b w:val="0"/>
          <w:i w:val="0"/>
          <w:color w:val="auto"/>
          <w:sz w:val="22"/>
          <w:szCs w:val="22"/>
        </w:rPr>
        <w:t xml:space="preserve">, and all progenies derived from crosses of the product with any conventionally-bred </w:t>
      </w:r>
      <w:r>
        <w:rPr>
          <w:rFonts w:ascii="Cambria" w:hAnsi="Cambria"/>
          <w:b w:val="0"/>
          <w:i w:val="0"/>
          <w:color w:val="auto"/>
          <w:sz w:val="22"/>
          <w:szCs w:val="22"/>
          <w:lang w:val="en-PH"/>
        </w:rPr>
        <w:t>oilseed rape</w:t>
      </w:r>
      <w:r>
        <w:rPr>
          <w:rFonts w:ascii="Cambria" w:hAnsi="Cambria"/>
          <w:b w:val="0"/>
          <w:i w:val="0"/>
          <w:color w:val="auto"/>
          <w:sz w:val="22"/>
          <w:szCs w:val="22"/>
        </w:rPr>
        <w:t xml:space="preserve">, and </w:t>
      </w:r>
      <w:r>
        <w:rPr>
          <w:rFonts w:ascii="Cambria" w:hAnsi="Cambria"/>
          <w:b w:val="0"/>
          <w:i w:val="0"/>
          <w:color w:val="auto"/>
          <w:sz w:val="22"/>
          <w:szCs w:val="22"/>
          <w:lang w:val="en-PH"/>
        </w:rPr>
        <w:t>oilseed rape</w:t>
      </w:r>
      <w:r>
        <w:rPr>
          <w:rFonts w:ascii="Cambria" w:hAnsi="Cambria"/>
          <w:b w:val="0"/>
          <w:i w:val="0"/>
          <w:color w:val="auto"/>
          <w:sz w:val="22"/>
          <w:szCs w:val="22"/>
        </w:rPr>
        <w:t xml:space="preserve"> containing approved-biotech events for direct use as food, feed or for processing,  is as safe and substantially equivalent to its unmodified counterpart, and is therefore approved for direct use as food, feed or for processing. </w:t>
      </w:r>
      <w:r>
        <w:rPr>
          <w:rFonts w:ascii="Cambria" w:hAnsi="Cambria"/>
          <w:b w:val="0"/>
          <w:i w:val="0"/>
          <w:color w:val="auto"/>
          <w:sz w:val="22"/>
          <w:szCs w:val="22"/>
          <w:lang w:val="en-PH"/>
        </w:rPr>
        <w:t>BASF</w:t>
      </w:r>
      <w:r>
        <w:rPr>
          <w:rFonts w:ascii="Cambria" w:hAnsi="Cambria"/>
          <w:b w:val="0"/>
          <w:i w:val="0"/>
          <w:color w:val="auto"/>
          <w:sz w:val="22"/>
          <w:szCs w:val="22"/>
        </w:rPr>
        <w:t xml:space="preserve"> Philippines Inc. shall duly inform the public of this approval by way of publishing in any one (1) of the top three (3) leading newspapers in the country that import of this product is covered by conditions for approval as provided in the Biosafety Permit.</w:t>
      </w:r>
    </w:p>
    <w:p>
      <w:pPr>
        <w:spacing w:after="40"/>
        <w:jc w:val="both"/>
        <w:rPr>
          <w:rFonts w:ascii="Cambria" w:hAnsi="Cambria"/>
          <w:sz w:val="22"/>
          <w:szCs w:val="22"/>
        </w:rPr>
      </w:pPr>
    </w:p>
    <w:p>
      <w:pPr>
        <w:rPr>
          <w:sz w:val="22"/>
          <w:szCs w:val="22"/>
        </w:rPr>
      </w:pPr>
    </w:p>
    <w:sectPr>
      <w:pgSz w:w="12240" w:h="15840"/>
      <w:pgMar w:top="1440" w:right="1170" w:bottom="1152"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onotype Corsiva">
    <w:altName w:val="Mongolian Baiti"/>
    <w:panose1 w:val="03010101010201010101"/>
    <w:charset w:val="00"/>
    <w:family w:val="script"/>
    <w:pitch w:val="default"/>
    <w:sig w:usb0="00000000" w:usb1="00000000" w:usb2="00000000" w:usb3="00000000" w:csb0="000000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6A8D"/>
    <w:multiLevelType w:val="multilevel"/>
    <w:tmpl w:val="35536A8D"/>
    <w:lvl w:ilvl="0" w:tentative="0">
      <w:start w:val="1"/>
      <w:numFmt w:val="upperRoman"/>
      <w:pStyle w:val="2"/>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95"/>
    <w:rsid w:val="0001106B"/>
    <w:rsid w:val="00075564"/>
    <w:rsid w:val="00082777"/>
    <w:rsid w:val="000F1BBD"/>
    <w:rsid w:val="0011728C"/>
    <w:rsid w:val="00191282"/>
    <w:rsid w:val="00193A4F"/>
    <w:rsid w:val="001F4DE6"/>
    <w:rsid w:val="00204ACE"/>
    <w:rsid w:val="0022418C"/>
    <w:rsid w:val="00264D1D"/>
    <w:rsid w:val="002B64A0"/>
    <w:rsid w:val="002C2579"/>
    <w:rsid w:val="002D4DC8"/>
    <w:rsid w:val="0034714D"/>
    <w:rsid w:val="0035740F"/>
    <w:rsid w:val="003B2619"/>
    <w:rsid w:val="00401EED"/>
    <w:rsid w:val="00434C6B"/>
    <w:rsid w:val="00444CEE"/>
    <w:rsid w:val="0047636A"/>
    <w:rsid w:val="00476714"/>
    <w:rsid w:val="00493947"/>
    <w:rsid w:val="004B1A65"/>
    <w:rsid w:val="005312AC"/>
    <w:rsid w:val="00583495"/>
    <w:rsid w:val="005D7DCE"/>
    <w:rsid w:val="005F05C0"/>
    <w:rsid w:val="005F1448"/>
    <w:rsid w:val="00611F85"/>
    <w:rsid w:val="00643883"/>
    <w:rsid w:val="006A05C5"/>
    <w:rsid w:val="006D75E2"/>
    <w:rsid w:val="00717DF7"/>
    <w:rsid w:val="00735584"/>
    <w:rsid w:val="007756B8"/>
    <w:rsid w:val="007A6A94"/>
    <w:rsid w:val="00826EBA"/>
    <w:rsid w:val="008F125F"/>
    <w:rsid w:val="008F7E4C"/>
    <w:rsid w:val="0092443B"/>
    <w:rsid w:val="00984E75"/>
    <w:rsid w:val="00986C01"/>
    <w:rsid w:val="009F4CF3"/>
    <w:rsid w:val="00A020AE"/>
    <w:rsid w:val="00A32BC4"/>
    <w:rsid w:val="00A50E41"/>
    <w:rsid w:val="00A679C1"/>
    <w:rsid w:val="00A75243"/>
    <w:rsid w:val="00A8340E"/>
    <w:rsid w:val="00B6249C"/>
    <w:rsid w:val="00B835DC"/>
    <w:rsid w:val="00C166C4"/>
    <w:rsid w:val="00C342EE"/>
    <w:rsid w:val="00C6621F"/>
    <w:rsid w:val="00C92B6E"/>
    <w:rsid w:val="00CA59AE"/>
    <w:rsid w:val="00D009B1"/>
    <w:rsid w:val="00D05E55"/>
    <w:rsid w:val="00D1069F"/>
    <w:rsid w:val="00D12C59"/>
    <w:rsid w:val="00D603F1"/>
    <w:rsid w:val="00D67BAD"/>
    <w:rsid w:val="00D85F14"/>
    <w:rsid w:val="00D874D7"/>
    <w:rsid w:val="00DE3C59"/>
    <w:rsid w:val="00E55E06"/>
    <w:rsid w:val="00F210A2"/>
    <w:rsid w:val="00F87A1A"/>
    <w:rsid w:val="0408692A"/>
    <w:rsid w:val="059915D3"/>
    <w:rsid w:val="0C0B2F26"/>
    <w:rsid w:val="0DDF2BD8"/>
    <w:rsid w:val="131F602D"/>
    <w:rsid w:val="15E02CDD"/>
    <w:rsid w:val="1E3F4FCA"/>
    <w:rsid w:val="1F5F4592"/>
    <w:rsid w:val="23767B79"/>
    <w:rsid w:val="23F57ADE"/>
    <w:rsid w:val="35D431C8"/>
    <w:rsid w:val="3ECA22B2"/>
    <w:rsid w:val="3F09671A"/>
    <w:rsid w:val="47456C30"/>
    <w:rsid w:val="47934F4F"/>
    <w:rsid w:val="574E1976"/>
    <w:rsid w:val="5A7D2BB4"/>
    <w:rsid w:val="5D2974B7"/>
    <w:rsid w:val="61D259E9"/>
    <w:rsid w:val="6243010E"/>
    <w:rsid w:val="63597896"/>
    <w:rsid w:val="72374E6C"/>
    <w:rsid w:val="72417F70"/>
    <w:rsid w:val="731525A8"/>
    <w:rsid w:val="796A60E4"/>
    <w:rsid w:val="7E290E37"/>
  </w:rsids>
  <m:mathPr>
    <m:mathFont m:val="Cambria Math"/>
    <m:brkBin m:val="before"/>
    <m:brkBinSub m:val="--"/>
    <m:smallFrac m:val="1"/>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Monotype Corsiva" w:hAnsi="Monotype Corsiva" w:eastAsia="Times New Roman" w:cs="Times New Roman"/>
      <w:b/>
      <w:i/>
      <w:sz w:val="18"/>
      <w:szCs w:val="24"/>
      <w:lang w:val="en-US" w:eastAsia="en-US" w:bidi="ar-SA"/>
    </w:rPr>
  </w:style>
  <w:style w:type="paragraph" w:styleId="2">
    <w:name w:val="heading 2"/>
    <w:basedOn w:val="1"/>
    <w:next w:val="1"/>
    <w:link w:val="8"/>
    <w:qFormat/>
    <w:uiPriority w:val="0"/>
    <w:pPr>
      <w:keepNext/>
      <w:numPr>
        <w:ilvl w:val="0"/>
        <w:numId w:val="1"/>
      </w:numPr>
      <w:outlineLvl w:val="1"/>
    </w:pPr>
    <w:rPr>
      <w:rFonts w:ascii="Times New Roman" w:hAnsi="Times New Roman"/>
      <w:i w:val="0"/>
      <w:sz w:val="24"/>
    </w:rPr>
  </w:style>
  <w:style w:type="paragraph" w:styleId="3">
    <w:name w:val="heading 3"/>
    <w:basedOn w:val="1"/>
    <w:next w:val="1"/>
    <w:link w:val="9"/>
    <w:qFormat/>
    <w:uiPriority w:val="0"/>
    <w:pPr>
      <w:keepNext/>
      <w:ind w:left="1080"/>
      <w:outlineLvl w:val="2"/>
    </w:pPr>
    <w:rPr>
      <w:rFonts w:ascii="Times New Roman" w:hAnsi="Times New Roman"/>
      <w:i w:val="0"/>
      <w:sz w:val="24"/>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Body Text 2"/>
    <w:basedOn w:val="1"/>
    <w:link w:val="10"/>
    <w:uiPriority w:val="0"/>
    <w:pPr>
      <w:jc w:val="both"/>
    </w:pPr>
    <w:rPr>
      <w:rFonts w:ascii="Times New Roman" w:hAnsi="Times New Roman"/>
      <w:b w:val="0"/>
      <w:i w:val="0"/>
      <w:sz w:val="24"/>
    </w:rPr>
  </w:style>
  <w:style w:type="paragraph" w:styleId="5">
    <w:name w:val="Body Text Indent"/>
    <w:basedOn w:val="1"/>
    <w:link w:val="11"/>
    <w:uiPriority w:val="0"/>
    <w:pPr>
      <w:ind w:left="1080"/>
      <w:jc w:val="both"/>
    </w:pPr>
    <w:rPr>
      <w:rFonts w:ascii="Times New Roman" w:hAnsi="Times New Roman"/>
      <w:b w:val="0"/>
      <w:i w:val="0"/>
      <w:sz w:val="24"/>
    </w:rPr>
  </w:style>
  <w:style w:type="character" w:customStyle="1" w:styleId="8">
    <w:name w:val="Heading 2 Char"/>
    <w:basedOn w:val="6"/>
    <w:link w:val="2"/>
    <w:uiPriority w:val="0"/>
    <w:rPr>
      <w:rFonts w:ascii="Times New Roman" w:hAnsi="Times New Roman" w:eastAsia="Times New Roman" w:cs="Times New Roman"/>
      <w:b/>
      <w:sz w:val="24"/>
      <w:szCs w:val="24"/>
      <w:lang w:val="en-US"/>
    </w:rPr>
  </w:style>
  <w:style w:type="character" w:customStyle="1" w:styleId="9">
    <w:name w:val="Heading 3 Char"/>
    <w:basedOn w:val="6"/>
    <w:link w:val="3"/>
    <w:uiPriority w:val="0"/>
    <w:rPr>
      <w:rFonts w:ascii="Times New Roman" w:hAnsi="Times New Roman" w:eastAsia="Times New Roman" w:cs="Times New Roman"/>
      <w:b/>
      <w:sz w:val="24"/>
      <w:szCs w:val="24"/>
      <w:lang w:val="en-US"/>
    </w:rPr>
  </w:style>
  <w:style w:type="character" w:customStyle="1" w:styleId="10">
    <w:name w:val="Body Text 2 Char"/>
    <w:basedOn w:val="6"/>
    <w:link w:val="4"/>
    <w:uiPriority w:val="0"/>
    <w:rPr>
      <w:rFonts w:ascii="Times New Roman" w:hAnsi="Times New Roman" w:eastAsia="Times New Roman" w:cs="Times New Roman"/>
      <w:sz w:val="24"/>
      <w:szCs w:val="24"/>
      <w:lang w:val="en-US"/>
    </w:rPr>
  </w:style>
  <w:style w:type="character" w:customStyle="1" w:styleId="11">
    <w:name w:val="Body Text Indent Char"/>
    <w:basedOn w:val="6"/>
    <w:link w:val="5"/>
    <w:uiPriority w:val="0"/>
    <w:rPr>
      <w:rFonts w:ascii="Times New Roman" w:hAnsi="Times New Roman" w:eastAsia="Times New Roman" w:cs="Times New Roman"/>
      <w:sz w:val="24"/>
      <w:szCs w:val="24"/>
      <w:lang w:val="en-US"/>
    </w:rPr>
  </w:style>
  <w:style w:type="paragraph" w:styleId="12">
    <w:name w:val="No Spacing"/>
    <w:qFormat/>
    <w:uiPriority w:val="0"/>
    <w:pPr>
      <w:spacing w:after="0" w:line="240" w:lineRule="auto"/>
    </w:pPr>
    <w:rPr>
      <w:rFonts w:ascii="Times New Roman" w:hAnsi="Times New Roman" w:eastAsia="Times New Roman" w:cs="Times New Roman"/>
      <w:sz w:val="24"/>
      <w:szCs w:val="20"/>
      <w:lang w:val="en-US" w:eastAsia="en-US" w:bidi="ar-SA"/>
    </w:rPr>
  </w:style>
  <w:style w:type="paragraph" w:styleId="13">
    <w:name w:val="List Paragraph"/>
    <w:basedOn w:val="1"/>
    <w:qFormat/>
    <w:uiPriority w:val="34"/>
    <w:pPr>
      <w:ind w:left="7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1602</Words>
  <Characters>9136</Characters>
  <Lines>76</Lines>
  <Paragraphs>21</Paragraphs>
  <TotalTime>120</TotalTime>
  <ScaleCrop>false</ScaleCrop>
  <LinksUpToDate>false</LinksUpToDate>
  <CharactersWithSpaces>10717</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2018-09-21T02:14:00Z</dcterms:created>
  <dc:creator>Benjamin</dc:creator>
  <cp:lastModifiedBy>HP</cp:lastModifiedBy>
  <dcterms:modified xsi:type="dcterms:W3CDTF">2018-12-03T09:22:42Z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