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6FDFC" w14:textId="759E47D6" w:rsidR="00593BC6" w:rsidRDefault="00593BC6" w:rsidP="00593BC6">
      <w:pPr>
        <w:pStyle w:val="Kopfzeile"/>
        <w:jc w:val="center"/>
        <w:rPr>
          <w:rFonts w:ascii="Times New Roman Bold" w:hAnsi="Times New Roman Bold"/>
          <w:b/>
          <w:caps/>
          <w:sz w:val="22"/>
          <w:szCs w:val="22"/>
        </w:rPr>
      </w:pPr>
      <w:r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Pr="00C658CD">
        <w:rPr>
          <w:rFonts w:ascii="Times New Roman Bold" w:hAnsi="Times New Roman Bold"/>
          <w:b/>
          <w:caps/>
          <w:sz w:val="22"/>
          <w:szCs w:val="22"/>
        </w:rPr>
        <w:t xml:space="preserve">comments </w:t>
      </w:r>
    </w:p>
    <w:p w14:paraId="5436CA10" w14:textId="5E767C34" w:rsidR="0032155A" w:rsidRDefault="0032155A" w:rsidP="00593BC6">
      <w:pPr>
        <w:pStyle w:val="Kopfzeile"/>
        <w:jc w:val="center"/>
        <w:rPr>
          <w:rFonts w:ascii="Times New Roman Bold" w:hAnsi="Times New Roman Bold"/>
          <w:b/>
          <w:caps/>
          <w:sz w:val="22"/>
          <w:szCs w:val="22"/>
        </w:rPr>
      </w:pPr>
      <w:r>
        <w:rPr>
          <w:rFonts w:ascii="Times New Roman Bold" w:hAnsi="Times New Roman Bold"/>
          <w:b/>
          <w:caps/>
          <w:sz w:val="22"/>
          <w:szCs w:val="22"/>
        </w:rPr>
        <w:t>Technical series on synthetic biology</w:t>
      </w:r>
    </w:p>
    <w:p w14:paraId="26EA7AB3" w14:textId="77777777" w:rsidR="00D97576" w:rsidRPr="00C658CD" w:rsidRDefault="00D97576" w:rsidP="00593BC6">
      <w:pPr>
        <w:pStyle w:val="Kopfzeile"/>
        <w:jc w:val="center"/>
        <w:rPr>
          <w:rFonts w:ascii="Times New Roman Bold" w:hAnsi="Times New Roman Bold"/>
          <w:b/>
          <w:caps/>
          <w:sz w:val="22"/>
          <w:szCs w:val="22"/>
        </w:rPr>
      </w:pP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EA105F">
            <w:pPr>
              <w:rPr>
                <w:b/>
                <w:sz w:val="22"/>
                <w:szCs w:val="22"/>
              </w:rPr>
            </w:pPr>
          </w:p>
          <w:p w14:paraId="0923A0AA" w14:textId="77777777" w:rsidR="00593BC6" w:rsidRPr="00C658CD" w:rsidRDefault="00593BC6" w:rsidP="00EA105F">
            <w:pPr>
              <w:rPr>
                <w:b/>
                <w:sz w:val="22"/>
                <w:szCs w:val="22"/>
              </w:rPr>
            </w:pPr>
            <w:r w:rsidRPr="00C658CD">
              <w:rPr>
                <w:b/>
                <w:sz w:val="22"/>
                <w:szCs w:val="22"/>
              </w:rPr>
              <w:t>Contact information</w:t>
            </w:r>
          </w:p>
          <w:p w14:paraId="36D753E7" w14:textId="77777777" w:rsidR="00593BC6" w:rsidRPr="00C658CD" w:rsidRDefault="00593BC6" w:rsidP="00EA105F">
            <w:pPr>
              <w:rPr>
                <w:b/>
                <w:sz w:val="22"/>
                <w:szCs w:val="22"/>
              </w:rPr>
            </w:pPr>
          </w:p>
        </w:tc>
      </w:tr>
      <w:tr w:rsidR="00593BC6" w:rsidRPr="00C658CD" w14:paraId="399E2057" w14:textId="77777777" w:rsidTr="00EA105F">
        <w:trPr>
          <w:cantSplit/>
          <w:trHeight w:val="270"/>
        </w:trPr>
        <w:tc>
          <w:tcPr>
            <w:tcW w:w="2150" w:type="dxa"/>
            <w:gridSpan w:val="3"/>
          </w:tcPr>
          <w:p w14:paraId="7B244D40" w14:textId="77777777" w:rsidR="00593BC6" w:rsidRPr="00C658CD" w:rsidRDefault="00593BC6" w:rsidP="00EA105F">
            <w:pPr>
              <w:rPr>
                <w:b/>
                <w:sz w:val="22"/>
                <w:szCs w:val="22"/>
              </w:rPr>
            </w:pPr>
            <w:r w:rsidRPr="00C658CD">
              <w:rPr>
                <w:b/>
                <w:sz w:val="22"/>
                <w:szCs w:val="22"/>
              </w:rPr>
              <w:t>Surname:</w:t>
            </w:r>
          </w:p>
        </w:tc>
        <w:tc>
          <w:tcPr>
            <w:tcW w:w="8038" w:type="dxa"/>
          </w:tcPr>
          <w:p w14:paraId="3AB47FF8" w14:textId="48F9450C" w:rsidR="00593BC6" w:rsidRPr="00C658CD" w:rsidRDefault="007B2CD9" w:rsidP="00EA105F">
            <w:pPr>
              <w:rPr>
                <w:sz w:val="22"/>
                <w:szCs w:val="22"/>
              </w:rPr>
            </w:pPr>
            <w:r>
              <w:rPr>
                <w:sz w:val="22"/>
                <w:szCs w:val="22"/>
              </w:rPr>
              <w:t>Smola</w:t>
            </w:r>
          </w:p>
        </w:tc>
      </w:tr>
      <w:tr w:rsidR="00593BC6" w:rsidRPr="00C658CD" w14:paraId="2D70246E" w14:textId="77777777" w:rsidTr="00EA105F">
        <w:trPr>
          <w:cantSplit/>
          <w:trHeight w:val="280"/>
        </w:trPr>
        <w:tc>
          <w:tcPr>
            <w:tcW w:w="2150" w:type="dxa"/>
            <w:gridSpan w:val="3"/>
          </w:tcPr>
          <w:p w14:paraId="024B7BE1" w14:textId="77777777" w:rsidR="00593BC6" w:rsidRPr="00C658CD" w:rsidRDefault="00593BC6" w:rsidP="00EA105F">
            <w:pPr>
              <w:rPr>
                <w:b/>
                <w:sz w:val="22"/>
                <w:szCs w:val="22"/>
              </w:rPr>
            </w:pPr>
          </w:p>
        </w:tc>
        <w:tc>
          <w:tcPr>
            <w:tcW w:w="8038" w:type="dxa"/>
          </w:tcPr>
          <w:p w14:paraId="24DC2B26" w14:textId="77777777" w:rsidR="00593BC6" w:rsidRPr="00C658CD" w:rsidRDefault="00593BC6" w:rsidP="00EA105F">
            <w:pPr>
              <w:rPr>
                <w:sz w:val="22"/>
                <w:szCs w:val="22"/>
              </w:rPr>
            </w:pPr>
          </w:p>
        </w:tc>
      </w:tr>
      <w:tr w:rsidR="00593BC6" w:rsidRPr="00C658CD" w14:paraId="6960F46D" w14:textId="77777777" w:rsidTr="00EA105F">
        <w:trPr>
          <w:cantSplit/>
          <w:trHeight w:val="270"/>
        </w:trPr>
        <w:tc>
          <w:tcPr>
            <w:tcW w:w="2150" w:type="dxa"/>
            <w:gridSpan w:val="3"/>
          </w:tcPr>
          <w:p w14:paraId="42324F5A" w14:textId="77777777" w:rsidR="00593BC6" w:rsidRPr="00C658CD" w:rsidRDefault="00593BC6" w:rsidP="00EA105F">
            <w:pPr>
              <w:rPr>
                <w:b/>
                <w:sz w:val="22"/>
                <w:szCs w:val="22"/>
              </w:rPr>
            </w:pPr>
            <w:r w:rsidRPr="00C658CD">
              <w:rPr>
                <w:b/>
                <w:sz w:val="22"/>
                <w:szCs w:val="22"/>
              </w:rPr>
              <w:t>Given Name:</w:t>
            </w:r>
          </w:p>
        </w:tc>
        <w:tc>
          <w:tcPr>
            <w:tcW w:w="8038" w:type="dxa"/>
          </w:tcPr>
          <w:p w14:paraId="1F1AFCCD" w14:textId="6A4DBDB2" w:rsidR="00593BC6" w:rsidRPr="00C658CD" w:rsidRDefault="007B2CD9" w:rsidP="00EA105F">
            <w:pPr>
              <w:rPr>
                <w:sz w:val="22"/>
                <w:szCs w:val="22"/>
              </w:rPr>
            </w:pPr>
            <w:r>
              <w:rPr>
                <w:sz w:val="22"/>
                <w:szCs w:val="22"/>
              </w:rPr>
              <w:t>Sigrun</w:t>
            </w:r>
          </w:p>
        </w:tc>
      </w:tr>
      <w:tr w:rsidR="00593BC6" w:rsidRPr="00C658CD" w14:paraId="4D0E31D1" w14:textId="77777777" w:rsidTr="00EA105F">
        <w:trPr>
          <w:cantSplit/>
          <w:trHeight w:val="280"/>
        </w:trPr>
        <w:tc>
          <w:tcPr>
            <w:tcW w:w="2150" w:type="dxa"/>
            <w:gridSpan w:val="3"/>
          </w:tcPr>
          <w:p w14:paraId="478DDD07" w14:textId="77777777" w:rsidR="00593BC6" w:rsidRPr="00C658CD" w:rsidRDefault="00593BC6" w:rsidP="00EA105F">
            <w:pPr>
              <w:rPr>
                <w:b/>
                <w:sz w:val="22"/>
                <w:szCs w:val="22"/>
              </w:rPr>
            </w:pPr>
          </w:p>
        </w:tc>
        <w:tc>
          <w:tcPr>
            <w:tcW w:w="8038" w:type="dxa"/>
          </w:tcPr>
          <w:p w14:paraId="286530CF" w14:textId="77777777" w:rsidR="00593BC6" w:rsidRPr="00C658CD" w:rsidRDefault="00593BC6" w:rsidP="00EA105F">
            <w:pPr>
              <w:rPr>
                <w:sz w:val="22"/>
                <w:szCs w:val="22"/>
              </w:rPr>
            </w:pPr>
          </w:p>
        </w:tc>
      </w:tr>
      <w:tr w:rsidR="00593BC6" w:rsidRPr="00FF1A2A" w14:paraId="1C3067B8" w14:textId="77777777" w:rsidTr="00EA105F">
        <w:trPr>
          <w:cantSplit/>
          <w:trHeight w:val="270"/>
        </w:trPr>
        <w:tc>
          <w:tcPr>
            <w:tcW w:w="2150" w:type="dxa"/>
            <w:gridSpan w:val="3"/>
          </w:tcPr>
          <w:p w14:paraId="3499F6BE" w14:textId="77777777" w:rsidR="00593BC6" w:rsidRPr="00C658CD" w:rsidRDefault="00593BC6" w:rsidP="00EA105F">
            <w:pPr>
              <w:rPr>
                <w:b/>
                <w:sz w:val="22"/>
                <w:szCs w:val="22"/>
              </w:rPr>
            </w:pPr>
            <w:r w:rsidRPr="00C658CD">
              <w:rPr>
                <w:b/>
                <w:sz w:val="22"/>
                <w:szCs w:val="22"/>
              </w:rPr>
              <w:t>Government</w:t>
            </w:r>
          </w:p>
        </w:tc>
        <w:tc>
          <w:tcPr>
            <w:tcW w:w="8038" w:type="dxa"/>
          </w:tcPr>
          <w:p w14:paraId="119BAC5F" w14:textId="77777777" w:rsidR="00593BC6" w:rsidRPr="00F86F63" w:rsidRDefault="00593BC6" w:rsidP="00EA105F">
            <w:pPr>
              <w:rPr>
                <w:sz w:val="22"/>
                <w:szCs w:val="22"/>
              </w:rPr>
            </w:pPr>
          </w:p>
        </w:tc>
      </w:tr>
      <w:tr w:rsidR="00593BC6" w:rsidRPr="00C658CD" w14:paraId="590623FC" w14:textId="77777777" w:rsidTr="00EA105F">
        <w:trPr>
          <w:cantSplit/>
          <w:trHeight w:val="280"/>
        </w:trPr>
        <w:tc>
          <w:tcPr>
            <w:tcW w:w="2150" w:type="dxa"/>
            <w:gridSpan w:val="3"/>
          </w:tcPr>
          <w:p w14:paraId="0807C1F5" w14:textId="77777777" w:rsidR="00593BC6" w:rsidRPr="00C658CD" w:rsidRDefault="00593BC6" w:rsidP="00EA105F">
            <w:pPr>
              <w:rPr>
                <w:b/>
                <w:sz w:val="22"/>
                <w:szCs w:val="22"/>
              </w:rPr>
            </w:pPr>
            <w:r w:rsidRPr="00C658CD">
              <w:rPr>
                <w:b/>
                <w:sz w:val="22"/>
                <w:szCs w:val="22"/>
              </w:rPr>
              <w:t>(if applicable):</w:t>
            </w:r>
          </w:p>
        </w:tc>
        <w:tc>
          <w:tcPr>
            <w:tcW w:w="8038" w:type="dxa"/>
          </w:tcPr>
          <w:p w14:paraId="2CA88BC1" w14:textId="2DB2326B" w:rsidR="00593BC6" w:rsidRPr="00C658CD" w:rsidRDefault="00593BC6" w:rsidP="00EA105F">
            <w:pPr>
              <w:rPr>
                <w:sz w:val="22"/>
                <w:szCs w:val="22"/>
              </w:rPr>
            </w:pPr>
          </w:p>
        </w:tc>
      </w:tr>
      <w:tr w:rsidR="00593BC6" w:rsidRPr="00C658CD" w14:paraId="131D5B27" w14:textId="77777777" w:rsidTr="00EA105F">
        <w:trPr>
          <w:cantSplit/>
          <w:trHeight w:val="270"/>
        </w:trPr>
        <w:tc>
          <w:tcPr>
            <w:tcW w:w="2150" w:type="dxa"/>
            <w:gridSpan w:val="3"/>
          </w:tcPr>
          <w:p w14:paraId="5B9F4F37" w14:textId="77777777" w:rsidR="00593BC6" w:rsidRPr="00C658CD" w:rsidRDefault="00593BC6" w:rsidP="00EA105F">
            <w:pPr>
              <w:rPr>
                <w:b/>
                <w:sz w:val="22"/>
                <w:szCs w:val="22"/>
              </w:rPr>
            </w:pPr>
          </w:p>
        </w:tc>
        <w:tc>
          <w:tcPr>
            <w:tcW w:w="8038" w:type="dxa"/>
          </w:tcPr>
          <w:p w14:paraId="09AED490" w14:textId="77777777" w:rsidR="00593BC6" w:rsidRPr="00C658CD" w:rsidRDefault="00593BC6" w:rsidP="00EA105F">
            <w:pPr>
              <w:rPr>
                <w:sz w:val="22"/>
                <w:szCs w:val="22"/>
              </w:rPr>
            </w:pPr>
          </w:p>
        </w:tc>
      </w:tr>
      <w:tr w:rsidR="00593BC6" w:rsidRPr="00C658CD" w14:paraId="2C8FC01D" w14:textId="77777777" w:rsidTr="00EA105F">
        <w:trPr>
          <w:cantSplit/>
          <w:trHeight w:val="270"/>
        </w:trPr>
        <w:tc>
          <w:tcPr>
            <w:tcW w:w="2150" w:type="dxa"/>
            <w:gridSpan w:val="3"/>
          </w:tcPr>
          <w:p w14:paraId="683E9B8A" w14:textId="77777777" w:rsidR="00593BC6" w:rsidRPr="00C658CD" w:rsidRDefault="00593BC6" w:rsidP="00EA105F">
            <w:pPr>
              <w:rPr>
                <w:b/>
                <w:sz w:val="22"/>
                <w:szCs w:val="22"/>
              </w:rPr>
            </w:pPr>
            <w:r w:rsidRPr="00C658CD">
              <w:rPr>
                <w:b/>
                <w:sz w:val="22"/>
                <w:szCs w:val="22"/>
              </w:rPr>
              <w:t>Organization:</w:t>
            </w:r>
          </w:p>
        </w:tc>
        <w:tc>
          <w:tcPr>
            <w:tcW w:w="8038" w:type="dxa"/>
          </w:tcPr>
          <w:p w14:paraId="44E1FC10" w14:textId="78E7BA26" w:rsidR="00593BC6" w:rsidRPr="00C658CD" w:rsidRDefault="00140D6E" w:rsidP="00EA105F">
            <w:pPr>
              <w:rPr>
                <w:sz w:val="22"/>
                <w:szCs w:val="22"/>
              </w:rPr>
            </w:pPr>
            <w:r>
              <w:rPr>
                <w:sz w:val="22"/>
                <w:szCs w:val="22"/>
              </w:rPr>
              <w:t>German Central Committee for Biological Safety</w:t>
            </w:r>
            <w:r w:rsidR="00110342">
              <w:rPr>
                <w:sz w:val="22"/>
                <w:szCs w:val="22"/>
              </w:rPr>
              <w:t xml:space="preserve"> (ZKBS)</w:t>
            </w:r>
            <w:bookmarkStart w:id="0" w:name="_GoBack"/>
            <w:bookmarkEnd w:id="0"/>
          </w:p>
        </w:tc>
      </w:tr>
      <w:tr w:rsidR="00593BC6" w:rsidRPr="00C658CD" w14:paraId="3ED36EA3" w14:textId="77777777" w:rsidTr="00EA105F">
        <w:trPr>
          <w:cantSplit/>
          <w:trHeight w:val="233"/>
        </w:trPr>
        <w:tc>
          <w:tcPr>
            <w:tcW w:w="2150" w:type="dxa"/>
            <w:gridSpan w:val="3"/>
          </w:tcPr>
          <w:p w14:paraId="21C9EB42" w14:textId="77777777" w:rsidR="00593BC6" w:rsidRPr="00C658CD" w:rsidRDefault="00593BC6" w:rsidP="00EA105F">
            <w:pPr>
              <w:rPr>
                <w:b/>
                <w:sz w:val="22"/>
                <w:szCs w:val="22"/>
              </w:rPr>
            </w:pPr>
          </w:p>
        </w:tc>
        <w:tc>
          <w:tcPr>
            <w:tcW w:w="8038" w:type="dxa"/>
          </w:tcPr>
          <w:p w14:paraId="5A530AD5" w14:textId="77777777" w:rsidR="00593BC6" w:rsidRPr="00C658CD" w:rsidRDefault="00593BC6" w:rsidP="00EA105F">
            <w:pPr>
              <w:rPr>
                <w:sz w:val="22"/>
                <w:szCs w:val="22"/>
              </w:rPr>
            </w:pPr>
          </w:p>
        </w:tc>
      </w:tr>
      <w:tr w:rsidR="00593BC6" w:rsidRPr="00C658CD" w14:paraId="329D03C5" w14:textId="77777777" w:rsidTr="00EA105F">
        <w:trPr>
          <w:cantSplit/>
          <w:trHeight w:val="233"/>
        </w:trPr>
        <w:tc>
          <w:tcPr>
            <w:tcW w:w="2150" w:type="dxa"/>
            <w:gridSpan w:val="3"/>
          </w:tcPr>
          <w:p w14:paraId="50483436" w14:textId="77777777" w:rsidR="00593BC6" w:rsidRPr="00C658CD" w:rsidRDefault="00593BC6" w:rsidP="00EA105F">
            <w:pPr>
              <w:rPr>
                <w:b/>
                <w:sz w:val="22"/>
                <w:szCs w:val="22"/>
              </w:rPr>
            </w:pPr>
            <w:r w:rsidRPr="00C658CD">
              <w:rPr>
                <w:b/>
                <w:sz w:val="22"/>
                <w:szCs w:val="22"/>
              </w:rPr>
              <w:t>E-mail:</w:t>
            </w:r>
          </w:p>
        </w:tc>
        <w:tc>
          <w:tcPr>
            <w:tcW w:w="8038" w:type="dxa"/>
          </w:tcPr>
          <w:p w14:paraId="7D07E304" w14:textId="0EF79B56" w:rsidR="00593BC6" w:rsidRPr="00C658CD" w:rsidRDefault="007B2CD9" w:rsidP="00EA105F">
            <w:pPr>
              <w:rPr>
                <w:sz w:val="22"/>
                <w:szCs w:val="22"/>
              </w:rPr>
            </w:pPr>
            <w:r w:rsidRPr="007B2CD9">
              <w:rPr>
                <w:sz w:val="22"/>
                <w:szCs w:val="22"/>
              </w:rPr>
              <w:t>kontakt-zkbs@bvl.bund.de</w:t>
            </w:r>
          </w:p>
        </w:tc>
      </w:tr>
      <w:tr w:rsidR="00593BC6" w:rsidRPr="00C658CD" w14:paraId="59BA55E5" w14:textId="77777777" w:rsidTr="00EA105F">
        <w:trPr>
          <w:cantSplit/>
          <w:trHeight w:val="233"/>
        </w:trPr>
        <w:tc>
          <w:tcPr>
            <w:tcW w:w="2150" w:type="dxa"/>
            <w:gridSpan w:val="3"/>
          </w:tcPr>
          <w:p w14:paraId="4CA66506" w14:textId="77777777" w:rsidR="00593BC6" w:rsidRPr="00C658CD" w:rsidRDefault="00593BC6" w:rsidP="00EA105F">
            <w:pPr>
              <w:rPr>
                <w:b/>
                <w:sz w:val="22"/>
                <w:szCs w:val="22"/>
              </w:rPr>
            </w:pPr>
          </w:p>
        </w:tc>
        <w:tc>
          <w:tcPr>
            <w:tcW w:w="8038" w:type="dxa"/>
          </w:tcPr>
          <w:p w14:paraId="267E6375" w14:textId="77777777" w:rsidR="00593BC6" w:rsidRPr="00C658CD" w:rsidRDefault="00593BC6" w:rsidP="00EA105F">
            <w:pPr>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C658CD" w:rsidRDefault="00593BC6" w:rsidP="00EA105F">
            <w:pPr>
              <w:rPr>
                <w:b/>
                <w:sz w:val="22"/>
                <w:szCs w:val="22"/>
              </w:rPr>
            </w:pPr>
          </w:p>
          <w:p w14:paraId="05933792" w14:textId="14B8E253" w:rsidR="00593BC6" w:rsidRPr="00C658CD" w:rsidRDefault="00593BC6" w:rsidP="00EA105F">
            <w:pPr>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EA105F">
            <w:pPr>
              <w:rPr>
                <w:b/>
                <w:sz w:val="22"/>
                <w:szCs w:val="22"/>
              </w:rPr>
            </w:pPr>
          </w:p>
        </w:tc>
      </w:tr>
      <w:tr w:rsidR="00593BC6" w:rsidRPr="00C658CD" w14:paraId="2A5F8AC1" w14:textId="77777777" w:rsidTr="00135D96">
        <w:trPr>
          <w:cantSplit/>
          <w:trHeight w:val="233"/>
        </w:trPr>
        <w:tc>
          <w:tcPr>
            <w:tcW w:w="918" w:type="dxa"/>
          </w:tcPr>
          <w:p w14:paraId="6C0FFA1B" w14:textId="77777777" w:rsidR="00593BC6" w:rsidRPr="00C658CD" w:rsidRDefault="00593BC6" w:rsidP="00EA105F">
            <w:pPr>
              <w:rPr>
                <w:b/>
                <w:sz w:val="22"/>
                <w:szCs w:val="22"/>
              </w:rPr>
            </w:pPr>
            <w:r w:rsidRPr="00C658CD">
              <w:rPr>
                <w:b/>
                <w:sz w:val="22"/>
                <w:szCs w:val="22"/>
              </w:rPr>
              <w:t>Page</w:t>
            </w:r>
            <w:r w:rsidR="00F94D0C">
              <w:rPr>
                <w:b/>
                <w:sz w:val="22"/>
                <w:szCs w:val="22"/>
              </w:rPr>
              <w:t xml:space="preserve"> #</w:t>
            </w:r>
          </w:p>
        </w:tc>
        <w:tc>
          <w:tcPr>
            <w:tcW w:w="1125" w:type="dxa"/>
          </w:tcPr>
          <w:p w14:paraId="3BFAC210" w14:textId="77777777" w:rsidR="00593BC6" w:rsidRPr="00C658CD" w:rsidRDefault="005411E6" w:rsidP="00135D96">
            <w:pPr>
              <w:rPr>
                <w:b/>
                <w:sz w:val="22"/>
                <w:szCs w:val="22"/>
              </w:rPr>
            </w:pPr>
            <w:r>
              <w:rPr>
                <w:b/>
                <w:sz w:val="22"/>
                <w:szCs w:val="22"/>
              </w:rPr>
              <w:t xml:space="preserve">Line </w:t>
            </w:r>
            <w:r w:rsidR="00135D96">
              <w:rPr>
                <w:b/>
                <w:sz w:val="22"/>
                <w:szCs w:val="22"/>
              </w:rPr>
              <w:t>#</w:t>
            </w:r>
          </w:p>
        </w:tc>
        <w:tc>
          <w:tcPr>
            <w:tcW w:w="8145" w:type="dxa"/>
            <w:gridSpan w:val="2"/>
          </w:tcPr>
          <w:p w14:paraId="1DF3BB27" w14:textId="77777777" w:rsidR="00593BC6" w:rsidRPr="00C658CD" w:rsidRDefault="00593BC6" w:rsidP="00EA105F">
            <w:pPr>
              <w:rPr>
                <w:b/>
                <w:sz w:val="22"/>
                <w:szCs w:val="22"/>
              </w:rPr>
            </w:pPr>
            <w:r w:rsidRPr="00C658CD">
              <w:rPr>
                <w:b/>
                <w:sz w:val="22"/>
                <w:szCs w:val="22"/>
              </w:rPr>
              <w:t>Comment</w:t>
            </w:r>
          </w:p>
        </w:tc>
      </w:tr>
      <w:tr w:rsidR="00593BC6" w:rsidRPr="00F97BB4" w14:paraId="52D4B2D0" w14:textId="77777777" w:rsidTr="00135D96">
        <w:trPr>
          <w:cantSplit/>
          <w:trHeight w:val="233"/>
        </w:trPr>
        <w:tc>
          <w:tcPr>
            <w:tcW w:w="918" w:type="dxa"/>
          </w:tcPr>
          <w:p w14:paraId="2E5AE1CF" w14:textId="77777777" w:rsidR="00593BC6" w:rsidRPr="00C658CD" w:rsidRDefault="00593BC6" w:rsidP="00EA105F">
            <w:pPr>
              <w:rPr>
                <w:sz w:val="22"/>
                <w:szCs w:val="22"/>
              </w:rPr>
            </w:pPr>
            <w:r w:rsidRPr="00C658CD">
              <w:rPr>
                <w:sz w:val="22"/>
                <w:szCs w:val="22"/>
              </w:rPr>
              <w:t>0</w:t>
            </w:r>
          </w:p>
        </w:tc>
        <w:tc>
          <w:tcPr>
            <w:tcW w:w="1125" w:type="dxa"/>
          </w:tcPr>
          <w:p w14:paraId="6F9597EA" w14:textId="77777777" w:rsidR="00593BC6" w:rsidRPr="00C658CD" w:rsidRDefault="00593BC6" w:rsidP="00EA105F">
            <w:pPr>
              <w:rPr>
                <w:sz w:val="22"/>
                <w:szCs w:val="22"/>
              </w:rPr>
            </w:pPr>
            <w:r w:rsidRPr="00C658CD">
              <w:rPr>
                <w:sz w:val="22"/>
                <w:szCs w:val="22"/>
              </w:rPr>
              <w:t>0</w:t>
            </w:r>
          </w:p>
        </w:tc>
        <w:tc>
          <w:tcPr>
            <w:tcW w:w="8145" w:type="dxa"/>
            <w:gridSpan w:val="2"/>
          </w:tcPr>
          <w:p w14:paraId="0EBAE70A" w14:textId="7C5F3FD0" w:rsidR="00593BC6" w:rsidRPr="00527080" w:rsidRDefault="00527080" w:rsidP="00527080">
            <w:pPr>
              <w:rPr>
                <w:sz w:val="22"/>
                <w:szCs w:val="22"/>
              </w:rPr>
            </w:pPr>
            <w:r w:rsidRPr="00527080">
              <w:rPr>
                <w:sz w:val="22"/>
                <w:szCs w:val="22"/>
              </w:rPr>
              <w:t>1.</w:t>
            </w:r>
            <w:r>
              <w:rPr>
                <w:sz w:val="22"/>
                <w:szCs w:val="22"/>
              </w:rPr>
              <w:t xml:space="preserve"> </w:t>
            </w:r>
            <w:r w:rsidR="007B0B7A">
              <w:rPr>
                <w:sz w:val="22"/>
                <w:szCs w:val="22"/>
              </w:rPr>
              <w:t xml:space="preserve"> </w:t>
            </w:r>
            <w:r w:rsidR="00F97BB4" w:rsidRPr="00527080">
              <w:rPr>
                <w:sz w:val="22"/>
                <w:szCs w:val="22"/>
              </w:rPr>
              <w:t xml:space="preserve">The Technical Series No. 82 </w:t>
            </w:r>
            <w:r w:rsidR="00A37BA3" w:rsidRPr="00527080">
              <w:rPr>
                <w:sz w:val="22"/>
                <w:szCs w:val="22"/>
              </w:rPr>
              <w:t xml:space="preserve">tries to identify developments in synthetic biology </w:t>
            </w:r>
            <w:r w:rsidR="009E45B8" w:rsidRPr="00527080">
              <w:rPr>
                <w:sz w:val="22"/>
                <w:szCs w:val="22"/>
              </w:rPr>
              <w:t>as well as potential gaps i</w:t>
            </w:r>
            <w:r w:rsidR="00A37BA3" w:rsidRPr="00527080">
              <w:rPr>
                <w:sz w:val="22"/>
                <w:szCs w:val="22"/>
              </w:rPr>
              <w:t xml:space="preserve">n the </w:t>
            </w:r>
            <w:r w:rsidR="00196318" w:rsidRPr="00527080">
              <w:rPr>
                <w:sz w:val="22"/>
                <w:szCs w:val="22"/>
              </w:rPr>
              <w:t>regulation</w:t>
            </w:r>
            <w:r w:rsidR="00A37BA3" w:rsidRPr="00527080">
              <w:rPr>
                <w:sz w:val="22"/>
                <w:szCs w:val="22"/>
              </w:rPr>
              <w:t xml:space="preserve"> of synthetic biology. However, it is very difficult to identify</w:t>
            </w:r>
            <w:r w:rsidR="00FB67C2" w:rsidRPr="00527080">
              <w:rPr>
                <w:sz w:val="22"/>
                <w:szCs w:val="22"/>
              </w:rPr>
              <w:t xml:space="preserve"> gaps</w:t>
            </w:r>
            <w:r w:rsidR="00A37BA3" w:rsidRPr="00527080">
              <w:rPr>
                <w:sz w:val="22"/>
                <w:szCs w:val="22"/>
              </w:rPr>
              <w:t xml:space="preserve"> without a widely accepted and clear definition of synthetic biology. The operational definition used by the CBD for deliberations has not been acknowledged by the COP as there was disagreement as to whether the definition can describe synthetic biology adequately. Th</w:t>
            </w:r>
            <w:r w:rsidR="00D066E1" w:rsidRPr="00527080">
              <w:rPr>
                <w:sz w:val="22"/>
                <w:szCs w:val="22"/>
              </w:rPr>
              <w:t>is</w:t>
            </w:r>
            <w:r w:rsidR="00A37BA3" w:rsidRPr="00527080">
              <w:rPr>
                <w:sz w:val="22"/>
                <w:szCs w:val="22"/>
              </w:rPr>
              <w:t xml:space="preserve"> definition was often described as too broad </w:t>
            </w:r>
            <w:r w:rsidR="00D066E1" w:rsidRPr="00527080">
              <w:rPr>
                <w:sz w:val="22"/>
                <w:szCs w:val="22"/>
              </w:rPr>
              <w:t>and covers</w:t>
            </w:r>
            <w:r w:rsidR="003D4CD2" w:rsidRPr="00527080">
              <w:rPr>
                <w:sz w:val="22"/>
                <w:szCs w:val="22"/>
              </w:rPr>
              <w:t xml:space="preserve"> all major areas of biotechnology including also traditional research and development projects which lack the novel aims and constructive </w:t>
            </w:r>
            <w:r w:rsidR="007F60E8" w:rsidRPr="00527080">
              <w:rPr>
                <w:sz w:val="22"/>
                <w:szCs w:val="22"/>
              </w:rPr>
              <w:t>endeavours</w:t>
            </w:r>
            <w:r w:rsidR="003D4CD2" w:rsidRPr="00527080">
              <w:rPr>
                <w:sz w:val="22"/>
                <w:szCs w:val="22"/>
              </w:rPr>
              <w:t xml:space="preserve"> characteristic of synthetic biology. These conventional and other biotechnology issues are long known, often use classic gene technology and are, if applicable, </w:t>
            </w:r>
            <w:r w:rsidRPr="00527080">
              <w:rPr>
                <w:sz w:val="22"/>
                <w:szCs w:val="22"/>
              </w:rPr>
              <w:t xml:space="preserve">under the scope of the </w:t>
            </w:r>
            <w:r w:rsidR="003D4CD2" w:rsidRPr="00527080">
              <w:rPr>
                <w:sz w:val="22"/>
                <w:szCs w:val="22"/>
              </w:rPr>
              <w:t>Cartagena Protocol.</w:t>
            </w:r>
            <w:r w:rsidR="00D066E1" w:rsidRPr="00527080">
              <w:rPr>
                <w:sz w:val="22"/>
                <w:szCs w:val="22"/>
              </w:rPr>
              <w:t xml:space="preserve"> </w:t>
            </w:r>
            <w:r w:rsidR="00B27702" w:rsidRPr="00527080">
              <w:rPr>
                <w:sz w:val="22"/>
                <w:szCs w:val="22"/>
              </w:rPr>
              <w:t>The German Central</w:t>
            </w:r>
            <w:r w:rsidR="00A37BA3" w:rsidRPr="00527080">
              <w:rPr>
                <w:sz w:val="22"/>
                <w:szCs w:val="22"/>
              </w:rPr>
              <w:t xml:space="preserve"> Committee for Biological Safety (ZKBS) </w:t>
            </w:r>
            <w:r w:rsidR="00FB67C2" w:rsidRPr="00527080">
              <w:rPr>
                <w:sz w:val="22"/>
                <w:szCs w:val="22"/>
              </w:rPr>
              <w:t xml:space="preserve">substantially </w:t>
            </w:r>
            <w:r w:rsidR="00A37BA3" w:rsidRPr="00527080">
              <w:rPr>
                <w:sz w:val="22"/>
                <w:szCs w:val="22"/>
              </w:rPr>
              <w:t>shares the concerns</w:t>
            </w:r>
            <w:r w:rsidR="00D31573" w:rsidRPr="00527080">
              <w:rPr>
                <w:sz w:val="22"/>
                <w:szCs w:val="22"/>
              </w:rPr>
              <w:t xml:space="preserve"> of a too broad definition of synthetic biology</w:t>
            </w:r>
            <w:r w:rsidR="00A37BA3" w:rsidRPr="00527080">
              <w:rPr>
                <w:sz w:val="22"/>
                <w:szCs w:val="22"/>
              </w:rPr>
              <w:t xml:space="preserve">. </w:t>
            </w:r>
            <w:r w:rsidR="0094096F" w:rsidRPr="00527080">
              <w:rPr>
                <w:sz w:val="22"/>
                <w:szCs w:val="22"/>
              </w:rPr>
              <w:t xml:space="preserve">In this regard, LMOs </w:t>
            </w:r>
            <w:r w:rsidR="00E54DE6" w:rsidRPr="00527080">
              <w:rPr>
                <w:sz w:val="22"/>
                <w:szCs w:val="22"/>
              </w:rPr>
              <w:t>mentioned</w:t>
            </w:r>
            <w:r w:rsidR="003D4CD2" w:rsidRPr="00527080">
              <w:rPr>
                <w:sz w:val="22"/>
                <w:szCs w:val="22"/>
              </w:rPr>
              <w:t xml:space="preserve"> here </w:t>
            </w:r>
            <w:r w:rsidR="00A37BA3" w:rsidRPr="00527080">
              <w:rPr>
                <w:sz w:val="22"/>
                <w:szCs w:val="22"/>
              </w:rPr>
              <w:t>include</w:t>
            </w:r>
            <w:r w:rsidR="00442912" w:rsidRPr="00527080">
              <w:rPr>
                <w:sz w:val="22"/>
                <w:szCs w:val="22"/>
              </w:rPr>
              <w:t>,</w:t>
            </w:r>
            <w:r w:rsidR="00A37BA3" w:rsidRPr="00527080">
              <w:rPr>
                <w:sz w:val="22"/>
                <w:szCs w:val="22"/>
              </w:rPr>
              <w:t xml:space="preserve"> for example</w:t>
            </w:r>
            <w:r w:rsidR="00442912" w:rsidRPr="00527080">
              <w:rPr>
                <w:sz w:val="22"/>
                <w:szCs w:val="22"/>
              </w:rPr>
              <w:t>,</w:t>
            </w:r>
            <w:r w:rsidR="00A37BA3" w:rsidRPr="00527080">
              <w:rPr>
                <w:sz w:val="22"/>
                <w:szCs w:val="22"/>
              </w:rPr>
              <w:t xml:space="preserve"> genetically engineered bacteria for agriculture,</w:t>
            </w:r>
            <w:r w:rsidR="007B2CD9">
              <w:rPr>
                <w:sz w:val="22"/>
                <w:szCs w:val="22"/>
              </w:rPr>
              <w:t xml:space="preserve"> genetically engineered sorghum</w:t>
            </w:r>
            <w:r w:rsidR="00A37BA3" w:rsidRPr="00527080">
              <w:rPr>
                <w:sz w:val="22"/>
                <w:szCs w:val="22"/>
              </w:rPr>
              <w:t xml:space="preserve"> </w:t>
            </w:r>
            <w:r w:rsidR="003D4CD2" w:rsidRPr="00527080">
              <w:rPr>
                <w:sz w:val="22"/>
                <w:szCs w:val="22"/>
              </w:rPr>
              <w:t xml:space="preserve">and </w:t>
            </w:r>
            <w:r w:rsidR="00A37BA3" w:rsidRPr="00527080">
              <w:rPr>
                <w:sz w:val="22"/>
                <w:szCs w:val="22"/>
              </w:rPr>
              <w:t xml:space="preserve">oilseed rape, </w:t>
            </w:r>
            <w:r w:rsidR="0094096F" w:rsidRPr="00527080">
              <w:rPr>
                <w:sz w:val="22"/>
                <w:szCs w:val="22"/>
              </w:rPr>
              <w:t xml:space="preserve">or </w:t>
            </w:r>
            <w:r w:rsidR="00A37BA3" w:rsidRPr="00527080">
              <w:rPr>
                <w:sz w:val="22"/>
                <w:szCs w:val="22"/>
              </w:rPr>
              <w:t>genetically engineered bacteria</w:t>
            </w:r>
            <w:r w:rsidR="00442912" w:rsidRPr="00527080">
              <w:rPr>
                <w:sz w:val="22"/>
                <w:szCs w:val="22"/>
              </w:rPr>
              <w:t xml:space="preserve"> for environmental applications</w:t>
            </w:r>
            <w:r w:rsidR="00404A8A">
              <w:rPr>
                <w:sz w:val="22"/>
                <w:szCs w:val="22"/>
              </w:rPr>
              <w:t xml:space="preserve">. </w:t>
            </w:r>
            <w:r w:rsidR="00D31573" w:rsidRPr="00527080">
              <w:rPr>
                <w:sz w:val="22"/>
                <w:szCs w:val="22"/>
              </w:rPr>
              <w:t>Further, g</w:t>
            </w:r>
            <w:r w:rsidR="00442912" w:rsidRPr="00527080">
              <w:rPr>
                <w:sz w:val="22"/>
                <w:szCs w:val="22"/>
              </w:rPr>
              <w:t xml:space="preserve">enome-edited organisms cannot be considered synthetic biology, but are either exempted from GMO regulations (as decided by some Parties) or are LMOs (as decided, for example, by the EU). Furthermore, transient modification techniques such as </w:t>
            </w:r>
            <w:r w:rsidR="0094096F" w:rsidRPr="00527080">
              <w:rPr>
                <w:sz w:val="22"/>
                <w:szCs w:val="22"/>
              </w:rPr>
              <w:t>“</w:t>
            </w:r>
            <w:r w:rsidR="00442912" w:rsidRPr="00527080">
              <w:rPr>
                <w:sz w:val="22"/>
                <w:szCs w:val="22"/>
              </w:rPr>
              <w:t>RNAi sprays</w:t>
            </w:r>
            <w:r w:rsidR="0094096F" w:rsidRPr="00527080">
              <w:rPr>
                <w:sz w:val="22"/>
                <w:szCs w:val="22"/>
              </w:rPr>
              <w:t>”</w:t>
            </w:r>
            <w:r w:rsidR="00442912" w:rsidRPr="00527080">
              <w:rPr>
                <w:sz w:val="22"/>
                <w:szCs w:val="22"/>
              </w:rPr>
              <w:t xml:space="preserve"> do not </w:t>
            </w:r>
            <w:r w:rsidR="0094096F" w:rsidRPr="00527080">
              <w:rPr>
                <w:sz w:val="22"/>
                <w:szCs w:val="22"/>
              </w:rPr>
              <w:t>modify</w:t>
            </w:r>
            <w:r w:rsidR="00442912" w:rsidRPr="00527080">
              <w:rPr>
                <w:sz w:val="22"/>
                <w:szCs w:val="22"/>
              </w:rPr>
              <w:t xml:space="preserve"> an organism´s genome </w:t>
            </w:r>
            <w:r w:rsidR="00D31573" w:rsidRPr="00527080">
              <w:rPr>
                <w:sz w:val="22"/>
                <w:szCs w:val="22"/>
              </w:rPr>
              <w:t xml:space="preserve">and </w:t>
            </w:r>
            <w:r w:rsidR="00442912" w:rsidRPr="00527080">
              <w:rPr>
                <w:sz w:val="22"/>
                <w:szCs w:val="22"/>
              </w:rPr>
              <w:t>should not be considered synthetic biology</w:t>
            </w:r>
            <w:r w:rsidR="0058392A" w:rsidRPr="00527080">
              <w:rPr>
                <w:sz w:val="22"/>
                <w:szCs w:val="22"/>
              </w:rPr>
              <w:t xml:space="preserve"> either</w:t>
            </w:r>
            <w:r w:rsidR="00442912" w:rsidRPr="00527080">
              <w:rPr>
                <w:sz w:val="22"/>
                <w:szCs w:val="22"/>
              </w:rPr>
              <w:t>.</w:t>
            </w:r>
          </w:p>
          <w:p w14:paraId="20302E73" w14:textId="22846CBC" w:rsidR="00D31573" w:rsidRDefault="00442912" w:rsidP="00AD1532">
            <w:pPr>
              <w:rPr>
                <w:sz w:val="22"/>
                <w:szCs w:val="22"/>
              </w:rPr>
            </w:pPr>
            <w:r>
              <w:rPr>
                <w:sz w:val="22"/>
                <w:szCs w:val="22"/>
              </w:rPr>
              <w:t>The CBD</w:t>
            </w:r>
            <w:r w:rsidR="00887DC7">
              <w:rPr>
                <w:sz w:val="22"/>
                <w:szCs w:val="22"/>
              </w:rPr>
              <w:t xml:space="preserve"> may</w:t>
            </w:r>
            <w:r>
              <w:rPr>
                <w:sz w:val="22"/>
                <w:szCs w:val="22"/>
              </w:rPr>
              <w:t xml:space="preserve"> concentrate its efforts and resources on the identification of organisms, components and products that are not</w:t>
            </w:r>
            <w:r w:rsidR="00D31573">
              <w:rPr>
                <w:sz w:val="22"/>
                <w:szCs w:val="22"/>
              </w:rPr>
              <w:t xml:space="preserve"> conventional</w:t>
            </w:r>
            <w:r>
              <w:rPr>
                <w:sz w:val="22"/>
                <w:szCs w:val="22"/>
              </w:rPr>
              <w:t xml:space="preserve"> LMOs and therefore cannot be dealt </w:t>
            </w:r>
            <w:r w:rsidR="00B27702">
              <w:rPr>
                <w:sz w:val="22"/>
                <w:szCs w:val="22"/>
              </w:rPr>
              <w:t xml:space="preserve">with </w:t>
            </w:r>
            <w:r>
              <w:rPr>
                <w:sz w:val="22"/>
                <w:szCs w:val="22"/>
              </w:rPr>
              <w:t>under the scope of the Cartagena Protocol</w:t>
            </w:r>
            <w:r w:rsidR="000D6A5A">
              <w:rPr>
                <w:sz w:val="22"/>
                <w:szCs w:val="22"/>
              </w:rPr>
              <w:t>.</w:t>
            </w:r>
            <w:r>
              <w:rPr>
                <w:sz w:val="22"/>
                <w:szCs w:val="22"/>
              </w:rPr>
              <w:t xml:space="preserve"> </w:t>
            </w:r>
          </w:p>
          <w:p w14:paraId="4D4C2F67" w14:textId="77777777" w:rsidR="007B0B7A" w:rsidRDefault="007B0B7A" w:rsidP="00AD1532">
            <w:pPr>
              <w:rPr>
                <w:sz w:val="22"/>
                <w:szCs w:val="22"/>
              </w:rPr>
            </w:pPr>
          </w:p>
          <w:p w14:paraId="58F1E46B" w14:textId="517DC2B5" w:rsidR="00180BEC" w:rsidRPr="00180BEC" w:rsidRDefault="00D31573" w:rsidP="00AD1532">
            <w:pPr>
              <w:rPr>
                <w:sz w:val="22"/>
                <w:szCs w:val="22"/>
              </w:rPr>
            </w:pPr>
            <w:r>
              <w:rPr>
                <w:sz w:val="22"/>
                <w:szCs w:val="22"/>
              </w:rPr>
              <w:t>2.</w:t>
            </w:r>
            <w:r w:rsidR="007B0B7A">
              <w:rPr>
                <w:sz w:val="22"/>
                <w:szCs w:val="22"/>
              </w:rPr>
              <w:t xml:space="preserve">  </w:t>
            </w:r>
            <w:r w:rsidR="00180BEC">
              <w:rPr>
                <w:sz w:val="22"/>
                <w:szCs w:val="22"/>
              </w:rPr>
              <w:t>The ZKBS likes to emphasize that organisms containing engineered gene drive</w:t>
            </w:r>
            <w:r w:rsidR="00404A8A">
              <w:rPr>
                <w:sz w:val="22"/>
                <w:szCs w:val="22"/>
              </w:rPr>
              <w:t xml:space="preserve"> applications to circumvent agricultural pests or human diseases, e.g. malaria, </w:t>
            </w:r>
            <w:r w:rsidR="00180BEC">
              <w:rPr>
                <w:sz w:val="22"/>
                <w:szCs w:val="22"/>
              </w:rPr>
              <w:t xml:space="preserve">and organisms resulting from genome editing must be kept apart and are both not per se an item of synthetic biology.  </w:t>
            </w:r>
          </w:p>
        </w:tc>
      </w:tr>
      <w:tr w:rsidR="00593BC6" w:rsidRPr="00AD22DE" w14:paraId="4A4D44A2" w14:textId="77777777" w:rsidTr="00135D96">
        <w:trPr>
          <w:cantSplit/>
          <w:trHeight w:val="233"/>
        </w:trPr>
        <w:tc>
          <w:tcPr>
            <w:tcW w:w="918" w:type="dxa"/>
          </w:tcPr>
          <w:p w14:paraId="7D986775" w14:textId="61D6A4E2" w:rsidR="00593BC6" w:rsidRPr="00F86F63" w:rsidRDefault="00042323" w:rsidP="00EA105F">
            <w:pPr>
              <w:rPr>
                <w:sz w:val="22"/>
                <w:szCs w:val="22"/>
              </w:rPr>
            </w:pPr>
            <w:r>
              <w:rPr>
                <w:sz w:val="22"/>
                <w:szCs w:val="22"/>
              </w:rPr>
              <w:t>10</w:t>
            </w:r>
          </w:p>
        </w:tc>
        <w:tc>
          <w:tcPr>
            <w:tcW w:w="1125" w:type="dxa"/>
          </w:tcPr>
          <w:p w14:paraId="5AC5FC2C" w14:textId="115C8230" w:rsidR="00593BC6" w:rsidRPr="00F86F63" w:rsidRDefault="00042323" w:rsidP="00EA105F">
            <w:pPr>
              <w:rPr>
                <w:sz w:val="22"/>
                <w:szCs w:val="22"/>
              </w:rPr>
            </w:pPr>
            <w:r>
              <w:rPr>
                <w:sz w:val="22"/>
                <w:szCs w:val="22"/>
              </w:rPr>
              <w:t>46</w:t>
            </w:r>
          </w:p>
        </w:tc>
        <w:tc>
          <w:tcPr>
            <w:tcW w:w="8145" w:type="dxa"/>
            <w:gridSpan w:val="2"/>
          </w:tcPr>
          <w:p w14:paraId="786809CF" w14:textId="047C1D0D" w:rsidR="00593BC6" w:rsidRPr="00F86F63" w:rsidRDefault="00042323" w:rsidP="00527080">
            <w:pPr>
              <w:rPr>
                <w:sz w:val="22"/>
                <w:szCs w:val="22"/>
              </w:rPr>
            </w:pPr>
            <w:r>
              <w:rPr>
                <w:sz w:val="22"/>
                <w:szCs w:val="22"/>
              </w:rPr>
              <w:t xml:space="preserve">The sentence “It is expected that some other genome edited organisms and potentially those containing engineered gene drives could reach the market in a few years.” implies that organisms containing engineered gene drives are genome edited. However, to </w:t>
            </w:r>
            <w:r w:rsidR="00052903">
              <w:rPr>
                <w:sz w:val="22"/>
                <w:szCs w:val="22"/>
              </w:rPr>
              <w:t xml:space="preserve">cause </w:t>
            </w:r>
            <w:r>
              <w:rPr>
                <w:sz w:val="22"/>
                <w:szCs w:val="22"/>
              </w:rPr>
              <w:t>a gene drive</w:t>
            </w:r>
            <w:r w:rsidR="00CB1053">
              <w:rPr>
                <w:sz w:val="22"/>
                <w:szCs w:val="22"/>
              </w:rPr>
              <w:t>,</w:t>
            </w:r>
            <w:r>
              <w:rPr>
                <w:sz w:val="22"/>
                <w:szCs w:val="22"/>
              </w:rPr>
              <w:t xml:space="preserve"> </w:t>
            </w:r>
            <w:r w:rsidR="00052903">
              <w:rPr>
                <w:sz w:val="22"/>
                <w:szCs w:val="22"/>
              </w:rPr>
              <w:t xml:space="preserve">a </w:t>
            </w:r>
            <w:r>
              <w:rPr>
                <w:sz w:val="22"/>
                <w:szCs w:val="22"/>
              </w:rPr>
              <w:t>substantial</w:t>
            </w:r>
            <w:r w:rsidR="00527080">
              <w:rPr>
                <w:sz w:val="22"/>
                <w:szCs w:val="22"/>
              </w:rPr>
              <w:t>,</w:t>
            </w:r>
            <w:r w:rsidR="00D31573">
              <w:rPr>
                <w:sz w:val="22"/>
                <w:szCs w:val="22"/>
              </w:rPr>
              <w:t xml:space="preserve"> genetically complex</w:t>
            </w:r>
            <w:r>
              <w:rPr>
                <w:sz w:val="22"/>
                <w:szCs w:val="22"/>
              </w:rPr>
              <w:t xml:space="preserve"> insertion into the genome of an organism </w:t>
            </w:r>
            <w:r w:rsidR="00052903">
              <w:rPr>
                <w:sz w:val="22"/>
                <w:szCs w:val="22"/>
              </w:rPr>
              <w:t>is</w:t>
            </w:r>
            <w:r>
              <w:rPr>
                <w:sz w:val="22"/>
                <w:szCs w:val="22"/>
              </w:rPr>
              <w:t xml:space="preserve"> </w:t>
            </w:r>
            <w:r>
              <w:rPr>
                <w:sz w:val="22"/>
                <w:szCs w:val="22"/>
              </w:rPr>
              <w:lastRenderedPageBreak/>
              <w:t xml:space="preserve">needed. This is not what is usually understood by “genome editing” where only small insertions/deletions or changes of </w:t>
            </w:r>
            <w:r w:rsidR="0058392A">
              <w:rPr>
                <w:sz w:val="22"/>
                <w:szCs w:val="22"/>
              </w:rPr>
              <w:t xml:space="preserve">a </w:t>
            </w:r>
            <w:r>
              <w:rPr>
                <w:sz w:val="22"/>
                <w:szCs w:val="22"/>
              </w:rPr>
              <w:t xml:space="preserve">few nucleotides are made. The sentence should be </w:t>
            </w:r>
            <w:r w:rsidR="00054A2E">
              <w:rPr>
                <w:sz w:val="22"/>
                <w:szCs w:val="22"/>
              </w:rPr>
              <w:t>changed</w:t>
            </w:r>
            <w:r>
              <w:rPr>
                <w:sz w:val="22"/>
                <w:szCs w:val="22"/>
              </w:rPr>
              <w:t xml:space="preserve"> to: </w:t>
            </w:r>
            <w:r w:rsidR="0077704F">
              <w:rPr>
                <w:sz w:val="22"/>
                <w:szCs w:val="22"/>
              </w:rPr>
              <w:t>“</w:t>
            </w:r>
            <w:r>
              <w:rPr>
                <w:sz w:val="22"/>
                <w:szCs w:val="22"/>
              </w:rPr>
              <w:t xml:space="preserve">It is expected that some other genome edited organisms and </w:t>
            </w:r>
            <w:r w:rsidR="0058392A" w:rsidRPr="0058392A">
              <w:rPr>
                <w:strike/>
                <w:sz w:val="22"/>
                <w:szCs w:val="22"/>
              </w:rPr>
              <w:t>potentially those</w:t>
            </w:r>
            <w:r w:rsidR="0058392A">
              <w:rPr>
                <w:sz w:val="22"/>
                <w:szCs w:val="22"/>
              </w:rPr>
              <w:t xml:space="preserve"> </w:t>
            </w:r>
            <w:r w:rsidRPr="0058392A">
              <w:rPr>
                <w:i/>
                <w:sz w:val="22"/>
                <w:szCs w:val="22"/>
              </w:rPr>
              <w:t>organisms</w:t>
            </w:r>
            <w:r>
              <w:rPr>
                <w:sz w:val="22"/>
                <w:szCs w:val="22"/>
              </w:rPr>
              <w:t xml:space="preserve"> containing engineered gene drives could reach the market in a few years”. </w:t>
            </w:r>
            <w:r w:rsidR="00EA61CD">
              <w:rPr>
                <w:sz w:val="22"/>
                <w:szCs w:val="22"/>
              </w:rPr>
              <w:t>Again, the ZKBS would like to strengthen that “gene drives”</w:t>
            </w:r>
            <w:r w:rsidR="002D146E">
              <w:rPr>
                <w:sz w:val="22"/>
                <w:szCs w:val="22"/>
              </w:rPr>
              <w:t xml:space="preserve"> are</w:t>
            </w:r>
            <w:r w:rsidR="00EA61CD">
              <w:rPr>
                <w:sz w:val="22"/>
                <w:szCs w:val="22"/>
              </w:rPr>
              <w:t xml:space="preserve"> not per se an item of synthetic biology.  </w:t>
            </w:r>
          </w:p>
        </w:tc>
      </w:tr>
      <w:tr w:rsidR="00593BC6" w:rsidRPr="00AD22DE" w14:paraId="7DA9A366" w14:textId="77777777" w:rsidTr="00135D96">
        <w:trPr>
          <w:cantSplit/>
          <w:trHeight w:val="233"/>
        </w:trPr>
        <w:tc>
          <w:tcPr>
            <w:tcW w:w="918" w:type="dxa"/>
          </w:tcPr>
          <w:p w14:paraId="0704BF74" w14:textId="2BEABE6C" w:rsidR="00593BC6" w:rsidRPr="00F86F63" w:rsidRDefault="001D2CCA" w:rsidP="00EA105F">
            <w:pPr>
              <w:rPr>
                <w:sz w:val="22"/>
                <w:szCs w:val="22"/>
              </w:rPr>
            </w:pPr>
            <w:r>
              <w:rPr>
                <w:sz w:val="22"/>
                <w:szCs w:val="22"/>
              </w:rPr>
              <w:lastRenderedPageBreak/>
              <w:t>12</w:t>
            </w:r>
          </w:p>
        </w:tc>
        <w:tc>
          <w:tcPr>
            <w:tcW w:w="1125" w:type="dxa"/>
          </w:tcPr>
          <w:p w14:paraId="5C318341" w14:textId="6854E2B7" w:rsidR="00593BC6" w:rsidRPr="00F86F63" w:rsidRDefault="001D2CCA" w:rsidP="00EA105F">
            <w:pPr>
              <w:rPr>
                <w:sz w:val="22"/>
                <w:szCs w:val="22"/>
              </w:rPr>
            </w:pPr>
            <w:r>
              <w:rPr>
                <w:sz w:val="22"/>
                <w:szCs w:val="22"/>
              </w:rPr>
              <w:t>8-23</w:t>
            </w:r>
          </w:p>
        </w:tc>
        <w:tc>
          <w:tcPr>
            <w:tcW w:w="8145" w:type="dxa"/>
            <w:gridSpan w:val="2"/>
          </w:tcPr>
          <w:p w14:paraId="7EB2B4D4" w14:textId="5B6A9289" w:rsidR="00D31573" w:rsidRPr="007B0B7A" w:rsidRDefault="007B0B7A" w:rsidP="007B0B7A">
            <w:pPr>
              <w:rPr>
                <w:sz w:val="22"/>
                <w:szCs w:val="22"/>
              </w:rPr>
            </w:pPr>
            <w:r w:rsidRPr="007B0B7A">
              <w:rPr>
                <w:sz w:val="22"/>
                <w:szCs w:val="22"/>
              </w:rPr>
              <w:t>1.</w:t>
            </w:r>
            <w:r>
              <w:rPr>
                <w:sz w:val="22"/>
                <w:szCs w:val="22"/>
              </w:rPr>
              <w:t xml:space="preserve">  </w:t>
            </w:r>
            <w:r w:rsidR="001D2CCA" w:rsidRPr="007B0B7A">
              <w:rPr>
                <w:sz w:val="22"/>
                <w:szCs w:val="22"/>
              </w:rPr>
              <w:t>The dual-use discussion is not inherent to synthetic biology. For example, dual-use concerns are discussed for genetic engineering as well. This is more likely a topic for the Cartagena Protocol or a general topic for the CBD</w:t>
            </w:r>
            <w:r w:rsidR="00291E2E" w:rsidRPr="007B0B7A">
              <w:rPr>
                <w:sz w:val="22"/>
                <w:szCs w:val="22"/>
              </w:rPr>
              <w:t xml:space="preserve">. </w:t>
            </w:r>
          </w:p>
          <w:p w14:paraId="53940AF6" w14:textId="77777777" w:rsidR="007B0B7A" w:rsidRPr="007B0B7A" w:rsidRDefault="007B0B7A" w:rsidP="007B0B7A"/>
          <w:p w14:paraId="728544B4" w14:textId="03E2EFEF" w:rsidR="00593BC6" w:rsidRPr="00F86F63" w:rsidRDefault="00D31573" w:rsidP="00D31573">
            <w:pPr>
              <w:rPr>
                <w:sz w:val="22"/>
                <w:szCs w:val="22"/>
              </w:rPr>
            </w:pPr>
            <w:r>
              <w:rPr>
                <w:sz w:val="22"/>
                <w:szCs w:val="22"/>
              </w:rPr>
              <w:t>2.</w:t>
            </w:r>
            <w:r w:rsidR="007B0B7A">
              <w:rPr>
                <w:sz w:val="22"/>
                <w:szCs w:val="22"/>
              </w:rPr>
              <w:t xml:space="preserve"> </w:t>
            </w:r>
            <w:r w:rsidR="001B0CD5">
              <w:rPr>
                <w:sz w:val="22"/>
                <w:szCs w:val="22"/>
              </w:rPr>
              <w:t xml:space="preserve"> </w:t>
            </w:r>
            <w:r w:rsidR="00291E2E">
              <w:rPr>
                <w:sz w:val="22"/>
                <w:szCs w:val="22"/>
              </w:rPr>
              <w:t xml:space="preserve">Do-it-yourself biology is </w:t>
            </w:r>
            <w:r w:rsidR="00F97BB4">
              <w:rPr>
                <w:sz w:val="22"/>
                <w:szCs w:val="22"/>
              </w:rPr>
              <w:t xml:space="preserve">not an </w:t>
            </w:r>
            <w:r w:rsidR="00052903">
              <w:rPr>
                <w:sz w:val="22"/>
                <w:szCs w:val="22"/>
              </w:rPr>
              <w:t xml:space="preserve">issue </w:t>
            </w:r>
            <w:r w:rsidR="00F97BB4">
              <w:rPr>
                <w:sz w:val="22"/>
                <w:szCs w:val="22"/>
              </w:rPr>
              <w:t>of synthetic biology</w:t>
            </w:r>
            <w:r>
              <w:rPr>
                <w:sz w:val="22"/>
                <w:szCs w:val="22"/>
              </w:rPr>
              <w:t xml:space="preserve"> and</w:t>
            </w:r>
            <w:r w:rsidR="00F97BB4">
              <w:rPr>
                <w:sz w:val="22"/>
                <w:szCs w:val="22"/>
              </w:rPr>
              <w:t xml:space="preserve"> </w:t>
            </w:r>
            <w:r w:rsidR="007B3DEC">
              <w:rPr>
                <w:sz w:val="22"/>
                <w:szCs w:val="22"/>
              </w:rPr>
              <w:t>usually use</w:t>
            </w:r>
            <w:r w:rsidR="00F97BB4">
              <w:rPr>
                <w:sz w:val="22"/>
                <w:szCs w:val="22"/>
              </w:rPr>
              <w:t>s</w:t>
            </w:r>
            <w:r w:rsidR="007B3DEC">
              <w:rPr>
                <w:sz w:val="22"/>
                <w:szCs w:val="22"/>
              </w:rPr>
              <w:t xml:space="preserve"> </w:t>
            </w:r>
            <w:r>
              <w:rPr>
                <w:sz w:val="22"/>
                <w:szCs w:val="22"/>
              </w:rPr>
              <w:t>standard</w:t>
            </w:r>
            <w:r w:rsidR="007B3DEC">
              <w:rPr>
                <w:sz w:val="22"/>
                <w:szCs w:val="22"/>
              </w:rPr>
              <w:t xml:space="preserve"> methods of genetic engineering </w:t>
            </w:r>
            <w:r w:rsidR="00EE45CD">
              <w:rPr>
                <w:sz w:val="22"/>
                <w:szCs w:val="22"/>
              </w:rPr>
              <w:t xml:space="preserve">leading to the creation of </w:t>
            </w:r>
            <w:r w:rsidR="007B3DEC">
              <w:rPr>
                <w:sz w:val="22"/>
                <w:szCs w:val="22"/>
              </w:rPr>
              <w:t xml:space="preserve">LMOs. </w:t>
            </w:r>
          </w:p>
        </w:tc>
      </w:tr>
      <w:tr w:rsidR="00593BC6" w:rsidRPr="007F60E8" w14:paraId="7F41CC7E" w14:textId="77777777" w:rsidTr="00135D96">
        <w:trPr>
          <w:cantSplit/>
          <w:trHeight w:val="233"/>
        </w:trPr>
        <w:tc>
          <w:tcPr>
            <w:tcW w:w="918" w:type="dxa"/>
          </w:tcPr>
          <w:p w14:paraId="661D50E8" w14:textId="47B4F858" w:rsidR="00593BC6" w:rsidRPr="00F86F63" w:rsidRDefault="0048127D" w:rsidP="00EA105F">
            <w:pPr>
              <w:rPr>
                <w:sz w:val="22"/>
                <w:szCs w:val="22"/>
              </w:rPr>
            </w:pPr>
            <w:r>
              <w:rPr>
                <w:sz w:val="22"/>
                <w:szCs w:val="22"/>
              </w:rPr>
              <w:t>12-13</w:t>
            </w:r>
          </w:p>
        </w:tc>
        <w:tc>
          <w:tcPr>
            <w:tcW w:w="1125" w:type="dxa"/>
          </w:tcPr>
          <w:p w14:paraId="0DB5D191" w14:textId="4D16CC67" w:rsidR="00593BC6" w:rsidRPr="00F86F63" w:rsidRDefault="0048127D" w:rsidP="00EA105F">
            <w:pPr>
              <w:rPr>
                <w:sz w:val="22"/>
                <w:szCs w:val="22"/>
              </w:rPr>
            </w:pPr>
            <w:r>
              <w:rPr>
                <w:sz w:val="22"/>
                <w:szCs w:val="22"/>
              </w:rPr>
              <w:t>47-7</w:t>
            </w:r>
          </w:p>
        </w:tc>
        <w:tc>
          <w:tcPr>
            <w:tcW w:w="8145" w:type="dxa"/>
            <w:gridSpan w:val="2"/>
          </w:tcPr>
          <w:p w14:paraId="0E93D489" w14:textId="42DDEBD6" w:rsidR="00882C32" w:rsidRDefault="007B0B7A" w:rsidP="007B0B7A">
            <w:pPr>
              <w:pStyle w:val="Default"/>
              <w:rPr>
                <w:sz w:val="22"/>
                <w:szCs w:val="22"/>
              </w:rPr>
            </w:pPr>
            <w:r w:rsidRPr="007B0B7A">
              <w:rPr>
                <w:sz w:val="22"/>
                <w:szCs w:val="22"/>
              </w:rPr>
              <w:t>1.</w:t>
            </w:r>
            <w:r>
              <w:rPr>
                <w:sz w:val="22"/>
                <w:szCs w:val="22"/>
              </w:rPr>
              <w:t xml:space="preserve">  </w:t>
            </w:r>
            <w:r w:rsidR="0048127D">
              <w:rPr>
                <w:sz w:val="22"/>
                <w:szCs w:val="22"/>
              </w:rPr>
              <w:t>The document states under point 14 that synthetic biology i</w:t>
            </w:r>
            <w:r w:rsidR="00F97BB4">
              <w:rPr>
                <w:sz w:val="22"/>
                <w:szCs w:val="22"/>
              </w:rPr>
              <w:t xml:space="preserve">s a new discipline. This is not agreed upon by all CBD Parties and other stakeholders. In </w:t>
            </w:r>
            <w:proofErr w:type="spellStart"/>
            <w:r w:rsidR="00F97BB4">
              <w:rPr>
                <w:sz w:val="22"/>
                <w:szCs w:val="22"/>
              </w:rPr>
              <w:t>dec.</w:t>
            </w:r>
            <w:proofErr w:type="spellEnd"/>
            <w:r w:rsidR="00F97BB4">
              <w:rPr>
                <w:sz w:val="22"/>
                <w:szCs w:val="22"/>
              </w:rPr>
              <w:t xml:space="preserve"> 13/17, it was </w:t>
            </w:r>
            <w:r w:rsidR="0048127D">
              <w:rPr>
                <w:sz w:val="22"/>
                <w:szCs w:val="22"/>
              </w:rPr>
              <w:t xml:space="preserve">concluded </w:t>
            </w:r>
            <w:r w:rsidR="00A439A0">
              <w:rPr>
                <w:sz w:val="22"/>
                <w:szCs w:val="22"/>
              </w:rPr>
              <w:t>“that living organisms developed through current applications of synthetic biology, or that are currently in the early stages of research and development, are similar to living modified organisms as defined in the Cartage</w:t>
            </w:r>
            <w:r w:rsidR="00F97BB4">
              <w:rPr>
                <w:sz w:val="22"/>
                <w:szCs w:val="22"/>
              </w:rPr>
              <w:t>na Protocol;”.</w:t>
            </w:r>
            <w:r w:rsidR="00A439A0">
              <w:rPr>
                <w:sz w:val="22"/>
                <w:szCs w:val="22"/>
              </w:rPr>
              <w:t xml:space="preserve"> Several Parties</w:t>
            </w:r>
            <w:r w:rsidR="00AD1532">
              <w:rPr>
                <w:sz w:val="22"/>
                <w:szCs w:val="22"/>
              </w:rPr>
              <w:t xml:space="preserve"> have</w:t>
            </w:r>
            <w:r w:rsidR="00A439A0">
              <w:rPr>
                <w:sz w:val="22"/>
                <w:szCs w:val="22"/>
              </w:rPr>
              <w:t xml:space="preserve"> the opinion that synthetic biology is a</w:t>
            </w:r>
            <w:r w:rsidR="00EE45CD">
              <w:rPr>
                <w:sz w:val="22"/>
                <w:szCs w:val="22"/>
              </w:rPr>
              <w:t xml:space="preserve"> new</w:t>
            </w:r>
            <w:r w:rsidR="00A439A0">
              <w:rPr>
                <w:sz w:val="22"/>
                <w:szCs w:val="22"/>
              </w:rPr>
              <w:t xml:space="preserve"> </w:t>
            </w:r>
            <w:r w:rsidR="00AD1532">
              <w:rPr>
                <w:sz w:val="22"/>
                <w:szCs w:val="22"/>
              </w:rPr>
              <w:t>kind</w:t>
            </w:r>
            <w:r w:rsidR="00A439A0">
              <w:rPr>
                <w:sz w:val="22"/>
                <w:szCs w:val="22"/>
              </w:rPr>
              <w:t xml:space="preserve"> of modern biotechnology and that regulatory mechanisms in place for living modified organisms are adequat</w:t>
            </w:r>
            <w:r w:rsidR="00F97BB4">
              <w:rPr>
                <w:sz w:val="22"/>
                <w:szCs w:val="22"/>
              </w:rPr>
              <w:t>e to address synthetic biology.</w:t>
            </w:r>
            <w:r w:rsidR="00A439A0">
              <w:rPr>
                <w:sz w:val="22"/>
                <w:szCs w:val="22"/>
              </w:rPr>
              <w:t xml:space="preserve"> Point 14. needs to be rephrased accordingly. </w:t>
            </w:r>
          </w:p>
          <w:p w14:paraId="1F3C6F28" w14:textId="77777777" w:rsidR="007B0B7A" w:rsidRDefault="007B0B7A" w:rsidP="007B0B7A">
            <w:pPr>
              <w:pStyle w:val="Default"/>
              <w:rPr>
                <w:sz w:val="22"/>
                <w:szCs w:val="22"/>
              </w:rPr>
            </w:pPr>
          </w:p>
          <w:p w14:paraId="13354FC4" w14:textId="4A2BE9E6" w:rsidR="00593BC6" w:rsidRPr="00AF2AF2" w:rsidRDefault="00882C32" w:rsidP="007B0B7A">
            <w:pPr>
              <w:pStyle w:val="Default"/>
            </w:pPr>
            <w:r>
              <w:rPr>
                <w:sz w:val="22"/>
                <w:szCs w:val="22"/>
              </w:rPr>
              <w:t>2.</w:t>
            </w:r>
            <w:r w:rsidR="007B0B7A">
              <w:rPr>
                <w:sz w:val="22"/>
                <w:szCs w:val="22"/>
              </w:rPr>
              <w:t xml:space="preserve"> </w:t>
            </w:r>
            <w:r w:rsidR="00527080">
              <w:rPr>
                <w:sz w:val="22"/>
                <w:szCs w:val="22"/>
              </w:rPr>
              <w:t xml:space="preserve"> </w:t>
            </w:r>
            <w:r w:rsidR="00A96275">
              <w:rPr>
                <w:sz w:val="22"/>
                <w:szCs w:val="22"/>
              </w:rPr>
              <w:t>A regular monitoring of the scientific progress in synthetic biology would be adequate to identify necessary adjustments of national and international regulation.</w:t>
            </w:r>
            <w:r w:rsidR="00527080">
              <w:rPr>
                <w:sz w:val="22"/>
                <w:szCs w:val="22"/>
              </w:rPr>
              <w:t xml:space="preserve"> </w:t>
            </w:r>
            <w:r w:rsidR="000D3FC9">
              <w:rPr>
                <w:sz w:val="22"/>
                <w:szCs w:val="22"/>
              </w:rPr>
              <w:t xml:space="preserve">The German ZKBS has been carrying out such a monitoring, including a risk assessment of the applications identified, for almost 10 years (see </w:t>
            </w:r>
            <w:hyperlink r:id="rId7" w:history="1">
              <w:r w:rsidR="00F940CD" w:rsidRPr="00F940CD">
                <w:rPr>
                  <w:rStyle w:val="Hyperlink"/>
                  <w:sz w:val="22"/>
                </w:rPr>
                <w:t>https://www.zkbs-online.de/ZKBS/EN/Home/home_node.html</w:t>
              </w:r>
            </w:hyperlink>
            <w:r w:rsidR="00F940CD" w:rsidRPr="00F940CD">
              <w:rPr>
                <w:sz w:val="22"/>
              </w:rPr>
              <w:t xml:space="preserve"> </w:t>
            </w:r>
            <w:r w:rsidR="00F940CD" w:rsidRPr="00F940CD">
              <w:rPr>
                <w:sz w:val="22"/>
              </w:rPr>
              <w:sym w:font="Wingdings" w:char="F0E0"/>
            </w:r>
            <w:r w:rsidR="00F940CD" w:rsidRPr="00F940CD">
              <w:rPr>
                <w:sz w:val="22"/>
              </w:rPr>
              <w:t xml:space="preserve"> Synth</w:t>
            </w:r>
            <w:r w:rsidR="008A6561">
              <w:rPr>
                <w:sz w:val="22"/>
              </w:rPr>
              <w:t>e</w:t>
            </w:r>
            <w:r w:rsidR="00F940CD" w:rsidRPr="00F940CD">
              <w:rPr>
                <w:sz w:val="22"/>
              </w:rPr>
              <w:t>tic Biology</w:t>
            </w:r>
            <w:r w:rsidR="000D3FC9">
              <w:rPr>
                <w:sz w:val="22"/>
                <w:szCs w:val="22"/>
              </w:rPr>
              <w:t xml:space="preserve">). It should be added to the text that a </w:t>
            </w:r>
            <w:r w:rsidR="001B0CD5">
              <w:rPr>
                <w:sz w:val="22"/>
                <w:szCs w:val="22"/>
              </w:rPr>
              <w:t xml:space="preserve">perpetual </w:t>
            </w:r>
            <w:r w:rsidR="000D3FC9">
              <w:rPr>
                <w:sz w:val="22"/>
                <w:szCs w:val="22"/>
              </w:rPr>
              <w:t xml:space="preserve">horizon scanning process is already established nationally in Germany. </w:t>
            </w:r>
          </w:p>
        </w:tc>
      </w:tr>
      <w:tr w:rsidR="00A216C3" w:rsidRPr="00AD22DE" w14:paraId="35671D70" w14:textId="77777777" w:rsidTr="00135D96">
        <w:trPr>
          <w:cantSplit/>
          <w:trHeight w:val="233"/>
        </w:trPr>
        <w:tc>
          <w:tcPr>
            <w:tcW w:w="918" w:type="dxa"/>
          </w:tcPr>
          <w:p w14:paraId="7C918A46" w14:textId="2017421D" w:rsidR="00A216C3" w:rsidRPr="00F86F63" w:rsidRDefault="00A30AB0" w:rsidP="00EA105F">
            <w:pPr>
              <w:rPr>
                <w:sz w:val="22"/>
                <w:szCs w:val="22"/>
              </w:rPr>
            </w:pPr>
            <w:r>
              <w:rPr>
                <w:sz w:val="22"/>
                <w:szCs w:val="22"/>
              </w:rPr>
              <w:t>19</w:t>
            </w:r>
          </w:p>
        </w:tc>
        <w:tc>
          <w:tcPr>
            <w:tcW w:w="1125" w:type="dxa"/>
          </w:tcPr>
          <w:p w14:paraId="7672A8D8" w14:textId="308CA9F5" w:rsidR="00A216C3" w:rsidRPr="00F86F63" w:rsidRDefault="00A30AB0" w:rsidP="00EA105F">
            <w:pPr>
              <w:rPr>
                <w:sz w:val="22"/>
                <w:szCs w:val="22"/>
              </w:rPr>
            </w:pPr>
            <w:r>
              <w:rPr>
                <w:sz w:val="22"/>
                <w:szCs w:val="22"/>
              </w:rPr>
              <w:t>27-28</w:t>
            </w:r>
          </w:p>
        </w:tc>
        <w:tc>
          <w:tcPr>
            <w:tcW w:w="8145" w:type="dxa"/>
            <w:gridSpan w:val="2"/>
          </w:tcPr>
          <w:p w14:paraId="27C46BC5" w14:textId="3FEB8D7F" w:rsidR="00A216C3" w:rsidRPr="00F86F63" w:rsidRDefault="00291E2E" w:rsidP="00EA105F">
            <w:pPr>
              <w:rPr>
                <w:sz w:val="22"/>
                <w:szCs w:val="22"/>
              </w:rPr>
            </w:pPr>
            <w:r>
              <w:rPr>
                <w:sz w:val="22"/>
                <w:szCs w:val="22"/>
              </w:rPr>
              <w:t>The sentence “</w:t>
            </w:r>
            <w:r w:rsidR="00A30AB0">
              <w:rPr>
                <w:sz w:val="22"/>
                <w:szCs w:val="22"/>
              </w:rPr>
              <w:t>A gene drive is a phenomenon in which selfish genetic elements circumvent Mendel’s laws of independent assortment and favour their own inheritance</w:t>
            </w:r>
            <w:r>
              <w:rPr>
                <w:sz w:val="22"/>
                <w:szCs w:val="22"/>
              </w:rPr>
              <w:t>”</w:t>
            </w:r>
            <w:r w:rsidR="000D43EA">
              <w:rPr>
                <w:sz w:val="22"/>
                <w:szCs w:val="22"/>
              </w:rPr>
              <w:t xml:space="preserve"> is phrased too </w:t>
            </w:r>
            <w:r>
              <w:rPr>
                <w:sz w:val="22"/>
                <w:szCs w:val="22"/>
              </w:rPr>
              <w:t xml:space="preserve">colloquially. It should be rephrased more scientifically as in line 35/36: </w:t>
            </w:r>
            <w:r>
              <w:t>“…</w:t>
            </w:r>
            <w:r w:rsidRPr="00291E2E">
              <w:rPr>
                <w:sz w:val="22"/>
                <w:szCs w:val="22"/>
              </w:rPr>
              <w:t xml:space="preserve">engineered gene drives </w:t>
            </w:r>
            <w:r>
              <w:rPr>
                <w:sz w:val="22"/>
                <w:szCs w:val="22"/>
              </w:rPr>
              <w:t>are genetic elements that are</w:t>
            </w:r>
            <w:r w:rsidRPr="00291E2E">
              <w:rPr>
                <w:sz w:val="22"/>
                <w:szCs w:val="22"/>
              </w:rPr>
              <w:t xml:space="preserve"> inherited more frequently than expected based on Mendel’s laws alone</w:t>
            </w:r>
            <w:r>
              <w:rPr>
                <w:sz w:val="22"/>
                <w:szCs w:val="22"/>
              </w:rPr>
              <w:t>.”</w:t>
            </w:r>
            <w:r w:rsidR="00364135">
              <w:rPr>
                <w:sz w:val="22"/>
                <w:szCs w:val="22"/>
              </w:rPr>
              <w:t xml:space="preserve"> The ZKBS would like to point out repeatedly that “gene drives” </w:t>
            </w:r>
            <w:r w:rsidR="002D146E">
              <w:rPr>
                <w:sz w:val="22"/>
                <w:szCs w:val="22"/>
              </w:rPr>
              <w:t xml:space="preserve">are </w:t>
            </w:r>
            <w:r w:rsidR="00364135">
              <w:rPr>
                <w:sz w:val="22"/>
                <w:szCs w:val="22"/>
              </w:rPr>
              <w:t>not per se an item of synthetic biology.</w:t>
            </w:r>
          </w:p>
        </w:tc>
      </w:tr>
      <w:tr w:rsidR="0014227C" w:rsidRPr="00AD22DE" w14:paraId="3C6FED52" w14:textId="77777777" w:rsidTr="00135D96">
        <w:trPr>
          <w:cantSplit/>
          <w:trHeight w:val="233"/>
        </w:trPr>
        <w:tc>
          <w:tcPr>
            <w:tcW w:w="918" w:type="dxa"/>
          </w:tcPr>
          <w:p w14:paraId="6F3D56BA" w14:textId="14B21C6D" w:rsidR="0014227C" w:rsidRDefault="0014227C" w:rsidP="00EA105F">
            <w:pPr>
              <w:rPr>
                <w:sz w:val="22"/>
                <w:szCs w:val="22"/>
              </w:rPr>
            </w:pPr>
            <w:r>
              <w:rPr>
                <w:sz w:val="22"/>
                <w:szCs w:val="22"/>
              </w:rPr>
              <w:t>43</w:t>
            </w:r>
          </w:p>
        </w:tc>
        <w:tc>
          <w:tcPr>
            <w:tcW w:w="1125" w:type="dxa"/>
          </w:tcPr>
          <w:p w14:paraId="1F350666" w14:textId="6675B8CB" w:rsidR="0014227C" w:rsidRDefault="0014227C" w:rsidP="00EA105F">
            <w:pPr>
              <w:rPr>
                <w:sz w:val="22"/>
                <w:szCs w:val="22"/>
              </w:rPr>
            </w:pPr>
            <w:r>
              <w:rPr>
                <w:sz w:val="22"/>
                <w:szCs w:val="22"/>
              </w:rPr>
              <w:t>5-8</w:t>
            </w:r>
          </w:p>
        </w:tc>
        <w:tc>
          <w:tcPr>
            <w:tcW w:w="8145" w:type="dxa"/>
            <w:gridSpan w:val="2"/>
          </w:tcPr>
          <w:p w14:paraId="50432F07" w14:textId="16F7A179" w:rsidR="0014227C" w:rsidRDefault="0014227C" w:rsidP="0014227C">
            <w:pPr>
              <w:rPr>
                <w:sz w:val="22"/>
                <w:szCs w:val="22"/>
              </w:rPr>
            </w:pPr>
            <w:r>
              <w:rPr>
                <w:sz w:val="22"/>
                <w:szCs w:val="22"/>
              </w:rPr>
              <w:t xml:space="preserve">Ethically, the following sentence does not correspond to international values and should therefore be deleted: “Further, </w:t>
            </w:r>
            <w:r w:rsidRPr="0014227C">
              <w:rPr>
                <w:sz w:val="22"/>
                <w:szCs w:val="22"/>
              </w:rPr>
              <w:t>although not specific to synthetic biology approaches, the reduction or eli</w:t>
            </w:r>
            <w:r>
              <w:rPr>
                <w:sz w:val="22"/>
                <w:szCs w:val="22"/>
              </w:rPr>
              <w:t>mination of human malaria from</w:t>
            </w:r>
            <w:r w:rsidRPr="0014227C">
              <w:rPr>
                <w:sz w:val="22"/>
                <w:szCs w:val="22"/>
              </w:rPr>
              <w:t xml:space="preserve"> geographical areas may lead to demographic and land-use changes, pote</w:t>
            </w:r>
            <w:r>
              <w:rPr>
                <w:sz w:val="22"/>
                <w:szCs w:val="22"/>
              </w:rPr>
              <w:t>ntially impacting biodiversity</w:t>
            </w:r>
            <w:r w:rsidRPr="0014227C">
              <w:rPr>
                <w:sz w:val="22"/>
                <w:szCs w:val="22"/>
              </w:rPr>
              <w:t xml:space="preserve"> con</w:t>
            </w:r>
            <w:r>
              <w:rPr>
                <w:sz w:val="22"/>
                <w:szCs w:val="22"/>
              </w:rPr>
              <w:t>servation (Redford et al. 2019)”.</w:t>
            </w:r>
          </w:p>
        </w:tc>
      </w:tr>
      <w:tr w:rsidR="00A216C3" w:rsidRPr="00AD22DE" w14:paraId="58EA3A2B" w14:textId="77777777" w:rsidTr="00135D96">
        <w:trPr>
          <w:cantSplit/>
          <w:trHeight w:val="233"/>
        </w:trPr>
        <w:tc>
          <w:tcPr>
            <w:tcW w:w="918" w:type="dxa"/>
          </w:tcPr>
          <w:p w14:paraId="06835BC5" w14:textId="683B84E2" w:rsidR="00A216C3" w:rsidRPr="00F86F63" w:rsidRDefault="00057996" w:rsidP="00EA105F">
            <w:pPr>
              <w:rPr>
                <w:sz w:val="22"/>
                <w:szCs w:val="22"/>
              </w:rPr>
            </w:pPr>
            <w:r>
              <w:rPr>
                <w:sz w:val="22"/>
                <w:szCs w:val="22"/>
              </w:rPr>
              <w:t>46</w:t>
            </w:r>
          </w:p>
        </w:tc>
        <w:tc>
          <w:tcPr>
            <w:tcW w:w="1125" w:type="dxa"/>
          </w:tcPr>
          <w:p w14:paraId="78644C63" w14:textId="293885CA" w:rsidR="00A216C3" w:rsidRPr="00F86F63" w:rsidRDefault="00057996" w:rsidP="00EA105F">
            <w:pPr>
              <w:rPr>
                <w:sz w:val="22"/>
                <w:szCs w:val="22"/>
              </w:rPr>
            </w:pPr>
            <w:r>
              <w:rPr>
                <w:sz w:val="22"/>
                <w:szCs w:val="22"/>
              </w:rPr>
              <w:t>18-20</w:t>
            </w:r>
          </w:p>
        </w:tc>
        <w:tc>
          <w:tcPr>
            <w:tcW w:w="8145" w:type="dxa"/>
            <w:gridSpan w:val="2"/>
          </w:tcPr>
          <w:p w14:paraId="3AD3582B" w14:textId="4C9382C9" w:rsidR="00A216C3" w:rsidRPr="00F86F63" w:rsidRDefault="00057996" w:rsidP="00842B43">
            <w:pPr>
              <w:rPr>
                <w:sz w:val="22"/>
                <w:szCs w:val="22"/>
              </w:rPr>
            </w:pPr>
            <w:r>
              <w:rPr>
                <w:sz w:val="22"/>
                <w:szCs w:val="22"/>
              </w:rPr>
              <w:t>Concerning the sentences: “</w:t>
            </w:r>
            <w:r w:rsidRPr="00057996">
              <w:rPr>
                <w:sz w:val="22"/>
                <w:szCs w:val="22"/>
              </w:rPr>
              <w:t>A recent example is the ongoing conversation about the responsibl</w:t>
            </w:r>
            <w:r>
              <w:rPr>
                <w:sz w:val="22"/>
                <w:szCs w:val="22"/>
              </w:rPr>
              <w:t xml:space="preserve">e application of CRISPR that </w:t>
            </w:r>
            <w:r w:rsidRPr="00057996">
              <w:rPr>
                <w:sz w:val="22"/>
                <w:szCs w:val="22"/>
              </w:rPr>
              <w:t>is taking place at both national and international levels concerning the l</w:t>
            </w:r>
            <w:r>
              <w:rPr>
                <w:sz w:val="22"/>
                <w:szCs w:val="22"/>
              </w:rPr>
              <w:t xml:space="preserve">imitations of current global </w:t>
            </w:r>
            <w:r w:rsidRPr="00057996">
              <w:rPr>
                <w:sz w:val="22"/>
                <w:szCs w:val="22"/>
              </w:rPr>
              <w:t>governance structures to safeguard its use.</w:t>
            </w:r>
            <w:r>
              <w:t xml:space="preserve"> </w:t>
            </w:r>
            <w:r w:rsidRPr="00057996">
              <w:rPr>
                <w:sz w:val="22"/>
                <w:szCs w:val="22"/>
              </w:rPr>
              <w:t>Largely missing from this conversa</w:t>
            </w:r>
            <w:r>
              <w:rPr>
                <w:sz w:val="22"/>
                <w:szCs w:val="22"/>
              </w:rPr>
              <w:t>tion however, is attention to</w:t>
            </w:r>
            <w:r w:rsidRPr="00057996">
              <w:rPr>
                <w:sz w:val="22"/>
                <w:szCs w:val="22"/>
              </w:rPr>
              <w:t xml:space="preserve"> local communities in decision-making which are likely to be the first to feel any</w:t>
            </w:r>
            <w:r>
              <w:rPr>
                <w:sz w:val="22"/>
                <w:szCs w:val="22"/>
              </w:rPr>
              <w:t xml:space="preserve"> potential impact from these </w:t>
            </w:r>
            <w:r w:rsidRPr="00057996">
              <w:rPr>
                <w:sz w:val="22"/>
                <w:szCs w:val="22"/>
              </w:rPr>
              <w:t>applications (</w:t>
            </w:r>
            <w:proofErr w:type="spellStart"/>
            <w:r w:rsidRPr="00057996">
              <w:rPr>
                <w:sz w:val="22"/>
                <w:szCs w:val="22"/>
              </w:rPr>
              <w:t>Kofler</w:t>
            </w:r>
            <w:proofErr w:type="spellEnd"/>
            <w:r w:rsidRPr="00057996">
              <w:rPr>
                <w:sz w:val="22"/>
                <w:szCs w:val="22"/>
              </w:rPr>
              <w:t xml:space="preserve"> et al., 2018)</w:t>
            </w:r>
            <w:r>
              <w:rPr>
                <w:sz w:val="22"/>
                <w:szCs w:val="22"/>
              </w:rPr>
              <w:t xml:space="preserve">”  </w:t>
            </w:r>
            <w:r w:rsidRPr="00057996">
              <w:rPr>
                <w:sz w:val="22"/>
                <w:szCs w:val="22"/>
              </w:rPr>
              <w:sym w:font="Wingdings" w:char="F0E0"/>
            </w:r>
            <w:r>
              <w:rPr>
                <w:sz w:val="22"/>
                <w:szCs w:val="22"/>
              </w:rPr>
              <w:t xml:space="preserve"> CRISPR </w:t>
            </w:r>
            <w:r w:rsidR="00954F74">
              <w:rPr>
                <w:sz w:val="22"/>
                <w:szCs w:val="22"/>
              </w:rPr>
              <w:t xml:space="preserve">itself is a technique that can be applied for a variety of purposes. </w:t>
            </w:r>
            <w:r w:rsidR="00842B43">
              <w:rPr>
                <w:sz w:val="22"/>
                <w:szCs w:val="22"/>
              </w:rPr>
              <w:t>Only o</w:t>
            </w:r>
            <w:r w:rsidR="00954F74">
              <w:rPr>
                <w:sz w:val="22"/>
                <w:szCs w:val="22"/>
              </w:rPr>
              <w:t>ne</w:t>
            </w:r>
            <w:r w:rsidR="00842B43">
              <w:rPr>
                <w:sz w:val="22"/>
                <w:szCs w:val="22"/>
              </w:rPr>
              <w:t xml:space="preserve"> of its </w:t>
            </w:r>
            <w:r w:rsidR="00954F74">
              <w:rPr>
                <w:sz w:val="22"/>
                <w:szCs w:val="22"/>
              </w:rPr>
              <w:t>application</w:t>
            </w:r>
            <w:r w:rsidR="00842B43">
              <w:rPr>
                <w:sz w:val="22"/>
                <w:szCs w:val="22"/>
              </w:rPr>
              <w:t>s</w:t>
            </w:r>
            <w:r w:rsidR="00954F74">
              <w:rPr>
                <w:sz w:val="22"/>
                <w:szCs w:val="22"/>
              </w:rPr>
              <w:t xml:space="preserve"> is the creation of </w:t>
            </w:r>
            <w:r w:rsidR="00B27702">
              <w:rPr>
                <w:sz w:val="22"/>
                <w:szCs w:val="22"/>
              </w:rPr>
              <w:t>organism</w:t>
            </w:r>
            <w:r w:rsidR="00842B43">
              <w:rPr>
                <w:sz w:val="22"/>
                <w:szCs w:val="22"/>
              </w:rPr>
              <w:t>s</w:t>
            </w:r>
            <w:r w:rsidR="00B27702">
              <w:rPr>
                <w:sz w:val="22"/>
                <w:szCs w:val="22"/>
              </w:rPr>
              <w:t xml:space="preserve"> containing an</w:t>
            </w:r>
            <w:r w:rsidR="00954F74">
              <w:rPr>
                <w:sz w:val="22"/>
                <w:szCs w:val="22"/>
              </w:rPr>
              <w:t xml:space="preserve"> engineered gene drive that may affect local communities. The text should be specified accordingly.</w:t>
            </w:r>
            <w:r>
              <w:rPr>
                <w:sz w:val="22"/>
                <w:szCs w:val="22"/>
              </w:rPr>
              <w:t xml:space="preserve"> </w:t>
            </w:r>
          </w:p>
        </w:tc>
      </w:tr>
      <w:tr w:rsidR="004A4C1C" w:rsidRPr="007F60E8" w14:paraId="459A1E58" w14:textId="77777777" w:rsidTr="00135D96">
        <w:trPr>
          <w:cantSplit/>
          <w:trHeight w:val="233"/>
        </w:trPr>
        <w:tc>
          <w:tcPr>
            <w:tcW w:w="918" w:type="dxa"/>
          </w:tcPr>
          <w:p w14:paraId="7434915D" w14:textId="6D49D8EC" w:rsidR="004A4C1C" w:rsidRDefault="004A4C1C" w:rsidP="004A4C1C">
            <w:pPr>
              <w:rPr>
                <w:sz w:val="22"/>
                <w:szCs w:val="22"/>
              </w:rPr>
            </w:pPr>
            <w:r>
              <w:rPr>
                <w:sz w:val="22"/>
                <w:szCs w:val="22"/>
              </w:rPr>
              <w:t>64</w:t>
            </w:r>
          </w:p>
        </w:tc>
        <w:tc>
          <w:tcPr>
            <w:tcW w:w="1125" w:type="dxa"/>
          </w:tcPr>
          <w:p w14:paraId="1FB99A5E" w14:textId="4513D0FE" w:rsidR="004A4C1C" w:rsidRDefault="004A4C1C" w:rsidP="004A4C1C">
            <w:pPr>
              <w:rPr>
                <w:sz w:val="22"/>
                <w:szCs w:val="22"/>
              </w:rPr>
            </w:pPr>
            <w:r>
              <w:rPr>
                <w:sz w:val="22"/>
                <w:szCs w:val="22"/>
              </w:rPr>
              <w:t>27-31</w:t>
            </w:r>
          </w:p>
        </w:tc>
        <w:tc>
          <w:tcPr>
            <w:tcW w:w="8145" w:type="dxa"/>
            <w:gridSpan w:val="2"/>
          </w:tcPr>
          <w:p w14:paraId="4D9D634C" w14:textId="4B03A294" w:rsidR="00282F1D" w:rsidRDefault="004A4C1C" w:rsidP="000D43EA">
            <w:pPr>
              <w:rPr>
                <w:sz w:val="22"/>
                <w:szCs w:val="22"/>
              </w:rPr>
            </w:pPr>
            <w:r>
              <w:rPr>
                <w:sz w:val="22"/>
                <w:szCs w:val="22"/>
              </w:rPr>
              <w:t xml:space="preserve">The methods described in </w:t>
            </w:r>
            <w:proofErr w:type="spellStart"/>
            <w:r>
              <w:rPr>
                <w:sz w:val="22"/>
                <w:szCs w:val="22"/>
              </w:rPr>
              <w:t>Chhalliyil</w:t>
            </w:r>
            <w:proofErr w:type="spellEnd"/>
            <w:r>
              <w:rPr>
                <w:sz w:val="22"/>
                <w:szCs w:val="22"/>
              </w:rPr>
              <w:t xml:space="preserve"> et al. 2020 and Peng et al. 2020 can </w:t>
            </w:r>
            <w:r w:rsidR="00B27702">
              <w:rPr>
                <w:sz w:val="22"/>
                <w:szCs w:val="22"/>
              </w:rPr>
              <w:t xml:space="preserve">specifically </w:t>
            </w:r>
            <w:r>
              <w:rPr>
                <w:sz w:val="22"/>
                <w:szCs w:val="22"/>
              </w:rPr>
              <w:t>detect a point mutation introduce</w:t>
            </w:r>
            <w:r w:rsidR="00B27702">
              <w:rPr>
                <w:sz w:val="22"/>
                <w:szCs w:val="22"/>
              </w:rPr>
              <w:t>d into a crop plant</w:t>
            </w:r>
            <w:r>
              <w:rPr>
                <w:sz w:val="22"/>
                <w:szCs w:val="22"/>
              </w:rPr>
              <w:t>. However, these methods do not allow the identifi</w:t>
            </w:r>
            <w:r w:rsidR="00842B43">
              <w:rPr>
                <w:sz w:val="22"/>
                <w:szCs w:val="22"/>
              </w:rPr>
              <w:t>cation</w:t>
            </w:r>
            <w:r>
              <w:rPr>
                <w:sz w:val="22"/>
                <w:szCs w:val="22"/>
              </w:rPr>
              <w:t xml:space="preserve"> of a genome-edited plant, because </w:t>
            </w:r>
            <w:r w:rsidR="00007AC7">
              <w:rPr>
                <w:sz w:val="22"/>
                <w:szCs w:val="22"/>
              </w:rPr>
              <w:t>solely identifying a</w:t>
            </w:r>
            <w:r>
              <w:rPr>
                <w:sz w:val="22"/>
                <w:szCs w:val="22"/>
              </w:rPr>
              <w:t xml:space="preserve"> </w:t>
            </w:r>
            <w:r w:rsidR="00AC38FC">
              <w:rPr>
                <w:sz w:val="22"/>
                <w:szCs w:val="22"/>
              </w:rPr>
              <w:t xml:space="preserve">given </w:t>
            </w:r>
            <w:r>
              <w:rPr>
                <w:sz w:val="22"/>
                <w:szCs w:val="22"/>
              </w:rPr>
              <w:t xml:space="preserve">point mutation does not allow to </w:t>
            </w:r>
            <w:r w:rsidR="00AC38FC">
              <w:rPr>
                <w:sz w:val="22"/>
                <w:szCs w:val="22"/>
              </w:rPr>
              <w:t>disclose</w:t>
            </w:r>
            <w:r>
              <w:rPr>
                <w:sz w:val="22"/>
                <w:szCs w:val="22"/>
              </w:rPr>
              <w:t xml:space="preserve"> the method used for the creation of specific point mutation</w:t>
            </w:r>
            <w:r w:rsidR="00AC38FC">
              <w:rPr>
                <w:sz w:val="22"/>
                <w:szCs w:val="22"/>
              </w:rPr>
              <w:t>s</w:t>
            </w:r>
            <w:r>
              <w:rPr>
                <w:sz w:val="22"/>
                <w:szCs w:val="22"/>
              </w:rPr>
              <w:t xml:space="preserve">. </w:t>
            </w:r>
            <w:r w:rsidR="002D146E">
              <w:rPr>
                <w:sz w:val="22"/>
                <w:szCs w:val="22"/>
              </w:rPr>
              <w:t>Consequently, t</w:t>
            </w:r>
            <w:r w:rsidR="00282F1D">
              <w:rPr>
                <w:sz w:val="22"/>
                <w:szCs w:val="22"/>
              </w:rPr>
              <w:t xml:space="preserve">he methods described in </w:t>
            </w:r>
            <w:proofErr w:type="spellStart"/>
            <w:r w:rsidR="00282F1D">
              <w:rPr>
                <w:sz w:val="22"/>
                <w:szCs w:val="22"/>
              </w:rPr>
              <w:t>Chhalliyil</w:t>
            </w:r>
            <w:proofErr w:type="spellEnd"/>
            <w:r w:rsidR="00282F1D">
              <w:rPr>
                <w:sz w:val="22"/>
                <w:szCs w:val="22"/>
              </w:rPr>
              <w:t xml:space="preserve"> and Peng do</w:t>
            </w:r>
            <w:r w:rsidR="00282F1D" w:rsidRPr="00282F1D">
              <w:rPr>
                <w:sz w:val="22"/>
                <w:szCs w:val="22"/>
              </w:rPr>
              <w:t xml:space="preserve"> </w:t>
            </w:r>
            <w:r w:rsidR="00282F1D">
              <w:rPr>
                <w:sz w:val="22"/>
                <w:szCs w:val="22"/>
              </w:rPr>
              <w:t xml:space="preserve">not </w:t>
            </w:r>
            <w:r w:rsidR="00282F1D" w:rsidRPr="00282F1D">
              <w:rPr>
                <w:sz w:val="22"/>
                <w:szCs w:val="22"/>
              </w:rPr>
              <w:t xml:space="preserve">allow for </w:t>
            </w:r>
            <w:r w:rsidR="00282F1D" w:rsidRPr="00282F1D">
              <w:rPr>
                <w:sz w:val="22"/>
                <w:szCs w:val="22"/>
              </w:rPr>
              <w:lastRenderedPageBreak/>
              <w:t xml:space="preserve">the discrimination between a genome-edited plant and a plant having acquired the same point mutation spontaneously or through </w:t>
            </w:r>
            <w:r w:rsidR="002D146E">
              <w:rPr>
                <w:sz w:val="22"/>
                <w:szCs w:val="22"/>
              </w:rPr>
              <w:t>traditional</w:t>
            </w:r>
            <w:r w:rsidR="00282F1D" w:rsidRPr="00282F1D">
              <w:rPr>
                <w:sz w:val="22"/>
                <w:szCs w:val="22"/>
              </w:rPr>
              <w:t xml:space="preserve"> mutagenesis</w:t>
            </w:r>
            <w:r w:rsidR="002D146E">
              <w:rPr>
                <w:sz w:val="22"/>
                <w:szCs w:val="22"/>
              </w:rPr>
              <w:t xml:space="preserve"> e.g. by radiation or chemical treatment of seeds.</w:t>
            </w:r>
            <w:r w:rsidR="00282F1D" w:rsidRPr="00282F1D">
              <w:rPr>
                <w:sz w:val="22"/>
                <w:szCs w:val="22"/>
              </w:rPr>
              <w:t xml:space="preserve"> </w:t>
            </w:r>
            <w:r w:rsidR="00282F1D">
              <w:rPr>
                <w:sz w:val="22"/>
                <w:szCs w:val="22"/>
              </w:rPr>
              <w:t>The following text</w:t>
            </w:r>
            <w:r w:rsidR="005871BC">
              <w:rPr>
                <w:sz w:val="22"/>
                <w:szCs w:val="22"/>
              </w:rPr>
              <w:t>, which is scientifically incorrect</w:t>
            </w:r>
            <w:r w:rsidR="00842B43">
              <w:rPr>
                <w:sz w:val="22"/>
                <w:szCs w:val="22"/>
              </w:rPr>
              <w:t xml:space="preserve"> and grossly misleading</w:t>
            </w:r>
            <w:r w:rsidR="005871BC">
              <w:rPr>
                <w:sz w:val="22"/>
                <w:szCs w:val="22"/>
              </w:rPr>
              <w:t>,</w:t>
            </w:r>
            <w:r w:rsidR="00282F1D">
              <w:rPr>
                <w:sz w:val="22"/>
                <w:szCs w:val="22"/>
              </w:rPr>
              <w:t xml:space="preserve"> should therefore be deleted: </w:t>
            </w:r>
            <w:r>
              <w:rPr>
                <w:sz w:val="22"/>
                <w:szCs w:val="22"/>
              </w:rPr>
              <w:t>“</w:t>
            </w:r>
            <w:r w:rsidR="00282F1D">
              <w:rPr>
                <w:sz w:val="22"/>
                <w:szCs w:val="22"/>
              </w:rPr>
              <w:t>Despite this concern, recent</w:t>
            </w:r>
            <w:r w:rsidR="00282F1D" w:rsidRPr="00282F1D">
              <w:rPr>
                <w:sz w:val="22"/>
                <w:szCs w:val="22"/>
              </w:rPr>
              <w:t xml:space="preserve"> developments have demonstrated the potential possibility of detecting </w:t>
            </w:r>
            <w:r w:rsidR="00282F1D">
              <w:rPr>
                <w:sz w:val="22"/>
                <w:szCs w:val="22"/>
              </w:rPr>
              <w:t>and quantifying genome edited</w:t>
            </w:r>
            <w:r w:rsidR="00282F1D" w:rsidRPr="00282F1D">
              <w:rPr>
                <w:sz w:val="22"/>
                <w:szCs w:val="22"/>
              </w:rPr>
              <w:t xml:space="preserve"> canola and rice utilising real-time quantitative PCR and droplet digital PCR, res</w:t>
            </w:r>
            <w:r w:rsidR="00282F1D">
              <w:rPr>
                <w:sz w:val="22"/>
                <w:szCs w:val="22"/>
              </w:rPr>
              <w:t>pectively (</w:t>
            </w:r>
            <w:proofErr w:type="spellStart"/>
            <w:r w:rsidR="00282F1D">
              <w:rPr>
                <w:sz w:val="22"/>
                <w:szCs w:val="22"/>
              </w:rPr>
              <w:t>Chhalliyil</w:t>
            </w:r>
            <w:proofErr w:type="spellEnd"/>
            <w:r w:rsidR="00282F1D">
              <w:rPr>
                <w:sz w:val="22"/>
                <w:szCs w:val="22"/>
              </w:rPr>
              <w:t xml:space="preserve"> et al.,</w:t>
            </w:r>
            <w:r w:rsidR="00282F1D" w:rsidRPr="00282F1D">
              <w:rPr>
                <w:sz w:val="22"/>
                <w:szCs w:val="22"/>
              </w:rPr>
              <w:t xml:space="preserve"> 2020; Peng et al., 2020). In particular, the method for detecting the genome edited oilseed r</w:t>
            </w:r>
            <w:r w:rsidR="00282F1D">
              <w:rPr>
                <w:sz w:val="22"/>
                <w:szCs w:val="22"/>
              </w:rPr>
              <w:t>ape demonstrated</w:t>
            </w:r>
            <w:r w:rsidR="00282F1D" w:rsidRPr="00282F1D">
              <w:rPr>
                <w:sz w:val="22"/>
                <w:szCs w:val="22"/>
              </w:rPr>
              <w:t xml:space="preserve"> consistency with ISO1702532 standards (</w:t>
            </w:r>
            <w:proofErr w:type="spellStart"/>
            <w:r w:rsidR="00282F1D" w:rsidRPr="00282F1D">
              <w:rPr>
                <w:sz w:val="22"/>
                <w:szCs w:val="22"/>
              </w:rPr>
              <w:t>Chhalliyil</w:t>
            </w:r>
            <w:proofErr w:type="spellEnd"/>
            <w:r w:rsidR="00282F1D" w:rsidRPr="00282F1D">
              <w:rPr>
                <w:sz w:val="22"/>
                <w:szCs w:val="22"/>
              </w:rPr>
              <w:t xml:space="preserve"> et al., 2020</w:t>
            </w:r>
            <w:proofErr w:type="gramStart"/>
            <w:r w:rsidR="00282F1D" w:rsidRPr="00282F1D">
              <w:rPr>
                <w:sz w:val="22"/>
                <w:szCs w:val="22"/>
              </w:rPr>
              <w:t>).</w:t>
            </w:r>
            <w:r w:rsidR="00282F1D">
              <w:rPr>
                <w:sz w:val="22"/>
                <w:szCs w:val="22"/>
              </w:rPr>
              <w:t>“</w:t>
            </w:r>
            <w:proofErr w:type="gramEnd"/>
          </w:p>
          <w:p w14:paraId="2E63CC1C" w14:textId="51580285" w:rsidR="004A4C1C" w:rsidRPr="00AF2AF2" w:rsidRDefault="000D43EA" w:rsidP="008A6561">
            <w:pPr>
              <w:rPr>
                <w:sz w:val="22"/>
                <w:szCs w:val="22"/>
              </w:rPr>
            </w:pPr>
            <w:r>
              <w:rPr>
                <w:sz w:val="22"/>
                <w:szCs w:val="22"/>
              </w:rPr>
              <w:t xml:space="preserve">For reference, please see the statement made by the </w:t>
            </w:r>
            <w:r w:rsidR="00B27702">
              <w:rPr>
                <w:sz w:val="22"/>
                <w:szCs w:val="22"/>
              </w:rPr>
              <w:t>ZKBS</w:t>
            </w:r>
            <w:r w:rsidR="005871BC">
              <w:rPr>
                <w:sz w:val="22"/>
                <w:szCs w:val="22"/>
              </w:rPr>
              <w:t xml:space="preserve"> </w:t>
            </w:r>
            <w:r>
              <w:rPr>
                <w:sz w:val="22"/>
                <w:szCs w:val="22"/>
              </w:rPr>
              <w:t>on its homepage</w:t>
            </w:r>
            <w:r w:rsidR="008A6561">
              <w:rPr>
                <w:sz w:val="22"/>
                <w:szCs w:val="22"/>
              </w:rPr>
              <w:t xml:space="preserve"> </w:t>
            </w:r>
            <w:r>
              <w:rPr>
                <w:sz w:val="22"/>
                <w:szCs w:val="22"/>
              </w:rPr>
              <w:t>(</w:t>
            </w:r>
            <w:r w:rsidR="00F940CD">
              <w:t xml:space="preserve">see </w:t>
            </w:r>
            <w:hyperlink r:id="rId8" w:history="1">
              <w:r w:rsidR="00F940CD" w:rsidRPr="00F940CD">
                <w:rPr>
                  <w:rStyle w:val="Hyperlink"/>
                  <w:sz w:val="22"/>
                </w:rPr>
                <w:t>https://www.zkbs-online.de/ZKBS/EN/Home/home_node.html</w:t>
              </w:r>
            </w:hyperlink>
            <w:r w:rsidR="00F940CD" w:rsidRPr="00F940CD">
              <w:rPr>
                <w:sz w:val="22"/>
              </w:rPr>
              <w:t xml:space="preserve"> </w:t>
            </w:r>
            <w:r w:rsidR="00F940CD" w:rsidRPr="00F940CD">
              <w:rPr>
                <w:sz w:val="22"/>
              </w:rPr>
              <w:sym w:font="Wingdings" w:char="F0E0"/>
            </w:r>
            <w:r w:rsidR="00F940CD" w:rsidRPr="00F940CD">
              <w:rPr>
                <w:sz w:val="22"/>
              </w:rPr>
              <w:t xml:space="preserve"> Commentaries</w:t>
            </w:r>
            <w:r>
              <w:rPr>
                <w:sz w:val="22"/>
                <w:szCs w:val="22"/>
              </w:rPr>
              <w:t>)</w:t>
            </w:r>
            <w:r w:rsidR="00B27702">
              <w:rPr>
                <w:sz w:val="22"/>
                <w:szCs w:val="22"/>
              </w:rPr>
              <w:t>.</w:t>
            </w:r>
            <w:r w:rsidR="00842B43">
              <w:rPr>
                <w:sz w:val="22"/>
                <w:szCs w:val="22"/>
              </w:rPr>
              <w:t xml:space="preserve"> </w:t>
            </w:r>
          </w:p>
        </w:tc>
      </w:tr>
      <w:tr w:rsidR="004A4C1C" w:rsidRPr="00AD22DE" w14:paraId="22D0B75E" w14:textId="77777777" w:rsidTr="00135D96">
        <w:trPr>
          <w:cantSplit/>
          <w:trHeight w:val="233"/>
        </w:trPr>
        <w:tc>
          <w:tcPr>
            <w:tcW w:w="918" w:type="dxa"/>
          </w:tcPr>
          <w:p w14:paraId="40DA72B4" w14:textId="3E42C0EE" w:rsidR="004A4C1C" w:rsidRPr="00F86F63" w:rsidRDefault="004A4C1C" w:rsidP="004A4C1C">
            <w:pPr>
              <w:rPr>
                <w:sz w:val="22"/>
                <w:szCs w:val="22"/>
              </w:rPr>
            </w:pPr>
            <w:r>
              <w:rPr>
                <w:sz w:val="22"/>
                <w:szCs w:val="22"/>
              </w:rPr>
              <w:lastRenderedPageBreak/>
              <w:t>67</w:t>
            </w:r>
          </w:p>
        </w:tc>
        <w:tc>
          <w:tcPr>
            <w:tcW w:w="1125" w:type="dxa"/>
          </w:tcPr>
          <w:p w14:paraId="176F3644" w14:textId="0D2CDC34" w:rsidR="004A4C1C" w:rsidRPr="00F86F63" w:rsidRDefault="004A4C1C" w:rsidP="004A4C1C">
            <w:pPr>
              <w:rPr>
                <w:sz w:val="22"/>
                <w:szCs w:val="22"/>
              </w:rPr>
            </w:pPr>
            <w:r>
              <w:rPr>
                <w:sz w:val="22"/>
                <w:szCs w:val="22"/>
              </w:rPr>
              <w:t>12-15</w:t>
            </w:r>
          </w:p>
        </w:tc>
        <w:tc>
          <w:tcPr>
            <w:tcW w:w="8145" w:type="dxa"/>
            <w:gridSpan w:val="2"/>
          </w:tcPr>
          <w:p w14:paraId="20817E23" w14:textId="6580DFBB" w:rsidR="004A4C1C" w:rsidRPr="00F86F63" w:rsidRDefault="004A4C1C" w:rsidP="00842B43">
            <w:pPr>
              <w:rPr>
                <w:sz w:val="22"/>
                <w:szCs w:val="22"/>
              </w:rPr>
            </w:pPr>
            <w:r>
              <w:rPr>
                <w:sz w:val="22"/>
                <w:szCs w:val="22"/>
              </w:rPr>
              <w:t>The described detection methods do not allow the identifi</w:t>
            </w:r>
            <w:r w:rsidR="00842B43">
              <w:rPr>
                <w:sz w:val="22"/>
                <w:szCs w:val="22"/>
              </w:rPr>
              <w:t>cation</w:t>
            </w:r>
            <w:r>
              <w:rPr>
                <w:sz w:val="22"/>
                <w:szCs w:val="22"/>
              </w:rPr>
              <w:t xml:space="preserve"> of a</w:t>
            </w:r>
            <w:r w:rsidR="00842B43">
              <w:rPr>
                <w:sz w:val="22"/>
                <w:szCs w:val="22"/>
              </w:rPr>
              <w:t xml:space="preserve"> mutant plant as a</w:t>
            </w:r>
            <w:r>
              <w:rPr>
                <w:sz w:val="22"/>
                <w:szCs w:val="22"/>
              </w:rPr>
              <w:t xml:space="preserve"> genome-edited plant (see comment above for page 64). The sentence “However, recent advances in </w:t>
            </w:r>
            <w:r w:rsidRPr="002226C2">
              <w:rPr>
                <w:sz w:val="22"/>
                <w:szCs w:val="22"/>
              </w:rPr>
              <w:t>detection methodologies, including the adaptation of techniques already in use by labor</w:t>
            </w:r>
            <w:r>
              <w:rPr>
                <w:sz w:val="22"/>
                <w:szCs w:val="22"/>
              </w:rPr>
              <w:t>atories, such as</w:t>
            </w:r>
            <w:r w:rsidRPr="002226C2">
              <w:rPr>
                <w:sz w:val="22"/>
                <w:szCs w:val="22"/>
              </w:rPr>
              <w:t xml:space="preserve"> quantitative PCR and digital PCR, could facilitate the detection of genom</w:t>
            </w:r>
            <w:r>
              <w:rPr>
                <w:sz w:val="22"/>
                <w:szCs w:val="22"/>
              </w:rPr>
              <w:t xml:space="preserve">e-edited events more readily </w:t>
            </w:r>
            <w:r w:rsidRPr="002226C2">
              <w:rPr>
                <w:sz w:val="22"/>
                <w:szCs w:val="22"/>
              </w:rPr>
              <w:t>(</w:t>
            </w:r>
            <w:proofErr w:type="spellStart"/>
            <w:r w:rsidRPr="002226C2">
              <w:rPr>
                <w:sz w:val="22"/>
                <w:szCs w:val="22"/>
              </w:rPr>
              <w:t>Chhalliyil</w:t>
            </w:r>
            <w:proofErr w:type="spellEnd"/>
            <w:r w:rsidRPr="002226C2">
              <w:rPr>
                <w:sz w:val="22"/>
                <w:szCs w:val="22"/>
              </w:rPr>
              <w:t xml:space="preserve"> et al., 2020; Peng et al</w:t>
            </w:r>
            <w:r>
              <w:rPr>
                <w:sz w:val="22"/>
                <w:szCs w:val="22"/>
              </w:rPr>
              <w:t xml:space="preserve">., 2020; </w:t>
            </w:r>
            <w:proofErr w:type="spellStart"/>
            <w:r>
              <w:rPr>
                <w:sz w:val="22"/>
                <w:szCs w:val="22"/>
              </w:rPr>
              <w:t>Ribarits</w:t>
            </w:r>
            <w:proofErr w:type="spellEnd"/>
            <w:r>
              <w:rPr>
                <w:sz w:val="22"/>
                <w:szCs w:val="22"/>
              </w:rPr>
              <w:t xml:space="preserve"> et al., 2020)” should therefore be deleted.</w:t>
            </w:r>
          </w:p>
        </w:tc>
      </w:tr>
      <w:tr w:rsidR="004A4C1C" w:rsidRPr="00AD22DE" w14:paraId="7318DCD8" w14:textId="77777777" w:rsidTr="00135D96">
        <w:trPr>
          <w:cantSplit/>
          <w:trHeight w:val="233"/>
        </w:trPr>
        <w:tc>
          <w:tcPr>
            <w:tcW w:w="918" w:type="dxa"/>
          </w:tcPr>
          <w:p w14:paraId="738230BC" w14:textId="30D8472B" w:rsidR="004A4C1C" w:rsidRPr="00F86F63" w:rsidRDefault="004A4C1C" w:rsidP="004A4C1C">
            <w:pPr>
              <w:rPr>
                <w:sz w:val="22"/>
                <w:szCs w:val="22"/>
              </w:rPr>
            </w:pPr>
            <w:r>
              <w:rPr>
                <w:sz w:val="22"/>
                <w:szCs w:val="22"/>
              </w:rPr>
              <w:t>74</w:t>
            </w:r>
          </w:p>
        </w:tc>
        <w:tc>
          <w:tcPr>
            <w:tcW w:w="1125" w:type="dxa"/>
          </w:tcPr>
          <w:p w14:paraId="649495D4" w14:textId="35A6673A" w:rsidR="004A4C1C" w:rsidRPr="00F86F63" w:rsidRDefault="004A4C1C" w:rsidP="004A4C1C">
            <w:pPr>
              <w:rPr>
                <w:sz w:val="22"/>
                <w:szCs w:val="22"/>
              </w:rPr>
            </w:pPr>
            <w:r>
              <w:rPr>
                <w:sz w:val="22"/>
                <w:szCs w:val="22"/>
              </w:rPr>
              <w:t>18-20</w:t>
            </w:r>
          </w:p>
        </w:tc>
        <w:tc>
          <w:tcPr>
            <w:tcW w:w="8145" w:type="dxa"/>
            <w:gridSpan w:val="2"/>
          </w:tcPr>
          <w:p w14:paraId="3344D7D5" w14:textId="4359C74E" w:rsidR="004A4C1C" w:rsidRPr="00F86F63" w:rsidRDefault="004A4C1C" w:rsidP="00842B43">
            <w:pPr>
              <w:rPr>
                <w:sz w:val="22"/>
                <w:szCs w:val="22"/>
              </w:rPr>
            </w:pPr>
            <w:r>
              <w:rPr>
                <w:sz w:val="22"/>
                <w:szCs w:val="22"/>
              </w:rPr>
              <w:t>The text should read “</w:t>
            </w:r>
            <w:r w:rsidRPr="00A75B2E">
              <w:rPr>
                <w:sz w:val="22"/>
                <w:szCs w:val="22"/>
              </w:rPr>
              <w:t>includi</w:t>
            </w:r>
            <w:r>
              <w:rPr>
                <w:sz w:val="22"/>
                <w:szCs w:val="22"/>
              </w:rPr>
              <w:t>ng the operational definition</w:t>
            </w:r>
            <w:r w:rsidRPr="00A75B2E">
              <w:rPr>
                <w:sz w:val="22"/>
                <w:szCs w:val="22"/>
              </w:rPr>
              <w:t xml:space="preserve"> developed by the Ad Hoc Technical Expert Group on Synthetic Biology and</w:t>
            </w:r>
            <w:r>
              <w:rPr>
                <w:sz w:val="22"/>
                <w:szCs w:val="22"/>
              </w:rPr>
              <w:t xml:space="preserve"> </w:t>
            </w:r>
            <w:r w:rsidRPr="004A4C1C">
              <w:rPr>
                <w:strike/>
                <w:sz w:val="22"/>
                <w:szCs w:val="22"/>
              </w:rPr>
              <w:t>acknowledged by the Conference of the Parties</w:t>
            </w:r>
            <w:r w:rsidRPr="00A75B2E">
              <w:rPr>
                <w:sz w:val="22"/>
                <w:szCs w:val="22"/>
              </w:rPr>
              <w:t xml:space="preserve"> </w:t>
            </w:r>
            <w:r w:rsidRPr="004A4C1C">
              <w:rPr>
                <w:i/>
                <w:sz w:val="22"/>
                <w:szCs w:val="22"/>
              </w:rPr>
              <w:t xml:space="preserve">considered useful </w:t>
            </w:r>
            <w:r>
              <w:rPr>
                <w:i/>
                <w:sz w:val="22"/>
                <w:szCs w:val="22"/>
              </w:rPr>
              <w:t xml:space="preserve">by the Conference of the Parties </w:t>
            </w:r>
            <w:r w:rsidRPr="004A4C1C">
              <w:rPr>
                <w:i/>
                <w:sz w:val="22"/>
                <w:szCs w:val="22"/>
              </w:rPr>
              <w:t xml:space="preserve">as a starting point </w:t>
            </w:r>
            <w:r w:rsidRPr="004A4C1C">
              <w:rPr>
                <w:rFonts w:eastAsia="Calibri"/>
                <w:i/>
                <w:sz w:val="22"/>
                <w:szCs w:val="22"/>
              </w:rPr>
              <w:t>for the purpose of facilitating scientific and technical deliberations under the Convention and its Protocols</w:t>
            </w:r>
            <w:r w:rsidRPr="00A75B2E">
              <w:rPr>
                <w:rFonts w:eastAsia="Calibri"/>
                <w:color w:val="000000"/>
                <w:sz w:val="22"/>
                <w:szCs w:val="22"/>
              </w:rPr>
              <w:t>;</w:t>
            </w:r>
            <w:r>
              <w:rPr>
                <w:sz w:val="22"/>
                <w:szCs w:val="22"/>
              </w:rPr>
              <w:t>” The operational definition was not acknowledged by COP</w:t>
            </w:r>
            <w:r w:rsidR="00842B43">
              <w:rPr>
                <w:sz w:val="22"/>
                <w:szCs w:val="22"/>
              </w:rPr>
              <w:t>.</w:t>
            </w:r>
            <w:r>
              <w:rPr>
                <w:sz w:val="22"/>
                <w:szCs w:val="22"/>
              </w:rPr>
              <w:t xml:space="preserve"> </w:t>
            </w:r>
            <w:r w:rsidR="00842B43">
              <w:rPr>
                <w:sz w:val="22"/>
                <w:szCs w:val="22"/>
              </w:rPr>
              <w:t>I</w:t>
            </w:r>
            <w:r>
              <w:rPr>
                <w:sz w:val="22"/>
                <w:szCs w:val="22"/>
              </w:rPr>
              <w:t>nstead</w:t>
            </w:r>
            <w:r w:rsidR="00842B43">
              <w:rPr>
                <w:sz w:val="22"/>
                <w:szCs w:val="22"/>
              </w:rPr>
              <w:t>,</w:t>
            </w:r>
            <w:r>
              <w:rPr>
                <w:sz w:val="22"/>
                <w:szCs w:val="22"/>
              </w:rPr>
              <w:t xml:space="preserve"> the COP acknowledged</w:t>
            </w:r>
            <w:r w:rsidRPr="00F90811">
              <w:rPr>
                <w:sz w:val="22"/>
                <w:szCs w:val="22"/>
              </w:rPr>
              <w:t xml:space="preserve"> that the outcome of the work of the Ad Hoc Technical Expert Group on</w:t>
            </w:r>
            <w:r>
              <w:rPr>
                <w:sz w:val="22"/>
                <w:szCs w:val="22"/>
              </w:rPr>
              <w:t xml:space="preserve"> </w:t>
            </w:r>
            <w:r w:rsidRPr="00F90811">
              <w:rPr>
                <w:sz w:val="22"/>
                <w:szCs w:val="22"/>
              </w:rPr>
              <w:t xml:space="preserve">Synthetic Biology on the operational definition is </w:t>
            </w:r>
            <w:r>
              <w:rPr>
                <w:sz w:val="22"/>
                <w:szCs w:val="22"/>
              </w:rPr>
              <w:t>“syntheti</w:t>
            </w:r>
            <w:r w:rsidRPr="00F90811">
              <w:rPr>
                <w:sz w:val="22"/>
                <w:szCs w:val="22"/>
              </w:rPr>
              <w:t>c biology i</w:t>
            </w:r>
            <w:r>
              <w:rPr>
                <w:sz w:val="22"/>
                <w:szCs w:val="22"/>
              </w:rPr>
              <w:t xml:space="preserve">s a further development and new </w:t>
            </w:r>
            <w:r w:rsidRPr="00F90811">
              <w:rPr>
                <w:sz w:val="22"/>
                <w:szCs w:val="22"/>
              </w:rPr>
              <w:t>dimension of modern biotechnology that combines science, technology and engineering to facilitate and</w:t>
            </w:r>
            <w:r>
              <w:rPr>
                <w:sz w:val="22"/>
                <w:szCs w:val="22"/>
              </w:rPr>
              <w:t xml:space="preserve"> </w:t>
            </w:r>
            <w:r w:rsidRPr="00F90811">
              <w:rPr>
                <w:sz w:val="22"/>
                <w:szCs w:val="22"/>
              </w:rPr>
              <w:t>accelerate the understanding, design, redesign, manufacture and/or modification of genetic materials,</w:t>
            </w:r>
            <w:r>
              <w:rPr>
                <w:sz w:val="22"/>
                <w:szCs w:val="22"/>
              </w:rPr>
              <w:t xml:space="preserve"> living or</w:t>
            </w:r>
            <w:r w:rsidRPr="00F90811">
              <w:rPr>
                <w:sz w:val="22"/>
                <w:szCs w:val="22"/>
              </w:rPr>
              <w:t>gani</w:t>
            </w:r>
            <w:r>
              <w:rPr>
                <w:sz w:val="22"/>
                <w:szCs w:val="22"/>
              </w:rPr>
              <w:t>sms and biological systems”</w:t>
            </w:r>
          </w:p>
        </w:tc>
      </w:tr>
      <w:tr w:rsidR="004A4C1C" w:rsidRPr="00AD22DE" w14:paraId="2203FDED" w14:textId="77777777" w:rsidTr="00135D96">
        <w:trPr>
          <w:cantSplit/>
          <w:trHeight w:val="233"/>
        </w:trPr>
        <w:tc>
          <w:tcPr>
            <w:tcW w:w="918" w:type="dxa"/>
          </w:tcPr>
          <w:p w14:paraId="579FF908" w14:textId="4E4917DE" w:rsidR="004A4C1C" w:rsidRPr="00F86F63" w:rsidRDefault="004A4C1C" w:rsidP="004A4C1C">
            <w:pPr>
              <w:rPr>
                <w:sz w:val="22"/>
                <w:szCs w:val="22"/>
              </w:rPr>
            </w:pPr>
            <w:r>
              <w:rPr>
                <w:sz w:val="22"/>
                <w:szCs w:val="22"/>
              </w:rPr>
              <w:t>82</w:t>
            </w:r>
          </w:p>
        </w:tc>
        <w:tc>
          <w:tcPr>
            <w:tcW w:w="1125" w:type="dxa"/>
          </w:tcPr>
          <w:p w14:paraId="2F218EB6" w14:textId="5F2BCE30" w:rsidR="004A4C1C" w:rsidRPr="00F86F63" w:rsidRDefault="004A4C1C" w:rsidP="004A4C1C">
            <w:pPr>
              <w:rPr>
                <w:sz w:val="22"/>
                <w:szCs w:val="22"/>
              </w:rPr>
            </w:pPr>
            <w:r>
              <w:rPr>
                <w:sz w:val="22"/>
                <w:szCs w:val="22"/>
              </w:rPr>
              <w:t>Table 1</w:t>
            </w:r>
          </w:p>
        </w:tc>
        <w:tc>
          <w:tcPr>
            <w:tcW w:w="8145" w:type="dxa"/>
            <w:gridSpan w:val="2"/>
          </w:tcPr>
          <w:p w14:paraId="356C97B0" w14:textId="7A036C16" w:rsidR="004A4C1C" w:rsidRPr="00F86F63" w:rsidRDefault="004A4C1C" w:rsidP="009A1BE4">
            <w:pPr>
              <w:rPr>
                <w:sz w:val="22"/>
                <w:szCs w:val="22"/>
              </w:rPr>
            </w:pPr>
            <w:r>
              <w:rPr>
                <w:sz w:val="22"/>
                <w:szCs w:val="22"/>
              </w:rPr>
              <w:t xml:space="preserve">Dec. </w:t>
            </w:r>
            <w:r w:rsidR="00AD1532">
              <w:rPr>
                <w:sz w:val="22"/>
                <w:szCs w:val="22"/>
              </w:rPr>
              <w:t>13</w:t>
            </w:r>
            <w:r w:rsidRPr="00F90811">
              <w:rPr>
                <w:sz w:val="22"/>
                <w:szCs w:val="22"/>
              </w:rPr>
              <w:t>/17 (2016)</w:t>
            </w:r>
            <w:r>
              <w:rPr>
                <w:sz w:val="22"/>
                <w:szCs w:val="22"/>
              </w:rPr>
              <w:t>: on the operational definition it must read “</w:t>
            </w:r>
            <w:r w:rsidRPr="00F90811">
              <w:rPr>
                <w:strike/>
                <w:sz w:val="22"/>
                <w:szCs w:val="22"/>
              </w:rPr>
              <w:t xml:space="preserve">Acknowledged the operational definition of “synthetic biology” and </w:t>
            </w:r>
            <w:r>
              <w:rPr>
                <w:sz w:val="22"/>
                <w:szCs w:val="22"/>
              </w:rPr>
              <w:t xml:space="preserve">considered </w:t>
            </w:r>
            <w:r w:rsidRPr="004A4C1C">
              <w:rPr>
                <w:i/>
                <w:sz w:val="22"/>
                <w:szCs w:val="22"/>
              </w:rPr>
              <w:t>the operational definition</w:t>
            </w:r>
            <w:r w:rsidRPr="004A4C1C">
              <w:rPr>
                <w:sz w:val="22"/>
                <w:szCs w:val="22"/>
              </w:rPr>
              <w:t xml:space="preserve"> </w:t>
            </w:r>
            <w:r>
              <w:rPr>
                <w:sz w:val="22"/>
                <w:szCs w:val="22"/>
              </w:rPr>
              <w:t>as</w:t>
            </w:r>
            <w:r w:rsidRPr="00F90811">
              <w:rPr>
                <w:sz w:val="22"/>
                <w:szCs w:val="22"/>
              </w:rPr>
              <w:t xml:space="preserve"> a useful as a starting point for the purpose of facilitating scientific and technical deliberations under the Convention and its Protocols.</w:t>
            </w:r>
            <w:r>
              <w:rPr>
                <w:sz w:val="22"/>
                <w:szCs w:val="22"/>
              </w:rPr>
              <w:t>” The operational definition was not acknowledged by COP, instead the COP acknowledged</w:t>
            </w:r>
            <w:r w:rsidRPr="00F90811">
              <w:rPr>
                <w:sz w:val="22"/>
                <w:szCs w:val="22"/>
              </w:rPr>
              <w:t xml:space="preserve"> that the outcome of the work of the Ad Hoc Technical Expert Group on</w:t>
            </w:r>
            <w:r>
              <w:rPr>
                <w:sz w:val="22"/>
                <w:szCs w:val="22"/>
              </w:rPr>
              <w:t xml:space="preserve"> </w:t>
            </w:r>
            <w:r w:rsidRPr="00F90811">
              <w:rPr>
                <w:sz w:val="22"/>
                <w:szCs w:val="22"/>
              </w:rPr>
              <w:t xml:space="preserve">Synthetic Biology on the operational definition is </w:t>
            </w:r>
            <w:r>
              <w:rPr>
                <w:sz w:val="22"/>
                <w:szCs w:val="22"/>
              </w:rPr>
              <w:t>“syntheti</w:t>
            </w:r>
            <w:r w:rsidRPr="00F90811">
              <w:rPr>
                <w:sz w:val="22"/>
                <w:szCs w:val="22"/>
              </w:rPr>
              <w:t>c biology is a further development and new</w:t>
            </w:r>
            <w:r w:rsidR="009A1BE4">
              <w:rPr>
                <w:sz w:val="22"/>
                <w:szCs w:val="22"/>
              </w:rPr>
              <w:t xml:space="preserve"> </w:t>
            </w:r>
            <w:r w:rsidR="009A1BE4" w:rsidRPr="00F90811">
              <w:rPr>
                <w:sz w:val="22"/>
                <w:szCs w:val="22"/>
              </w:rPr>
              <w:t>dimension of modern biotechnology that combines science, technology and engineering to facilitate and</w:t>
            </w:r>
            <w:r w:rsidR="009A1BE4">
              <w:rPr>
                <w:sz w:val="22"/>
                <w:szCs w:val="22"/>
              </w:rPr>
              <w:t xml:space="preserve"> </w:t>
            </w:r>
            <w:r w:rsidR="009A1BE4" w:rsidRPr="00F90811">
              <w:rPr>
                <w:sz w:val="22"/>
                <w:szCs w:val="22"/>
              </w:rPr>
              <w:t>accelerate the understanding, design, redesign, manufacture and/or modification of genetic materials,</w:t>
            </w:r>
            <w:r w:rsidR="009A1BE4">
              <w:rPr>
                <w:sz w:val="22"/>
                <w:szCs w:val="22"/>
              </w:rPr>
              <w:t xml:space="preserve"> living or</w:t>
            </w:r>
            <w:r w:rsidR="009A1BE4" w:rsidRPr="00F90811">
              <w:rPr>
                <w:sz w:val="22"/>
                <w:szCs w:val="22"/>
              </w:rPr>
              <w:t>gani</w:t>
            </w:r>
            <w:r w:rsidR="009A1BE4">
              <w:rPr>
                <w:sz w:val="22"/>
                <w:szCs w:val="22"/>
              </w:rPr>
              <w:t>sms and biological systems”</w:t>
            </w:r>
            <w:r w:rsidR="009A1BE4" w:rsidRPr="00F90811" w:rsidDel="009A1BE4">
              <w:rPr>
                <w:sz w:val="22"/>
                <w:szCs w:val="22"/>
              </w:rPr>
              <w:t xml:space="preserve"> </w:t>
            </w:r>
          </w:p>
        </w:tc>
      </w:tr>
      <w:tr w:rsidR="004A4C1C" w:rsidRPr="00AD22DE" w14:paraId="0747A123" w14:textId="77777777" w:rsidTr="00135D96">
        <w:trPr>
          <w:cantSplit/>
          <w:trHeight w:val="233"/>
        </w:trPr>
        <w:tc>
          <w:tcPr>
            <w:tcW w:w="918" w:type="dxa"/>
          </w:tcPr>
          <w:p w14:paraId="35490216" w14:textId="69BCEF72" w:rsidR="004A4C1C" w:rsidRPr="00F86F63" w:rsidRDefault="004A4C1C" w:rsidP="004A4C1C">
            <w:pPr>
              <w:rPr>
                <w:sz w:val="22"/>
                <w:szCs w:val="22"/>
              </w:rPr>
            </w:pPr>
            <w:r>
              <w:rPr>
                <w:sz w:val="22"/>
                <w:szCs w:val="22"/>
              </w:rPr>
              <w:t>89</w:t>
            </w:r>
          </w:p>
        </w:tc>
        <w:tc>
          <w:tcPr>
            <w:tcW w:w="1125" w:type="dxa"/>
          </w:tcPr>
          <w:p w14:paraId="4CE1C934" w14:textId="441F0548" w:rsidR="004A4C1C" w:rsidRPr="00F86F63" w:rsidRDefault="004A4C1C" w:rsidP="004A4C1C">
            <w:pPr>
              <w:rPr>
                <w:sz w:val="22"/>
                <w:szCs w:val="22"/>
              </w:rPr>
            </w:pPr>
            <w:r>
              <w:rPr>
                <w:sz w:val="22"/>
                <w:szCs w:val="22"/>
              </w:rPr>
              <w:t>29-32</w:t>
            </w:r>
          </w:p>
        </w:tc>
        <w:tc>
          <w:tcPr>
            <w:tcW w:w="8145" w:type="dxa"/>
            <w:gridSpan w:val="2"/>
          </w:tcPr>
          <w:p w14:paraId="0CF0A71C" w14:textId="663FE68E" w:rsidR="004A4C1C" w:rsidRPr="003B5127" w:rsidRDefault="004A4C1C" w:rsidP="004A4C1C">
            <w:pPr>
              <w:rPr>
                <w:szCs w:val="22"/>
              </w:rPr>
            </w:pPr>
            <w:r>
              <w:rPr>
                <w:sz w:val="22"/>
                <w:szCs w:val="22"/>
              </w:rPr>
              <w:t xml:space="preserve">The SARS-CoV-2 vaccines developed so far are not </w:t>
            </w:r>
            <w:r w:rsidR="00FB686A">
              <w:rPr>
                <w:sz w:val="22"/>
                <w:szCs w:val="22"/>
              </w:rPr>
              <w:t xml:space="preserve">an </w:t>
            </w:r>
            <w:r>
              <w:rPr>
                <w:sz w:val="22"/>
                <w:szCs w:val="22"/>
              </w:rPr>
              <w:t xml:space="preserve">issue of synthetic biology, but of classical </w:t>
            </w:r>
            <w:r w:rsidR="00061B13">
              <w:rPr>
                <w:sz w:val="22"/>
                <w:szCs w:val="22"/>
              </w:rPr>
              <w:t xml:space="preserve">and contemporary </w:t>
            </w:r>
            <w:r>
              <w:rPr>
                <w:sz w:val="22"/>
                <w:szCs w:val="22"/>
              </w:rPr>
              <w:t xml:space="preserve">genetic engineering (reference </w:t>
            </w:r>
            <w:proofErr w:type="spellStart"/>
            <w:r>
              <w:rPr>
                <w:sz w:val="22"/>
                <w:szCs w:val="22"/>
              </w:rPr>
              <w:t>Forni</w:t>
            </w:r>
            <w:proofErr w:type="spellEnd"/>
            <w:r>
              <w:rPr>
                <w:sz w:val="22"/>
                <w:szCs w:val="22"/>
              </w:rPr>
              <w:t xml:space="preserve"> &amp; </w:t>
            </w:r>
            <w:proofErr w:type="spellStart"/>
            <w:r>
              <w:rPr>
                <w:sz w:val="22"/>
                <w:szCs w:val="22"/>
              </w:rPr>
              <w:t>Mantovani</w:t>
            </w:r>
            <w:proofErr w:type="spellEnd"/>
            <w:r>
              <w:rPr>
                <w:sz w:val="22"/>
                <w:szCs w:val="22"/>
              </w:rPr>
              <w:t xml:space="preserve"> 2021</w:t>
            </w:r>
            <w:r>
              <w:rPr>
                <w:szCs w:val="22"/>
              </w:rPr>
              <w:t xml:space="preserve">). </w:t>
            </w:r>
            <w:r w:rsidR="00843C08" w:rsidRPr="00AD1532">
              <w:rPr>
                <w:sz w:val="22"/>
                <w:szCs w:val="22"/>
              </w:rPr>
              <w:t>This</w:t>
            </w:r>
            <w:r w:rsidR="00E54DE6">
              <w:rPr>
                <w:sz w:val="22"/>
                <w:szCs w:val="22"/>
              </w:rPr>
              <w:t xml:space="preserve"> statement</w:t>
            </w:r>
            <w:r w:rsidR="00843C08" w:rsidRPr="00AD1532">
              <w:rPr>
                <w:sz w:val="22"/>
                <w:szCs w:val="22"/>
              </w:rPr>
              <w:t xml:space="preserve"> has to be corrected or</w:t>
            </w:r>
            <w:r w:rsidR="007B5BE0">
              <w:rPr>
                <w:sz w:val="22"/>
                <w:szCs w:val="22"/>
              </w:rPr>
              <w:t xml:space="preserve"> rather, </w:t>
            </w:r>
            <w:r w:rsidR="00E54DE6">
              <w:rPr>
                <w:sz w:val="22"/>
                <w:szCs w:val="22"/>
              </w:rPr>
              <w:t>the sentence</w:t>
            </w:r>
            <w:r w:rsidR="007B5BE0">
              <w:rPr>
                <w:sz w:val="22"/>
                <w:szCs w:val="22"/>
              </w:rPr>
              <w:t xml:space="preserve"> should be</w:t>
            </w:r>
            <w:r w:rsidR="00E54DE6">
              <w:rPr>
                <w:sz w:val="22"/>
                <w:szCs w:val="22"/>
              </w:rPr>
              <w:t xml:space="preserve"> </w:t>
            </w:r>
            <w:r w:rsidR="00843C08" w:rsidRPr="00AD1532">
              <w:rPr>
                <w:sz w:val="22"/>
                <w:szCs w:val="22"/>
              </w:rPr>
              <w:t>deleted.</w:t>
            </w:r>
          </w:p>
        </w:tc>
      </w:tr>
      <w:tr w:rsidR="004A4C1C" w:rsidRPr="00AD22DE" w14:paraId="560666E5" w14:textId="77777777" w:rsidTr="00135D96">
        <w:trPr>
          <w:cantSplit/>
          <w:trHeight w:val="233"/>
        </w:trPr>
        <w:tc>
          <w:tcPr>
            <w:tcW w:w="918" w:type="dxa"/>
          </w:tcPr>
          <w:p w14:paraId="6D6E4422" w14:textId="6CADDAD8" w:rsidR="004A4C1C" w:rsidRPr="00F86F63" w:rsidRDefault="004A4C1C" w:rsidP="004A4C1C">
            <w:pPr>
              <w:rPr>
                <w:sz w:val="22"/>
                <w:szCs w:val="22"/>
              </w:rPr>
            </w:pPr>
          </w:p>
        </w:tc>
        <w:tc>
          <w:tcPr>
            <w:tcW w:w="1125" w:type="dxa"/>
          </w:tcPr>
          <w:p w14:paraId="3A38BA32" w14:textId="4B8B1F84" w:rsidR="004A4C1C" w:rsidRPr="00F86F63" w:rsidRDefault="004A4C1C" w:rsidP="004A4C1C">
            <w:pPr>
              <w:rPr>
                <w:sz w:val="22"/>
                <w:szCs w:val="22"/>
              </w:rPr>
            </w:pPr>
          </w:p>
        </w:tc>
        <w:tc>
          <w:tcPr>
            <w:tcW w:w="8145" w:type="dxa"/>
            <w:gridSpan w:val="2"/>
          </w:tcPr>
          <w:p w14:paraId="2D4BF518" w14:textId="448AFD72" w:rsidR="004A4C1C" w:rsidRPr="00F86F63" w:rsidRDefault="004A4C1C" w:rsidP="004A4C1C">
            <w:pPr>
              <w:rPr>
                <w:sz w:val="22"/>
                <w:szCs w:val="22"/>
              </w:rPr>
            </w:pPr>
          </w:p>
        </w:tc>
      </w:tr>
      <w:tr w:rsidR="004A4C1C" w:rsidRPr="00C658CD" w14:paraId="6817A6D0" w14:textId="77777777" w:rsidTr="00135D96">
        <w:trPr>
          <w:cantSplit/>
          <w:trHeight w:val="233"/>
        </w:trPr>
        <w:tc>
          <w:tcPr>
            <w:tcW w:w="918" w:type="dxa"/>
          </w:tcPr>
          <w:p w14:paraId="4455D7DB" w14:textId="77777777" w:rsidR="004A4C1C" w:rsidRPr="00F86F63" w:rsidRDefault="004A4C1C" w:rsidP="004A4C1C">
            <w:pPr>
              <w:rPr>
                <w:sz w:val="22"/>
                <w:szCs w:val="22"/>
              </w:rPr>
            </w:pPr>
          </w:p>
        </w:tc>
        <w:tc>
          <w:tcPr>
            <w:tcW w:w="1125" w:type="dxa"/>
          </w:tcPr>
          <w:p w14:paraId="2C46BB89" w14:textId="77777777" w:rsidR="004A4C1C" w:rsidRPr="00F86F63" w:rsidRDefault="004A4C1C" w:rsidP="004A4C1C">
            <w:pPr>
              <w:rPr>
                <w:sz w:val="22"/>
                <w:szCs w:val="22"/>
              </w:rPr>
            </w:pPr>
          </w:p>
        </w:tc>
        <w:tc>
          <w:tcPr>
            <w:tcW w:w="8145" w:type="dxa"/>
            <w:gridSpan w:val="2"/>
          </w:tcPr>
          <w:p w14:paraId="30953B7B" w14:textId="38659796" w:rsidR="004A4C1C" w:rsidRPr="00C658CD" w:rsidRDefault="004A4C1C" w:rsidP="004A4C1C">
            <w:pPr>
              <w:rPr>
                <w:sz w:val="22"/>
                <w:szCs w:val="22"/>
              </w:rPr>
            </w:pPr>
          </w:p>
        </w:tc>
      </w:tr>
    </w:tbl>
    <w:p w14:paraId="6E675E30" w14:textId="77777777" w:rsidR="00593BC6" w:rsidRDefault="00593BC6" w:rsidP="00593BC6">
      <w:pPr>
        <w:tabs>
          <w:tab w:val="left" w:pos="7020"/>
        </w:tabs>
        <w:ind w:right="44"/>
        <w:jc w:val="both"/>
        <w:rPr>
          <w:szCs w:val="22"/>
        </w:rPr>
      </w:pPr>
    </w:p>
    <w:p w14:paraId="0E955578" w14:textId="77777777" w:rsidR="00593BC6" w:rsidRDefault="00593BC6" w:rsidP="00593BC6">
      <w:pPr>
        <w:tabs>
          <w:tab w:val="left" w:pos="7020"/>
        </w:tabs>
        <w:ind w:right="44"/>
        <w:jc w:val="both"/>
        <w:rPr>
          <w:szCs w:val="22"/>
        </w:rPr>
      </w:pPr>
    </w:p>
    <w:p w14:paraId="11FCA427" w14:textId="77777777" w:rsidR="00593BC6" w:rsidRDefault="00593BC6" w:rsidP="00593BC6">
      <w:pPr>
        <w:tabs>
          <w:tab w:val="left" w:pos="7020"/>
        </w:tabs>
        <w:ind w:right="44"/>
        <w:jc w:val="both"/>
        <w:rPr>
          <w:szCs w:val="22"/>
        </w:rPr>
      </w:pPr>
    </w:p>
    <w:p w14:paraId="2432318E" w14:textId="1E7BC26A" w:rsidR="004D6145" w:rsidRPr="00593BC6" w:rsidRDefault="00593BC6" w:rsidP="004B6042">
      <w:pPr>
        <w:pStyle w:val="Fuzeile"/>
        <w:jc w:val="center"/>
        <w:rPr>
          <w:lang w:val="en-CA"/>
        </w:rPr>
      </w:pPr>
      <w:r w:rsidRPr="00C658CD">
        <w:rPr>
          <w:sz w:val="22"/>
          <w:szCs w:val="22"/>
          <w:lang w:val="en-CA"/>
        </w:rPr>
        <w:t xml:space="preserve">Please submit your comments to </w:t>
      </w:r>
      <w:hyperlink r:id="rId9" w:history="1">
        <w:r w:rsidRPr="00C658CD">
          <w:rPr>
            <w:rStyle w:val="Hyperlink"/>
            <w:sz w:val="22"/>
            <w:szCs w:val="22"/>
            <w:lang w:val="en-CA"/>
          </w:rPr>
          <w:t>secretariat@cbd.int</w:t>
        </w:r>
      </w:hyperlink>
      <w:r w:rsidRPr="00C658CD">
        <w:rPr>
          <w:sz w:val="22"/>
          <w:szCs w:val="22"/>
          <w:lang w:val="en-CA"/>
        </w:rPr>
        <w:t>.</w:t>
      </w:r>
    </w:p>
    <w:sectPr w:rsidR="004D6145" w:rsidRPr="00593BC6" w:rsidSect="00EA105F">
      <w:headerReference w:type="first" r:id="rId10"/>
      <w:pgSz w:w="12240" w:h="15840" w:code="1"/>
      <w:pgMar w:top="1134" w:right="1418" w:bottom="1134" w:left="1418" w:header="340" w:footer="11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16E22" w16cex:dateUtc="2021-06-26T07:13:00Z"/>
  <w16cex:commentExtensible w16cex:durableId="2481717E" w16cex:dateUtc="2021-06-26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2F1C81" w16cid:durableId="24816A41"/>
  <w16cid:commentId w16cid:paraId="34368188" w16cid:durableId="24816E22"/>
  <w16cid:commentId w16cid:paraId="4299C2BF" w16cid:durableId="24816A42"/>
  <w16cid:commentId w16cid:paraId="4B2AACFE" w16cid:durableId="248171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D229" w14:textId="77777777" w:rsidR="00E27D0B" w:rsidRDefault="00E27D0B" w:rsidP="00593BC6">
      <w:r>
        <w:separator/>
      </w:r>
    </w:p>
  </w:endnote>
  <w:endnote w:type="continuationSeparator" w:id="0">
    <w:p w14:paraId="04456EB2" w14:textId="77777777" w:rsidR="00E27D0B" w:rsidRDefault="00E27D0B"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2F84B" w14:textId="77777777" w:rsidR="00E27D0B" w:rsidRDefault="00E27D0B" w:rsidP="00593BC6">
      <w:r>
        <w:separator/>
      </w:r>
    </w:p>
  </w:footnote>
  <w:footnote w:type="continuationSeparator" w:id="0">
    <w:p w14:paraId="2AE233C5" w14:textId="77777777" w:rsidR="00E27D0B" w:rsidRDefault="00E27D0B"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1991" w14:textId="77777777" w:rsidR="00FB686A" w:rsidRDefault="00FB686A" w:rsidP="00EA105F">
    <w:pPr>
      <w:pStyle w:val="Kopfzeile"/>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92B36"/>
    <w:multiLevelType w:val="hybridMultilevel"/>
    <w:tmpl w:val="1DE66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96E4A"/>
    <w:multiLevelType w:val="hybridMultilevel"/>
    <w:tmpl w:val="E5B8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1C780A"/>
    <w:multiLevelType w:val="hybridMultilevel"/>
    <w:tmpl w:val="FB467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340B8F"/>
    <w:multiLevelType w:val="hybridMultilevel"/>
    <w:tmpl w:val="20F6D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C6"/>
    <w:rsid w:val="00007AC7"/>
    <w:rsid w:val="00042323"/>
    <w:rsid w:val="00052903"/>
    <w:rsid w:val="00054613"/>
    <w:rsid w:val="00054A2E"/>
    <w:rsid w:val="00057996"/>
    <w:rsid w:val="00061B13"/>
    <w:rsid w:val="00091F4D"/>
    <w:rsid w:val="000A281E"/>
    <w:rsid w:val="000A3057"/>
    <w:rsid w:val="000A54FC"/>
    <w:rsid w:val="000D3FC9"/>
    <w:rsid w:val="000D43EA"/>
    <w:rsid w:val="000D6A5A"/>
    <w:rsid w:val="000E141D"/>
    <w:rsid w:val="000E2E07"/>
    <w:rsid w:val="0010733E"/>
    <w:rsid w:val="00110342"/>
    <w:rsid w:val="00131257"/>
    <w:rsid w:val="00135D96"/>
    <w:rsid w:val="00140D6E"/>
    <w:rsid w:val="0014227C"/>
    <w:rsid w:val="0016475A"/>
    <w:rsid w:val="00180BEC"/>
    <w:rsid w:val="001847A4"/>
    <w:rsid w:val="00194A63"/>
    <w:rsid w:val="00196318"/>
    <w:rsid w:val="001B0CD5"/>
    <w:rsid w:val="001D2CCA"/>
    <w:rsid w:val="002226C2"/>
    <w:rsid w:val="0024383F"/>
    <w:rsid w:val="00282F1D"/>
    <w:rsid w:val="00291E2E"/>
    <w:rsid w:val="00293F84"/>
    <w:rsid w:val="002C1A07"/>
    <w:rsid w:val="002C47BC"/>
    <w:rsid w:val="002D146E"/>
    <w:rsid w:val="0032155A"/>
    <w:rsid w:val="00357CD4"/>
    <w:rsid w:val="00363EF2"/>
    <w:rsid w:val="00364135"/>
    <w:rsid w:val="003925B2"/>
    <w:rsid w:val="00393449"/>
    <w:rsid w:val="003B5127"/>
    <w:rsid w:val="003C5737"/>
    <w:rsid w:val="003D4CD2"/>
    <w:rsid w:val="00400317"/>
    <w:rsid w:val="00404A8A"/>
    <w:rsid w:val="00430349"/>
    <w:rsid w:val="00442912"/>
    <w:rsid w:val="0048127D"/>
    <w:rsid w:val="004A4C1C"/>
    <w:rsid w:val="004B6042"/>
    <w:rsid w:val="004D6145"/>
    <w:rsid w:val="004E426F"/>
    <w:rsid w:val="00524BE0"/>
    <w:rsid w:val="00527080"/>
    <w:rsid w:val="00535C8F"/>
    <w:rsid w:val="005411E6"/>
    <w:rsid w:val="0055289E"/>
    <w:rsid w:val="0058392A"/>
    <w:rsid w:val="005871BC"/>
    <w:rsid w:val="00593BC6"/>
    <w:rsid w:val="00594E31"/>
    <w:rsid w:val="005C4C24"/>
    <w:rsid w:val="00652D1D"/>
    <w:rsid w:val="006F0BAF"/>
    <w:rsid w:val="00735FF1"/>
    <w:rsid w:val="007519F4"/>
    <w:rsid w:val="0077704F"/>
    <w:rsid w:val="00780EC4"/>
    <w:rsid w:val="007B0B7A"/>
    <w:rsid w:val="007B2CD9"/>
    <w:rsid w:val="007B3DEC"/>
    <w:rsid w:val="007B5BE0"/>
    <w:rsid w:val="007F1BF1"/>
    <w:rsid w:val="007F60E8"/>
    <w:rsid w:val="00817B0F"/>
    <w:rsid w:val="00842B43"/>
    <w:rsid w:val="00843C08"/>
    <w:rsid w:val="008530FD"/>
    <w:rsid w:val="00854B69"/>
    <w:rsid w:val="00872EB7"/>
    <w:rsid w:val="00882C32"/>
    <w:rsid w:val="00887DC7"/>
    <w:rsid w:val="008A6561"/>
    <w:rsid w:val="008A7F99"/>
    <w:rsid w:val="008C05B8"/>
    <w:rsid w:val="008E64E6"/>
    <w:rsid w:val="0094096F"/>
    <w:rsid w:val="00954F74"/>
    <w:rsid w:val="009648C4"/>
    <w:rsid w:val="00991F51"/>
    <w:rsid w:val="009A1BE4"/>
    <w:rsid w:val="009A6495"/>
    <w:rsid w:val="009E45B8"/>
    <w:rsid w:val="00A05BE6"/>
    <w:rsid w:val="00A216C3"/>
    <w:rsid w:val="00A30AB0"/>
    <w:rsid w:val="00A37BA3"/>
    <w:rsid w:val="00A439A0"/>
    <w:rsid w:val="00A545C6"/>
    <w:rsid w:val="00A75B2E"/>
    <w:rsid w:val="00A96275"/>
    <w:rsid w:val="00AB508B"/>
    <w:rsid w:val="00AC36DB"/>
    <w:rsid w:val="00AC38FC"/>
    <w:rsid w:val="00AD1532"/>
    <w:rsid w:val="00AD22DE"/>
    <w:rsid w:val="00AF2AF2"/>
    <w:rsid w:val="00B252F2"/>
    <w:rsid w:val="00B27702"/>
    <w:rsid w:val="00B30682"/>
    <w:rsid w:val="00B325BF"/>
    <w:rsid w:val="00B373CC"/>
    <w:rsid w:val="00B662B0"/>
    <w:rsid w:val="00BB14D8"/>
    <w:rsid w:val="00BD5D26"/>
    <w:rsid w:val="00C1610F"/>
    <w:rsid w:val="00C33566"/>
    <w:rsid w:val="00C4249E"/>
    <w:rsid w:val="00C86B99"/>
    <w:rsid w:val="00CB1053"/>
    <w:rsid w:val="00CC6E35"/>
    <w:rsid w:val="00D066E1"/>
    <w:rsid w:val="00D31573"/>
    <w:rsid w:val="00D60758"/>
    <w:rsid w:val="00D97576"/>
    <w:rsid w:val="00DD4F55"/>
    <w:rsid w:val="00DF695B"/>
    <w:rsid w:val="00E073DB"/>
    <w:rsid w:val="00E12DFF"/>
    <w:rsid w:val="00E227B2"/>
    <w:rsid w:val="00E27D0B"/>
    <w:rsid w:val="00E54DE6"/>
    <w:rsid w:val="00EA105F"/>
    <w:rsid w:val="00EA61CD"/>
    <w:rsid w:val="00EE45CD"/>
    <w:rsid w:val="00F73C17"/>
    <w:rsid w:val="00F754C0"/>
    <w:rsid w:val="00F8658F"/>
    <w:rsid w:val="00F86F63"/>
    <w:rsid w:val="00F90811"/>
    <w:rsid w:val="00F940CD"/>
    <w:rsid w:val="00F94D0C"/>
    <w:rsid w:val="00F97BB4"/>
    <w:rsid w:val="00FB07C1"/>
    <w:rsid w:val="00FB1BA9"/>
    <w:rsid w:val="00FB67C2"/>
    <w:rsid w:val="00FB686A"/>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515135"/>
  <w15:docId w15:val="{64148AAD-6BA8-47A1-8982-63E04896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3BC6"/>
    <w:rPr>
      <w:rFonts w:ascii="Times New Roman" w:eastAsia="Times New Roman" w:hAnsi="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93BC6"/>
    <w:pPr>
      <w:tabs>
        <w:tab w:val="center" w:pos="4320"/>
        <w:tab w:val="right" w:pos="8640"/>
      </w:tabs>
    </w:pPr>
  </w:style>
  <w:style w:type="character" w:customStyle="1" w:styleId="KopfzeileZchn">
    <w:name w:val="Kopfzeile Zchn"/>
    <w:link w:val="Kopfzeile"/>
    <w:rsid w:val="00593BC6"/>
    <w:rPr>
      <w:rFonts w:ascii="Times New Roman" w:eastAsia="Times New Roman" w:hAnsi="Times New Roman" w:cs="Times New Roman"/>
      <w:sz w:val="24"/>
      <w:szCs w:val="24"/>
      <w:lang w:val="en-GB" w:eastAsia="en-CA"/>
    </w:rPr>
  </w:style>
  <w:style w:type="paragraph" w:styleId="Fuzeile">
    <w:name w:val="footer"/>
    <w:basedOn w:val="Standard"/>
    <w:link w:val="FuzeileZchn"/>
    <w:rsid w:val="00593BC6"/>
    <w:pPr>
      <w:tabs>
        <w:tab w:val="center" w:pos="4320"/>
        <w:tab w:val="right" w:pos="8640"/>
      </w:tabs>
    </w:pPr>
  </w:style>
  <w:style w:type="character" w:customStyle="1" w:styleId="FuzeileZchn">
    <w:name w:val="Fußzeile Zchn"/>
    <w:link w:val="Fuzeile"/>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Sprechblasentext">
    <w:name w:val="Balloon Text"/>
    <w:basedOn w:val="Standard"/>
    <w:link w:val="SprechblasentextZchn"/>
    <w:uiPriority w:val="99"/>
    <w:semiHidden/>
    <w:unhideWhenUsed/>
    <w:rsid w:val="000546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613"/>
    <w:rPr>
      <w:rFonts w:ascii="Segoe UI" w:eastAsia="Times New Roman" w:hAnsi="Segoe UI" w:cs="Segoe UI"/>
      <w:sz w:val="18"/>
      <w:szCs w:val="18"/>
      <w:lang w:val="en-GB"/>
    </w:rPr>
  </w:style>
  <w:style w:type="paragraph" w:customStyle="1" w:styleId="Default">
    <w:name w:val="Default"/>
    <w:rsid w:val="0077704F"/>
    <w:pPr>
      <w:autoSpaceDE w:val="0"/>
      <w:autoSpaceDN w:val="0"/>
      <w:adjustRightInd w:val="0"/>
    </w:pPr>
    <w:rPr>
      <w:rFonts w:ascii="Times New Roman" w:hAnsi="Times New Roman"/>
      <w:color w:val="000000"/>
      <w:sz w:val="24"/>
      <w:szCs w:val="24"/>
      <w:lang w:val="en-GB"/>
    </w:rPr>
  </w:style>
  <w:style w:type="character" w:styleId="Kommentarzeichen">
    <w:name w:val="annotation reference"/>
    <w:basedOn w:val="Absatz-Standardschriftart"/>
    <w:uiPriority w:val="99"/>
    <w:semiHidden/>
    <w:unhideWhenUsed/>
    <w:rsid w:val="00A30AB0"/>
    <w:rPr>
      <w:sz w:val="16"/>
      <w:szCs w:val="16"/>
    </w:rPr>
  </w:style>
  <w:style w:type="paragraph" w:styleId="Kommentartext">
    <w:name w:val="annotation text"/>
    <w:basedOn w:val="Standard"/>
    <w:link w:val="KommentartextZchn"/>
    <w:uiPriority w:val="99"/>
    <w:semiHidden/>
    <w:unhideWhenUsed/>
    <w:rsid w:val="00A30AB0"/>
    <w:rPr>
      <w:sz w:val="20"/>
      <w:szCs w:val="20"/>
    </w:rPr>
  </w:style>
  <w:style w:type="character" w:customStyle="1" w:styleId="KommentartextZchn">
    <w:name w:val="Kommentartext Zchn"/>
    <w:basedOn w:val="Absatz-Standardschriftart"/>
    <w:link w:val="Kommentartext"/>
    <w:uiPriority w:val="99"/>
    <w:semiHidden/>
    <w:rsid w:val="00A30AB0"/>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A30AB0"/>
    <w:rPr>
      <w:b/>
      <w:bCs/>
    </w:rPr>
  </w:style>
  <w:style w:type="character" w:customStyle="1" w:styleId="KommentarthemaZchn">
    <w:name w:val="Kommentarthema Zchn"/>
    <w:basedOn w:val="KommentartextZchn"/>
    <w:link w:val="Kommentarthema"/>
    <w:uiPriority w:val="99"/>
    <w:semiHidden/>
    <w:rsid w:val="00A30AB0"/>
    <w:rPr>
      <w:rFonts w:ascii="Times New Roman" w:eastAsia="Times New Roman" w:hAnsi="Times New Roman"/>
      <w:b/>
      <w:bCs/>
      <w:lang w:val="en-GB"/>
    </w:rPr>
  </w:style>
  <w:style w:type="paragraph" w:styleId="Listenabsatz">
    <w:name w:val="List Paragraph"/>
    <w:basedOn w:val="Standard"/>
    <w:uiPriority w:val="34"/>
    <w:qFormat/>
    <w:rsid w:val="002C4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kbs-online.de/ZKBS/EN/Home/home_node.html"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zkbs-online.de/ZKBS/EN/Home/home_no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iat@cbd.int"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8922</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SCBD</Company>
  <LinksUpToDate>false</LinksUpToDate>
  <CharactersWithSpaces>10467</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Straßheim, Dr. Swantje</cp:lastModifiedBy>
  <cp:revision>6</cp:revision>
  <dcterms:created xsi:type="dcterms:W3CDTF">2021-07-01T14:20:00Z</dcterms:created>
  <dcterms:modified xsi:type="dcterms:W3CDTF">2021-07-06T16:41:00Z</dcterms:modified>
</cp:coreProperties>
</file>