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FDFC" w14:textId="759E47D6" w:rsidR="00593BC6" w:rsidRDefault="00593BC6" w:rsidP="00593BC6">
      <w:pPr>
        <w:pStyle w:val="Header"/>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26EA7AB3" w14:textId="31591237" w:rsidR="00D97576" w:rsidRPr="00C658CD" w:rsidRDefault="0032155A" w:rsidP="00D144FD">
      <w:pPr>
        <w:pStyle w:val="Header"/>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EA105F">
            <w:pPr>
              <w:rPr>
                <w:b/>
                <w:sz w:val="22"/>
                <w:szCs w:val="22"/>
              </w:rPr>
            </w:pPr>
            <w:r w:rsidRPr="00C658CD">
              <w:rPr>
                <w:b/>
                <w:sz w:val="22"/>
                <w:szCs w:val="22"/>
              </w:rPr>
              <w:t>Surname:</w:t>
            </w:r>
          </w:p>
        </w:tc>
        <w:tc>
          <w:tcPr>
            <w:tcW w:w="8038" w:type="dxa"/>
          </w:tcPr>
          <w:p w14:paraId="3AB47FF8" w14:textId="7C5DE3D9" w:rsidR="00593BC6" w:rsidRPr="00C658CD" w:rsidRDefault="004B7174" w:rsidP="00EA105F">
            <w:pPr>
              <w:rPr>
                <w:sz w:val="22"/>
                <w:szCs w:val="22"/>
              </w:rPr>
            </w:pPr>
            <w:r>
              <w:rPr>
                <w:sz w:val="22"/>
                <w:szCs w:val="22"/>
              </w:rPr>
              <w:t>Robinson</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EA105F">
            <w:pPr>
              <w:rPr>
                <w:b/>
                <w:sz w:val="22"/>
                <w:szCs w:val="22"/>
              </w:rPr>
            </w:pPr>
          </w:p>
        </w:tc>
        <w:tc>
          <w:tcPr>
            <w:tcW w:w="8038" w:type="dxa"/>
          </w:tcPr>
          <w:p w14:paraId="24DC2B26" w14:textId="77777777" w:rsidR="00593BC6" w:rsidRPr="00C658CD" w:rsidRDefault="00593BC6" w:rsidP="00EA105F">
            <w:pPr>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8038" w:type="dxa"/>
          </w:tcPr>
          <w:p w14:paraId="1F1AFCCD" w14:textId="565314DD" w:rsidR="00593BC6" w:rsidRPr="00C658CD" w:rsidRDefault="004B7174" w:rsidP="00EA105F">
            <w:pPr>
              <w:rPr>
                <w:sz w:val="22"/>
                <w:szCs w:val="22"/>
              </w:rPr>
            </w:pPr>
            <w:r>
              <w:rPr>
                <w:sz w:val="22"/>
                <w:szCs w:val="22"/>
              </w:rPr>
              <w:t>Benjamin</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EA105F">
            <w:pPr>
              <w:rPr>
                <w:b/>
                <w:sz w:val="22"/>
                <w:szCs w:val="22"/>
              </w:rPr>
            </w:pPr>
          </w:p>
        </w:tc>
        <w:tc>
          <w:tcPr>
            <w:tcW w:w="8038" w:type="dxa"/>
          </w:tcPr>
          <w:p w14:paraId="286530CF" w14:textId="77777777" w:rsidR="00593BC6" w:rsidRPr="00C658CD" w:rsidRDefault="00593BC6" w:rsidP="00EA105F">
            <w:pPr>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8038" w:type="dxa"/>
          </w:tcPr>
          <w:p w14:paraId="119BAC5F" w14:textId="77777777" w:rsidR="00593BC6" w:rsidRPr="00F86F63" w:rsidRDefault="00593BC6" w:rsidP="00EA105F">
            <w:pPr>
              <w:rPr>
                <w:sz w:val="22"/>
                <w:szCs w:val="22"/>
              </w:rPr>
            </w:pP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8038" w:type="dxa"/>
          </w:tcPr>
          <w:p w14:paraId="2CA88BC1" w14:textId="77777777" w:rsidR="00593BC6" w:rsidRPr="00C658CD" w:rsidRDefault="00593BC6" w:rsidP="00EA105F">
            <w:pPr>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EA105F">
            <w:pPr>
              <w:rPr>
                <w:b/>
                <w:sz w:val="22"/>
                <w:szCs w:val="22"/>
              </w:rPr>
            </w:pPr>
          </w:p>
        </w:tc>
        <w:tc>
          <w:tcPr>
            <w:tcW w:w="8038" w:type="dxa"/>
          </w:tcPr>
          <w:p w14:paraId="09AED490" w14:textId="77777777" w:rsidR="00593BC6" w:rsidRPr="00C658CD" w:rsidRDefault="00593BC6" w:rsidP="00EA105F">
            <w:pPr>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8038" w:type="dxa"/>
          </w:tcPr>
          <w:p w14:paraId="44E1FC10" w14:textId="766D62EF" w:rsidR="00593BC6" w:rsidRPr="00C658CD" w:rsidRDefault="004B7174" w:rsidP="00EA105F">
            <w:pPr>
              <w:rPr>
                <w:sz w:val="22"/>
                <w:szCs w:val="22"/>
              </w:rPr>
            </w:pPr>
            <w:r>
              <w:rPr>
                <w:sz w:val="22"/>
                <w:szCs w:val="22"/>
              </w:rPr>
              <w:t>Outreach Network for Gene Drive Research</w:t>
            </w:r>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EA105F">
            <w:pPr>
              <w:rPr>
                <w:b/>
                <w:sz w:val="22"/>
                <w:szCs w:val="22"/>
              </w:rPr>
            </w:pPr>
          </w:p>
        </w:tc>
        <w:tc>
          <w:tcPr>
            <w:tcW w:w="8038" w:type="dxa"/>
          </w:tcPr>
          <w:p w14:paraId="5A530AD5" w14:textId="77777777" w:rsidR="00593BC6" w:rsidRPr="00C658CD" w:rsidRDefault="00593BC6" w:rsidP="00EA105F">
            <w:pPr>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8038" w:type="dxa"/>
          </w:tcPr>
          <w:p w14:paraId="7D07E304" w14:textId="0D36A584" w:rsidR="00593BC6" w:rsidRPr="00C658CD" w:rsidRDefault="004B7174" w:rsidP="00EA105F">
            <w:pPr>
              <w:rPr>
                <w:sz w:val="22"/>
                <w:szCs w:val="22"/>
              </w:rPr>
            </w:pPr>
            <w:hyperlink r:id="rId7" w:history="1">
              <w:r w:rsidRPr="00132FBC">
                <w:rPr>
                  <w:rStyle w:val="Hyperlink"/>
                  <w:sz w:val="22"/>
                  <w:szCs w:val="22"/>
                </w:rPr>
                <w:t>ben@emergingag.com</w:t>
              </w:r>
            </w:hyperlink>
            <w:r>
              <w:rPr>
                <w:sz w:val="22"/>
                <w:szCs w:val="22"/>
              </w:rPr>
              <w:t xml:space="preserve"> </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EA105F">
            <w:pPr>
              <w:rPr>
                <w:b/>
                <w:sz w:val="22"/>
                <w:szCs w:val="22"/>
              </w:rPr>
            </w:pPr>
          </w:p>
        </w:tc>
        <w:tc>
          <w:tcPr>
            <w:tcW w:w="8038" w:type="dxa"/>
          </w:tcPr>
          <w:p w14:paraId="267E6375" w14:textId="77777777" w:rsidR="00593BC6" w:rsidRPr="00C658CD"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EA105F">
            <w:pPr>
              <w:rPr>
                <w:b/>
                <w:sz w:val="22"/>
                <w:szCs w:val="22"/>
              </w:rPr>
            </w:pPr>
            <w:r w:rsidRPr="00C658CD">
              <w:rPr>
                <w:b/>
                <w:sz w:val="22"/>
                <w:szCs w:val="22"/>
              </w:rPr>
              <w:t>Comment</w:t>
            </w:r>
          </w:p>
        </w:tc>
      </w:tr>
      <w:tr w:rsidR="00593BC6" w:rsidRPr="00C658CD" w14:paraId="52D4B2D0" w14:textId="77777777" w:rsidTr="00135D96">
        <w:trPr>
          <w:cantSplit/>
          <w:trHeight w:val="233"/>
        </w:trPr>
        <w:tc>
          <w:tcPr>
            <w:tcW w:w="918" w:type="dxa"/>
          </w:tcPr>
          <w:p w14:paraId="2E5AE1CF" w14:textId="77777777" w:rsidR="00593BC6" w:rsidRPr="00971B04" w:rsidRDefault="00593BC6" w:rsidP="00EA105F">
            <w:r w:rsidRPr="00971B04">
              <w:t>0</w:t>
            </w:r>
          </w:p>
        </w:tc>
        <w:tc>
          <w:tcPr>
            <w:tcW w:w="1125" w:type="dxa"/>
          </w:tcPr>
          <w:p w14:paraId="6F9597EA" w14:textId="77777777" w:rsidR="00593BC6" w:rsidRPr="00971B04" w:rsidRDefault="00593BC6" w:rsidP="00EA105F">
            <w:r w:rsidRPr="00971B04">
              <w:t>0</w:t>
            </w:r>
          </w:p>
        </w:tc>
        <w:tc>
          <w:tcPr>
            <w:tcW w:w="8145" w:type="dxa"/>
            <w:gridSpan w:val="2"/>
          </w:tcPr>
          <w:p w14:paraId="3BAA4619" w14:textId="77777777" w:rsidR="00593BC6" w:rsidRPr="00971B04" w:rsidRDefault="00F7637D" w:rsidP="00EA105F">
            <w:pPr>
              <w:rPr>
                <w:b/>
                <w:bCs/>
              </w:rPr>
            </w:pPr>
            <w:r w:rsidRPr="00971B04">
              <w:rPr>
                <w:b/>
                <w:bCs/>
              </w:rPr>
              <w:t>General Comment:</w:t>
            </w:r>
          </w:p>
          <w:p w14:paraId="58F1E46B" w14:textId="2952EDDD" w:rsidR="00F7637D" w:rsidRPr="00971B04" w:rsidRDefault="004B7174" w:rsidP="00EA105F">
            <w:r>
              <w:t>Gene drives are consistently characterised as</w:t>
            </w:r>
            <w:r w:rsidR="00F7637D" w:rsidRPr="00971B04">
              <w:t xml:space="preserve"> being in the advanced stages of research or on the cusp of commercialization throughout the text. </w:t>
            </w:r>
            <w:r>
              <w:t xml:space="preserve">It is unclear what exactly is meant by “advanced stages”, but gene drives are many years away from being deployed or placed on the market. </w:t>
            </w:r>
            <w:r w:rsidR="00F7637D" w:rsidRPr="00971B04">
              <w:t>Th</w:t>
            </w:r>
            <w:r>
              <w:t>e text</w:t>
            </w:r>
            <w:r w:rsidR="00F7637D" w:rsidRPr="00971B04">
              <w:t xml:space="preserve"> should be revised to reflect the fact that no field trials of gene drives have yet taken place and any such test is likely years away, and that the most advanced gene drive applications currently under development </w:t>
            </w:r>
            <w:r w:rsidR="00EC6581">
              <w:t>are being developed by no</w:t>
            </w:r>
            <w:r>
              <w:t>t</w:t>
            </w:r>
            <w:r w:rsidR="00EC6581">
              <w:t xml:space="preserve">-for-profit research consortiums, and </w:t>
            </w:r>
            <w:r w:rsidR="00F7637D" w:rsidRPr="00971B04">
              <w:t>will not be marketed on a commercial basis.</w:t>
            </w:r>
          </w:p>
        </w:tc>
      </w:tr>
      <w:tr w:rsidR="0013147D" w:rsidRPr="00C658CD" w14:paraId="2E702996" w14:textId="77777777" w:rsidTr="00135D96">
        <w:trPr>
          <w:cantSplit/>
          <w:trHeight w:val="233"/>
        </w:trPr>
        <w:tc>
          <w:tcPr>
            <w:tcW w:w="918" w:type="dxa"/>
          </w:tcPr>
          <w:p w14:paraId="5C0A3EEF" w14:textId="0F635313" w:rsidR="0013147D" w:rsidRPr="00971B04" w:rsidRDefault="0013147D" w:rsidP="00EA105F">
            <w:r w:rsidRPr="00971B04">
              <w:t>10</w:t>
            </w:r>
          </w:p>
        </w:tc>
        <w:tc>
          <w:tcPr>
            <w:tcW w:w="1125" w:type="dxa"/>
          </w:tcPr>
          <w:p w14:paraId="101D3131" w14:textId="7076AEBB" w:rsidR="0013147D" w:rsidRPr="00971B04" w:rsidRDefault="0013147D" w:rsidP="00EA105F">
            <w:r w:rsidRPr="00971B04">
              <w:t>1</w:t>
            </w:r>
          </w:p>
        </w:tc>
        <w:tc>
          <w:tcPr>
            <w:tcW w:w="8145" w:type="dxa"/>
            <w:gridSpan w:val="2"/>
          </w:tcPr>
          <w:p w14:paraId="4AF4DA86" w14:textId="63EEA8C7" w:rsidR="0013147D" w:rsidRPr="00971B04" w:rsidRDefault="0013147D" w:rsidP="00EA105F">
            <w:r w:rsidRPr="00971B04">
              <w:t>It should be recognised that there is much ongoing work on non-profit applications of synthetic biology. They will not have market value per se but can support economic growth in other ways (e.g. through improved public health outcomes).</w:t>
            </w:r>
          </w:p>
        </w:tc>
      </w:tr>
      <w:tr w:rsidR="00CA524F" w:rsidRPr="00C658CD" w14:paraId="57B06893" w14:textId="77777777" w:rsidTr="00135D96">
        <w:trPr>
          <w:cantSplit/>
          <w:trHeight w:val="233"/>
        </w:trPr>
        <w:tc>
          <w:tcPr>
            <w:tcW w:w="918" w:type="dxa"/>
          </w:tcPr>
          <w:p w14:paraId="4E083332" w14:textId="54238DAB" w:rsidR="00CA524F" w:rsidRPr="00971B04" w:rsidRDefault="00CA524F" w:rsidP="00EA105F">
            <w:r w:rsidRPr="00971B04">
              <w:t>10</w:t>
            </w:r>
          </w:p>
        </w:tc>
        <w:tc>
          <w:tcPr>
            <w:tcW w:w="1125" w:type="dxa"/>
          </w:tcPr>
          <w:p w14:paraId="2BA0F2F0" w14:textId="2ECE486E" w:rsidR="00CA524F" w:rsidRPr="00971B04" w:rsidRDefault="00CA524F" w:rsidP="00EA105F">
            <w:r w:rsidRPr="00971B04">
              <w:t>47</w:t>
            </w:r>
          </w:p>
        </w:tc>
        <w:tc>
          <w:tcPr>
            <w:tcW w:w="8145" w:type="dxa"/>
            <w:gridSpan w:val="2"/>
          </w:tcPr>
          <w:p w14:paraId="589498A2" w14:textId="072CEE2F" w:rsidR="00CA524F" w:rsidRPr="00971B04" w:rsidRDefault="00CA524F" w:rsidP="00EA105F">
            <w:r w:rsidRPr="00971B04">
              <w:t>Saying that “gene drives could reach the market in a few years” is potentially misleading, as the most advanced gene drive applications currently under development will not be sold or distributed on a commercial basis</w:t>
            </w:r>
            <w:r w:rsidR="00EC6581">
              <w:t xml:space="preserve"> and are still far from being ‘ready for use</w:t>
            </w:r>
            <w:r w:rsidRPr="00971B04">
              <w:t xml:space="preserve">. They are intended to complement public vector-control campaigns </w:t>
            </w:r>
            <w:r w:rsidR="00EC6581" w:rsidRPr="00132B1A">
              <w:t xml:space="preserve">or public </w:t>
            </w:r>
            <w:r w:rsidR="00132B1A">
              <w:t>invasive alien species</w:t>
            </w:r>
            <w:r w:rsidR="00EC6581" w:rsidRPr="00132B1A">
              <w:t xml:space="preserve"> control campaigns</w:t>
            </w:r>
            <w:r w:rsidRPr="00132B1A">
              <w:t>.</w:t>
            </w:r>
          </w:p>
        </w:tc>
      </w:tr>
      <w:tr w:rsidR="00455850" w:rsidRPr="00C658CD" w14:paraId="7163E81A" w14:textId="77777777" w:rsidTr="00135D96">
        <w:trPr>
          <w:cantSplit/>
          <w:trHeight w:val="233"/>
        </w:trPr>
        <w:tc>
          <w:tcPr>
            <w:tcW w:w="918" w:type="dxa"/>
          </w:tcPr>
          <w:p w14:paraId="1F9686D2" w14:textId="54AC834A" w:rsidR="00455850" w:rsidRPr="00971B04" w:rsidRDefault="00455850" w:rsidP="00EA105F">
            <w:r w:rsidRPr="00971B04">
              <w:t>14</w:t>
            </w:r>
          </w:p>
        </w:tc>
        <w:tc>
          <w:tcPr>
            <w:tcW w:w="1125" w:type="dxa"/>
          </w:tcPr>
          <w:p w14:paraId="6CBEE1DB" w14:textId="5DD443F5" w:rsidR="00455850" w:rsidRPr="00971B04" w:rsidRDefault="00455850" w:rsidP="00EA105F">
            <w:r w:rsidRPr="00971B04">
              <w:t>Table 1.</w:t>
            </w:r>
          </w:p>
        </w:tc>
        <w:tc>
          <w:tcPr>
            <w:tcW w:w="8145" w:type="dxa"/>
            <w:gridSpan w:val="2"/>
          </w:tcPr>
          <w:p w14:paraId="71EB77E8" w14:textId="5636B93A" w:rsidR="00455850" w:rsidRPr="00EC6581" w:rsidRDefault="008770DA" w:rsidP="00EA105F">
            <w:pPr>
              <w:rPr>
                <w:color w:val="FF0000"/>
              </w:rPr>
            </w:pPr>
            <w:r w:rsidRPr="00971B04">
              <w:t xml:space="preserve">It may be premature to characterise “engineered </w:t>
            </w:r>
            <w:r w:rsidR="00CB332C" w:rsidRPr="00971B04">
              <w:t xml:space="preserve">gene drives in mosquitoes for control </w:t>
            </w:r>
            <w:r w:rsidR="0013147D" w:rsidRPr="00971B04">
              <w:t>of vector-borne diseases</w:t>
            </w:r>
            <w:r w:rsidRPr="00971B04">
              <w:t>”</w:t>
            </w:r>
            <w:r w:rsidR="0013147D" w:rsidRPr="00971B04">
              <w:t xml:space="preserve"> and “engineered gene drive for an agricultural pest” as in “advanced development” as both applications have not undergone field trials and are many years away from</w:t>
            </w:r>
            <w:r w:rsidR="00EC6581">
              <w:t xml:space="preserve"> being ready for</w:t>
            </w:r>
            <w:r w:rsidR="0013147D" w:rsidRPr="00971B04">
              <w:t xml:space="preserve"> </w:t>
            </w:r>
            <w:r w:rsidR="00EC6581">
              <w:t>use</w:t>
            </w:r>
            <w:r w:rsidR="0013147D" w:rsidRPr="00971B04">
              <w:t xml:space="preserve">.  </w:t>
            </w:r>
          </w:p>
        </w:tc>
      </w:tr>
      <w:tr w:rsidR="00593BC6" w:rsidRPr="00B30682" w14:paraId="1C656F45" w14:textId="77777777" w:rsidTr="00135D96">
        <w:trPr>
          <w:cantSplit/>
          <w:trHeight w:val="233"/>
        </w:trPr>
        <w:tc>
          <w:tcPr>
            <w:tcW w:w="918" w:type="dxa"/>
          </w:tcPr>
          <w:p w14:paraId="73652C5C" w14:textId="63E5E693" w:rsidR="00593BC6" w:rsidRPr="00971B04" w:rsidRDefault="002E1B4D" w:rsidP="00EA105F">
            <w:r w:rsidRPr="00971B04">
              <w:t>19</w:t>
            </w:r>
          </w:p>
        </w:tc>
        <w:tc>
          <w:tcPr>
            <w:tcW w:w="1125" w:type="dxa"/>
          </w:tcPr>
          <w:p w14:paraId="0B63B7FE" w14:textId="41D46412" w:rsidR="00593BC6" w:rsidRPr="00971B04" w:rsidRDefault="002E1B4D" w:rsidP="00EA105F">
            <w:r w:rsidRPr="00971B04">
              <w:t>33-34</w:t>
            </w:r>
          </w:p>
        </w:tc>
        <w:tc>
          <w:tcPr>
            <w:tcW w:w="8145" w:type="dxa"/>
            <w:gridSpan w:val="2"/>
          </w:tcPr>
          <w:p w14:paraId="69D64FDF" w14:textId="3AE8207D" w:rsidR="00593BC6" w:rsidRDefault="002E1B4D" w:rsidP="00EA105F">
            <w:r w:rsidRPr="00971B04">
              <w:t>We welcome the recognition that “gene drive” refers to a broad array of approaches and applications and is best thought about in those terms rather than as a single technology. This should be stressed throughout the document.</w:t>
            </w:r>
            <w:r w:rsidR="00D144FD">
              <w:t xml:space="preserve"> For more information</w:t>
            </w:r>
            <w:r w:rsidR="004E398D">
              <w:t xml:space="preserve"> on the different types of gene drives and how to refer to them, please see:</w:t>
            </w:r>
          </w:p>
          <w:p w14:paraId="0B96346A" w14:textId="26D82DDA" w:rsidR="004E398D" w:rsidRPr="004E398D" w:rsidRDefault="004E398D" w:rsidP="004E398D">
            <w:pPr>
              <w:pStyle w:val="ListParagraph"/>
              <w:numPr>
                <w:ilvl w:val="0"/>
                <w:numId w:val="2"/>
              </w:numPr>
              <w:rPr>
                <w:i/>
                <w:iCs/>
              </w:rPr>
            </w:pPr>
            <w:r w:rsidRPr="004E398D">
              <w:rPr>
                <w:lang w:val="fr-FR"/>
              </w:rPr>
              <w:lastRenderedPageBreak/>
              <w:t>Alphey</w:t>
            </w:r>
            <w:r w:rsidRPr="004E398D">
              <w:rPr>
                <w:lang w:val="fr-FR"/>
              </w:rPr>
              <w:t xml:space="preserve"> LS</w:t>
            </w:r>
            <w:r w:rsidRPr="004E398D">
              <w:rPr>
                <w:lang w:val="fr-FR"/>
              </w:rPr>
              <w:t xml:space="preserve">, </w:t>
            </w:r>
            <w:proofErr w:type="spellStart"/>
            <w:r w:rsidRPr="004E398D">
              <w:rPr>
                <w:lang w:val="fr-FR"/>
              </w:rPr>
              <w:t>Crisanti</w:t>
            </w:r>
            <w:proofErr w:type="spellEnd"/>
            <w:r w:rsidRPr="004E398D">
              <w:rPr>
                <w:lang w:val="fr-FR"/>
              </w:rPr>
              <w:t xml:space="preserve"> A</w:t>
            </w:r>
            <w:r w:rsidRPr="004E398D">
              <w:rPr>
                <w:lang w:val="fr-FR"/>
              </w:rPr>
              <w:t xml:space="preserve">, </w:t>
            </w:r>
            <w:proofErr w:type="spellStart"/>
            <w:r w:rsidRPr="004E398D">
              <w:rPr>
                <w:lang w:val="fr-FR"/>
              </w:rPr>
              <w:t>Randazzo</w:t>
            </w:r>
            <w:proofErr w:type="spellEnd"/>
            <w:r w:rsidRPr="004E398D">
              <w:rPr>
                <w:lang w:val="fr-FR"/>
              </w:rPr>
              <w:t xml:space="preserve"> F</w:t>
            </w:r>
            <w:r w:rsidRPr="004E398D">
              <w:rPr>
                <w:lang w:val="fr-FR"/>
              </w:rPr>
              <w:t xml:space="preserve">, </w:t>
            </w:r>
            <w:proofErr w:type="spellStart"/>
            <w:r w:rsidRPr="004E398D">
              <w:rPr>
                <w:lang w:val="fr-FR"/>
              </w:rPr>
              <w:t>Akbari</w:t>
            </w:r>
            <w:proofErr w:type="spellEnd"/>
            <w:r w:rsidRPr="004E398D">
              <w:rPr>
                <w:lang w:val="fr-FR"/>
              </w:rPr>
              <w:t xml:space="preserve"> OS. </w:t>
            </w:r>
            <w:r w:rsidRPr="004E398D">
              <w:rPr>
                <w:i/>
                <w:iCs/>
              </w:rPr>
              <w:t>Opinion: Standardizing the definition of gene drive</w:t>
            </w:r>
            <w:r w:rsidRPr="004E398D">
              <w:rPr>
                <w:i/>
                <w:iCs/>
              </w:rPr>
              <w:t xml:space="preserve">. </w:t>
            </w:r>
            <w:r>
              <w:t>Proceedings of the National Academy of Sciences Dec 2020, 117 (49) 30864-30867; DOI: 10.1073/pnas.2020417117</w:t>
            </w:r>
            <w:r>
              <w:t xml:space="preserve"> </w:t>
            </w:r>
            <w:hyperlink r:id="rId8" w:history="1">
              <w:r w:rsidRPr="00132FBC">
                <w:rPr>
                  <w:rStyle w:val="Hyperlink"/>
                </w:rPr>
                <w:t>https://www.pnas.org/content/117/49/30864</w:t>
              </w:r>
            </w:hyperlink>
            <w:r>
              <w:t xml:space="preserve"> </w:t>
            </w:r>
          </w:p>
        </w:tc>
      </w:tr>
      <w:tr w:rsidR="00593BC6" w:rsidRPr="00AD22DE" w14:paraId="4CEEBB68" w14:textId="77777777" w:rsidTr="00135D96">
        <w:trPr>
          <w:cantSplit/>
          <w:trHeight w:val="233"/>
        </w:trPr>
        <w:tc>
          <w:tcPr>
            <w:tcW w:w="918" w:type="dxa"/>
          </w:tcPr>
          <w:p w14:paraId="7A6A7CB6" w14:textId="1D071ECC" w:rsidR="00593BC6" w:rsidRPr="00971B04" w:rsidRDefault="0085349D" w:rsidP="00EA105F">
            <w:r w:rsidRPr="00971B04">
              <w:lastRenderedPageBreak/>
              <w:t>19</w:t>
            </w:r>
          </w:p>
        </w:tc>
        <w:tc>
          <w:tcPr>
            <w:tcW w:w="1125" w:type="dxa"/>
          </w:tcPr>
          <w:p w14:paraId="623F395E" w14:textId="55CCF488" w:rsidR="00593BC6" w:rsidRPr="00971B04" w:rsidRDefault="0085349D" w:rsidP="00EA105F">
            <w:r w:rsidRPr="00971B04">
              <w:t>38</w:t>
            </w:r>
          </w:p>
        </w:tc>
        <w:tc>
          <w:tcPr>
            <w:tcW w:w="8145" w:type="dxa"/>
            <w:gridSpan w:val="2"/>
          </w:tcPr>
          <w:p w14:paraId="2E88B0AD" w14:textId="7C4E61D1" w:rsidR="00593BC6" w:rsidRPr="00971B04" w:rsidRDefault="0085349D" w:rsidP="00EA105F">
            <w:r w:rsidRPr="00971B04">
              <w:t>Phenomena other than gene drives can also cause increases in the frequency of inheritance of a particular genetic element in a population (e.g. natural selection).</w:t>
            </w:r>
          </w:p>
        </w:tc>
      </w:tr>
      <w:tr w:rsidR="009002ED" w:rsidRPr="00AD22DE" w14:paraId="29056A48" w14:textId="77777777" w:rsidTr="00135D96">
        <w:trPr>
          <w:cantSplit/>
          <w:trHeight w:val="233"/>
        </w:trPr>
        <w:tc>
          <w:tcPr>
            <w:tcW w:w="918" w:type="dxa"/>
          </w:tcPr>
          <w:p w14:paraId="531B393C" w14:textId="3C783C19" w:rsidR="009002ED" w:rsidRPr="00971B04" w:rsidRDefault="009002ED" w:rsidP="00EA105F">
            <w:r w:rsidRPr="00971B04">
              <w:t>32</w:t>
            </w:r>
          </w:p>
        </w:tc>
        <w:tc>
          <w:tcPr>
            <w:tcW w:w="1125" w:type="dxa"/>
          </w:tcPr>
          <w:p w14:paraId="566F8781" w14:textId="6B35F81D" w:rsidR="009002ED" w:rsidRPr="00971B04" w:rsidRDefault="009002ED" w:rsidP="00EA105F">
            <w:r w:rsidRPr="00971B04">
              <w:t>9-11</w:t>
            </w:r>
          </w:p>
        </w:tc>
        <w:tc>
          <w:tcPr>
            <w:tcW w:w="8145" w:type="dxa"/>
            <w:gridSpan w:val="2"/>
          </w:tcPr>
          <w:p w14:paraId="070E3933" w14:textId="77777777" w:rsidR="00711A1D" w:rsidRDefault="009002ED" w:rsidP="00EA105F">
            <w:r w:rsidRPr="00971B04">
              <w:t xml:space="preserve">This language is potentially misleading as it implies that Target Malaria’s work is not conducted in contained conditions. It should be rephrased to make clear that all of Target Malaria’s research </w:t>
            </w:r>
            <w:r w:rsidR="00EC6581" w:rsidRPr="00F07B70">
              <w:t xml:space="preserve">to date </w:t>
            </w:r>
            <w:r w:rsidRPr="00971B04">
              <w:t>involving organisms with engineered gene drives takes place in containment, and no field testing of a gene drive system has been undertaken or is planned for the near future</w:t>
            </w:r>
            <w:r w:rsidR="00711A1D">
              <w:t>.</w:t>
            </w:r>
          </w:p>
          <w:p w14:paraId="09F9D76F" w14:textId="77777777" w:rsidR="00711A1D" w:rsidRDefault="00711A1D" w:rsidP="00EA105F"/>
          <w:p w14:paraId="0FAE33C9" w14:textId="3ED2E7BE" w:rsidR="009002ED" w:rsidRPr="00971B04" w:rsidRDefault="00FA7C3B" w:rsidP="00EA105F">
            <w:r>
              <w:t>(</w:t>
            </w:r>
            <w:r w:rsidR="00EC6581" w:rsidRPr="00711A1D">
              <w:t>Target Malaria</w:t>
            </w:r>
            <w:r w:rsidR="00711A1D">
              <w:t xml:space="preserve"> did perform a small-scale</w:t>
            </w:r>
            <w:r w:rsidR="00EC6581" w:rsidRPr="00711A1D">
              <w:t xml:space="preserve"> release</w:t>
            </w:r>
            <w:r w:rsidR="00711A1D">
              <w:t xml:space="preserve"> of</w:t>
            </w:r>
            <w:r w:rsidR="00EC6581" w:rsidRPr="00711A1D">
              <w:t xml:space="preserve"> genetically modified mosquitoes in Burkina Faso in 2019, but </w:t>
            </w:r>
            <w:r>
              <w:t>they did not contain gene drives.</w:t>
            </w:r>
            <w:r w:rsidR="00EC6581" w:rsidRPr="00711A1D">
              <w:t xml:space="preserve"> </w:t>
            </w:r>
            <w:r>
              <w:t>For more information:</w:t>
            </w:r>
            <w:r w:rsidR="00EC6581" w:rsidRPr="00711A1D">
              <w:t xml:space="preserve"> </w:t>
            </w:r>
            <w:hyperlink r:id="rId9" w:history="1">
              <w:r w:rsidRPr="00132FBC">
                <w:rPr>
                  <w:rStyle w:val="Hyperlink"/>
                </w:rPr>
                <w:t>https://targetmalaria.org/results-from-months-of-monitoring-following-the-first-release-of-non-gene-drive-genetically-modified-mosquitoes-in-africa/</w:t>
              </w:r>
            </w:hyperlink>
            <w:r>
              <w:t xml:space="preserve"> </w:t>
            </w:r>
            <w:r w:rsidR="00EC6581" w:rsidRPr="00711A1D">
              <w:t>)</w:t>
            </w:r>
          </w:p>
        </w:tc>
      </w:tr>
      <w:tr w:rsidR="009002ED" w:rsidRPr="00AD22DE" w14:paraId="74810D27" w14:textId="77777777" w:rsidTr="00135D96">
        <w:trPr>
          <w:cantSplit/>
          <w:trHeight w:val="233"/>
        </w:trPr>
        <w:tc>
          <w:tcPr>
            <w:tcW w:w="918" w:type="dxa"/>
          </w:tcPr>
          <w:p w14:paraId="5FD2AA15" w14:textId="2E464E66" w:rsidR="009002ED" w:rsidRPr="00971B04" w:rsidRDefault="009002ED" w:rsidP="00EA105F">
            <w:r w:rsidRPr="00971B04">
              <w:t>32</w:t>
            </w:r>
          </w:p>
        </w:tc>
        <w:tc>
          <w:tcPr>
            <w:tcW w:w="1125" w:type="dxa"/>
          </w:tcPr>
          <w:p w14:paraId="2FD3E044" w14:textId="1BF2772C" w:rsidR="009002ED" w:rsidRPr="00971B04" w:rsidRDefault="009002ED" w:rsidP="00EA105F">
            <w:r w:rsidRPr="00971B04">
              <w:t>5-19</w:t>
            </w:r>
          </w:p>
        </w:tc>
        <w:tc>
          <w:tcPr>
            <w:tcW w:w="8145" w:type="dxa"/>
            <w:gridSpan w:val="2"/>
          </w:tcPr>
          <w:p w14:paraId="6E4F551C" w14:textId="1BE8D1F9" w:rsidR="009002ED" w:rsidRPr="00971B04" w:rsidRDefault="009002ED" w:rsidP="00EA105F">
            <w:r w:rsidRPr="00971B04">
              <w:t>As mentioned elsewhere, neither “engineered gene drives in mosquito for potential control of vector-borne diseases” or “engineered gene drive for an agricultural pest” are considered to be in “advanced development”.</w:t>
            </w:r>
          </w:p>
        </w:tc>
      </w:tr>
      <w:tr w:rsidR="009002ED" w:rsidRPr="00AD22DE" w14:paraId="0F94DC29" w14:textId="77777777" w:rsidTr="00135D96">
        <w:trPr>
          <w:cantSplit/>
          <w:trHeight w:val="233"/>
        </w:trPr>
        <w:tc>
          <w:tcPr>
            <w:tcW w:w="918" w:type="dxa"/>
          </w:tcPr>
          <w:p w14:paraId="573A4D93" w14:textId="01FFF152" w:rsidR="009002ED" w:rsidRPr="00971B04" w:rsidRDefault="009002ED" w:rsidP="00EA105F">
            <w:r w:rsidRPr="00971B04">
              <w:t>40</w:t>
            </w:r>
          </w:p>
        </w:tc>
        <w:tc>
          <w:tcPr>
            <w:tcW w:w="1125" w:type="dxa"/>
          </w:tcPr>
          <w:p w14:paraId="72BEF6B6" w14:textId="3E76F22D" w:rsidR="009002ED" w:rsidRPr="00971B04" w:rsidRDefault="00DB0025" w:rsidP="00EA105F">
            <w:r w:rsidRPr="00971B04">
              <w:t>26-28</w:t>
            </w:r>
          </w:p>
        </w:tc>
        <w:tc>
          <w:tcPr>
            <w:tcW w:w="8145" w:type="dxa"/>
            <w:gridSpan w:val="2"/>
          </w:tcPr>
          <w:p w14:paraId="230B9D0E" w14:textId="7A43687C" w:rsidR="009002ED" w:rsidRPr="00971B04" w:rsidRDefault="00DB0025" w:rsidP="00EA105F">
            <w:r w:rsidRPr="00971B04">
              <w:t>As above, gene drives for disease vector control are not in the advanced stages of development.</w:t>
            </w:r>
          </w:p>
        </w:tc>
      </w:tr>
      <w:tr w:rsidR="00CA524F" w:rsidRPr="00AD22DE" w14:paraId="25508965" w14:textId="77777777" w:rsidTr="00135D96">
        <w:trPr>
          <w:cantSplit/>
          <w:trHeight w:val="233"/>
        </w:trPr>
        <w:tc>
          <w:tcPr>
            <w:tcW w:w="918" w:type="dxa"/>
          </w:tcPr>
          <w:p w14:paraId="18F9CF47" w14:textId="12AD003F" w:rsidR="00CA524F" w:rsidRPr="00971B04" w:rsidRDefault="00CA524F" w:rsidP="00EA105F">
            <w:r w:rsidRPr="00971B04">
              <w:t>43</w:t>
            </w:r>
          </w:p>
        </w:tc>
        <w:tc>
          <w:tcPr>
            <w:tcW w:w="1125" w:type="dxa"/>
          </w:tcPr>
          <w:p w14:paraId="42918AB8" w14:textId="72259B38" w:rsidR="00CA524F" w:rsidRPr="00971B04" w:rsidRDefault="00CA524F" w:rsidP="00EA105F">
            <w:r w:rsidRPr="00971B04">
              <w:t>22-23</w:t>
            </w:r>
          </w:p>
        </w:tc>
        <w:tc>
          <w:tcPr>
            <w:tcW w:w="8145" w:type="dxa"/>
            <w:gridSpan w:val="2"/>
          </w:tcPr>
          <w:p w14:paraId="648389F6" w14:textId="247D7F75" w:rsidR="00CA524F" w:rsidRPr="00971B04" w:rsidRDefault="00CA524F" w:rsidP="00EA105F">
            <w:r w:rsidRPr="00971B04">
              <w:t>A “replacement drive” would not have the “ultimate goal” of “eradication of an invasive species or pest”</w:t>
            </w:r>
            <w:r w:rsidR="00DA5040" w:rsidRPr="00971B04">
              <w:t>, but rather to modify it so that it would no longer present a threat.</w:t>
            </w:r>
          </w:p>
        </w:tc>
      </w:tr>
      <w:tr w:rsidR="00DA5040" w:rsidRPr="00AD22DE" w14:paraId="58387463" w14:textId="77777777" w:rsidTr="00135D96">
        <w:trPr>
          <w:cantSplit/>
          <w:trHeight w:val="233"/>
        </w:trPr>
        <w:tc>
          <w:tcPr>
            <w:tcW w:w="918" w:type="dxa"/>
          </w:tcPr>
          <w:p w14:paraId="2B5AAAC8" w14:textId="0D0BE472" w:rsidR="00DA5040" w:rsidRPr="00971B04" w:rsidRDefault="00DA5040" w:rsidP="00EA105F">
            <w:r w:rsidRPr="00971B04">
              <w:t>44</w:t>
            </w:r>
          </w:p>
        </w:tc>
        <w:tc>
          <w:tcPr>
            <w:tcW w:w="1125" w:type="dxa"/>
          </w:tcPr>
          <w:p w14:paraId="50569552" w14:textId="7909FAFA" w:rsidR="00DA5040" w:rsidRPr="00971B04" w:rsidRDefault="00DA5040" w:rsidP="00EA105F">
            <w:r w:rsidRPr="00971B04">
              <w:t>2-3</w:t>
            </w:r>
          </w:p>
        </w:tc>
        <w:tc>
          <w:tcPr>
            <w:tcW w:w="8145" w:type="dxa"/>
            <w:gridSpan w:val="2"/>
          </w:tcPr>
          <w:p w14:paraId="24AB3C63" w14:textId="12C5076B" w:rsidR="00DA5040" w:rsidRPr="00971B04" w:rsidRDefault="00DA5040" w:rsidP="00EA105F">
            <w:r w:rsidRPr="00971B04">
              <w:t>A population replacement drive would not necessarily lead to lower numbers of a target species.</w:t>
            </w:r>
          </w:p>
        </w:tc>
      </w:tr>
      <w:tr w:rsidR="00DA5040" w:rsidRPr="00AD22DE" w14:paraId="5C1D5780" w14:textId="77777777" w:rsidTr="00135D96">
        <w:trPr>
          <w:cantSplit/>
          <w:trHeight w:val="233"/>
        </w:trPr>
        <w:tc>
          <w:tcPr>
            <w:tcW w:w="918" w:type="dxa"/>
          </w:tcPr>
          <w:p w14:paraId="51383212" w14:textId="1D4DA57A" w:rsidR="00DA5040" w:rsidRPr="00971B04" w:rsidRDefault="00DA5040" w:rsidP="00EA105F">
            <w:r w:rsidRPr="00971B04">
              <w:t>44</w:t>
            </w:r>
          </w:p>
        </w:tc>
        <w:tc>
          <w:tcPr>
            <w:tcW w:w="1125" w:type="dxa"/>
          </w:tcPr>
          <w:p w14:paraId="73E5BF11" w14:textId="3DD5DDF1" w:rsidR="00DA5040" w:rsidRPr="00971B04" w:rsidRDefault="00DA5040" w:rsidP="00EA105F">
            <w:r w:rsidRPr="00971B04">
              <w:t>16-18</w:t>
            </w:r>
          </w:p>
        </w:tc>
        <w:tc>
          <w:tcPr>
            <w:tcW w:w="8145" w:type="dxa"/>
            <w:gridSpan w:val="2"/>
          </w:tcPr>
          <w:p w14:paraId="4FDFE9E8" w14:textId="7A50924B" w:rsidR="00DA5040" w:rsidRPr="00971B04" w:rsidRDefault="00DA5040" w:rsidP="00EA105F">
            <w:r w:rsidRPr="00971B04">
              <w:t xml:space="preserve">Current research does not support the assertion that gene drives are “likely to be highly invasive”. Invasiveness of </w:t>
            </w:r>
            <w:r w:rsidR="008A4AAC" w:rsidRPr="00971B04">
              <w:t>specific</w:t>
            </w:r>
            <w:r w:rsidRPr="00971B04">
              <w:t xml:space="preserve"> construct</w:t>
            </w:r>
            <w:r w:rsidR="008A4AAC" w:rsidRPr="00971B04">
              <w:t>s</w:t>
            </w:r>
            <w:r w:rsidRPr="00971B04">
              <w:t xml:space="preserve"> and application</w:t>
            </w:r>
            <w:r w:rsidR="008A4AAC" w:rsidRPr="00971B04">
              <w:t>s</w:t>
            </w:r>
            <w:r w:rsidRPr="00971B04">
              <w:t xml:space="preserve"> will be determined by </w:t>
            </w:r>
            <w:r w:rsidR="00F7637D" w:rsidRPr="00971B04">
              <w:t>their</w:t>
            </w:r>
            <w:r w:rsidRPr="00971B04">
              <w:t xml:space="preserve"> particular characteristics</w:t>
            </w:r>
            <w:r w:rsidR="008A4AAC" w:rsidRPr="00971B04">
              <w:t>, and many applications will not be self-sustaining.</w:t>
            </w:r>
          </w:p>
        </w:tc>
      </w:tr>
      <w:tr w:rsidR="00593BC6" w:rsidRPr="00AD22DE" w14:paraId="4A4D44A2" w14:textId="77777777" w:rsidTr="00135D96">
        <w:trPr>
          <w:cantSplit/>
          <w:trHeight w:val="233"/>
        </w:trPr>
        <w:tc>
          <w:tcPr>
            <w:tcW w:w="918" w:type="dxa"/>
          </w:tcPr>
          <w:p w14:paraId="7D986775" w14:textId="7EBCFFE0" w:rsidR="00593BC6" w:rsidRPr="00971B04" w:rsidRDefault="00AC40B5" w:rsidP="00EA105F">
            <w:r w:rsidRPr="00971B04">
              <w:t>58</w:t>
            </w:r>
          </w:p>
        </w:tc>
        <w:tc>
          <w:tcPr>
            <w:tcW w:w="1125" w:type="dxa"/>
          </w:tcPr>
          <w:p w14:paraId="5AC5FC2C" w14:textId="4E21959C" w:rsidR="00593BC6" w:rsidRPr="00971B04" w:rsidRDefault="00AC40B5" w:rsidP="00EA105F">
            <w:r w:rsidRPr="00971B04">
              <w:t>10-12</w:t>
            </w:r>
          </w:p>
        </w:tc>
        <w:tc>
          <w:tcPr>
            <w:tcW w:w="8145" w:type="dxa"/>
            <w:gridSpan w:val="2"/>
          </w:tcPr>
          <w:p w14:paraId="786809CF" w14:textId="15E4767D" w:rsidR="00593BC6" w:rsidRPr="00971B04" w:rsidRDefault="005D3327" w:rsidP="00EA105F">
            <w:r w:rsidRPr="00971B04">
              <w:t>Characterisation of the risk assessment challenges as “unprecedented” is unwarranted, as potential comparators exist, such as bio-control agents. In addition, the conclusion at the end of the paragraph that risks cannot be adequately assessed seems to be contradicted by the rest of the text in that paragraph, which notes that relevant principles and methodology for risk assessment of gene drives exist.</w:t>
            </w:r>
            <w:r w:rsidR="00D436DC">
              <w:t xml:space="preserve"> It is also not consistent with the conclusions reached by the World Health Organisation, The European Food Safety Authority, and the report on the risk assessment of living modified organisms prepared by Perseus on behalf of the Secretariat of the Convention on Biological Diversity.</w:t>
            </w:r>
          </w:p>
        </w:tc>
      </w:tr>
      <w:tr w:rsidR="00593BC6" w:rsidRPr="00AD22DE" w14:paraId="12F556C9" w14:textId="77777777" w:rsidTr="00135D96">
        <w:trPr>
          <w:cantSplit/>
          <w:trHeight w:val="233"/>
        </w:trPr>
        <w:tc>
          <w:tcPr>
            <w:tcW w:w="918" w:type="dxa"/>
          </w:tcPr>
          <w:p w14:paraId="114ECD33" w14:textId="3FA44C08" w:rsidR="00593BC6" w:rsidRPr="00971B04" w:rsidRDefault="00D10ACE" w:rsidP="00EA105F">
            <w:r w:rsidRPr="00971B04">
              <w:t>58</w:t>
            </w:r>
          </w:p>
        </w:tc>
        <w:tc>
          <w:tcPr>
            <w:tcW w:w="1125" w:type="dxa"/>
          </w:tcPr>
          <w:p w14:paraId="1722E8E8" w14:textId="4E689B2B" w:rsidR="00593BC6" w:rsidRPr="00971B04" w:rsidRDefault="00D10ACE" w:rsidP="00EA105F">
            <w:r w:rsidRPr="00971B04">
              <w:t>23-24</w:t>
            </w:r>
          </w:p>
        </w:tc>
        <w:tc>
          <w:tcPr>
            <w:tcW w:w="8145" w:type="dxa"/>
            <w:gridSpan w:val="2"/>
          </w:tcPr>
          <w:p w14:paraId="314DDBC8" w14:textId="523254C2" w:rsidR="00593BC6" w:rsidRPr="00971B04" w:rsidRDefault="00D10ACE" w:rsidP="00EA105F">
            <w:r w:rsidRPr="00971B04">
              <w:t>References should be provided to support the assertion that existing risk assessment methodologies may be applicable to gene drive, recognizing that this is not a fringe position among regulatory experts and publications.</w:t>
            </w:r>
          </w:p>
        </w:tc>
      </w:tr>
      <w:tr w:rsidR="00593BC6" w:rsidRPr="00AD22DE" w14:paraId="786AB29D" w14:textId="77777777" w:rsidTr="00135D96">
        <w:trPr>
          <w:cantSplit/>
          <w:trHeight w:val="233"/>
        </w:trPr>
        <w:tc>
          <w:tcPr>
            <w:tcW w:w="918" w:type="dxa"/>
          </w:tcPr>
          <w:p w14:paraId="690F094D" w14:textId="128166F8" w:rsidR="00593BC6" w:rsidRPr="00971B04" w:rsidRDefault="00D10ACE" w:rsidP="00EA105F">
            <w:r w:rsidRPr="00971B04">
              <w:t>58</w:t>
            </w:r>
          </w:p>
        </w:tc>
        <w:tc>
          <w:tcPr>
            <w:tcW w:w="1125" w:type="dxa"/>
          </w:tcPr>
          <w:p w14:paraId="00E4B63A" w14:textId="07928B84" w:rsidR="00593BC6" w:rsidRPr="00971B04" w:rsidRDefault="00D10ACE" w:rsidP="00EA105F">
            <w:r w:rsidRPr="00971B04">
              <w:t>37-38</w:t>
            </w:r>
          </w:p>
        </w:tc>
        <w:tc>
          <w:tcPr>
            <w:tcW w:w="8145" w:type="dxa"/>
            <w:gridSpan w:val="2"/>
          </w:tcPr>
          <w:p w14:paraId="612F8E15" w14:textId="0EEB8D26" w:rsidR="00593BC6" w:rsidRPr="00971B04" w:rsidRDefault="00D10ACE" w:rsidP="00EA105F">
            <w:r w:rsidRPr="00971B04">
              <w:t>Text should be added recognizing that modelling is a standard part of current risk assessments and not a novel practice unique to the assessment of gene drives.</w:t>
            </w:r>
          </w:p>
        </w:tc>
      </w:tr>
      <w:tr w:rsidR="00DB0025" w:rsidRPr="00AD22DE" w14:paraId="244179C7" w14:textId="77777777" w:rsidTr="00135D96">
        <w:trPr>
          <w:cantSplit/>
          <w:trHeight w:val="233"/>
        </w:trPr>
        <w:tc>
          <w:tcPr>
            <w:tcW w:w="918" w:type="dxa"/>
          </w:tcPr>
          <w:p w14:paraId="55D57E3B" w14:textId="61C39EF2" w:rsidR="00DB0025" w:rsidRPr="00971B04" w:rsidRDefault="00DB0025" w:rsidP="00EA105F">
            <w:r w:rsidRPr="00971B04">
              <w:t>62</w:t>
            </w:r>
          </w:p>
        </w:tc>
        <w:tc>
          <w:tcPr>
            <w:tcW w:w="1125" w:type="dxa"/>
          </w:tcPr>
          <w:p w14:paraId="7A587775" w14:textId="5B82DB9F" w:rsidR="00DB0025" w:rsidRPr="00971B04" w:rsidRDefault="00DB0025" w:rsidP="00EA105F">
            <w:r w:rsidRPr="00971B04">
              <w:t>21</w:t>
            </w:r>
          </w:p>
        </w:tc>
        <w:tc>
          <w:tcPr>
            <w:tcW w:w="8145" w:type="dxa"/>
            <w:gridSpan w:val="2"/>
          </w:tcPr>
          <w:p w14:paraId="2EEBB9BE" w14:textId="3E7990F2" w:rsidR="00DB0025" w:rsidRPr="00971B04" w:rsidRDefault="00DB0025" w:rsidP="00EA105F">
            <w:r w:rsidRPr="00971B04">
              <w:t>This section should also discuss multi-component and split drive approaches to biocontainment, which are distinct from the approaches intended to reverse a drive already included.</w:t>
            </w:r>
          </w:p>
        </w:tc>
      </w:tr>
      <w:tr w:rsidR="00593BC6" w:rsidRPr="00AD22DE" w14:paraId="077ECF3C" w14:textId="77777777" w:rsidTr="00135D96">
        <w:trPr>
          <w:cantSplit/>
          <w:trHeight w:val="233"/>
        </w:trPr>
        <w:tc>
          <w:tcPr>
            <w:tcW w:w="918" w:type="dxa"/>
          </w:tcPr>
          <w:p w14:paraId="3053276C" w14:textId="1251BA6C" w:rsidR="00593BC6" w:rsidRPr="00971B04" w:rsidRDefault="00455850" w:rsidP="00EA105F">
            <w:r w:rsidRPr="00971B04">
              <w:lastRenderedPageBreak/>
              <w:t>67</w:t>
            </w:r>
          </w:p>
        </w:tc>
        <w:tc>
          <w:tcPr>
            <w:tcW w:w="1125" w:type="dxa"/>
          </w:tcPr>
          <w:p w14:paraId="011C33C7" w14:textId="1506A5A7" w:rsidR="00593BC6" w:rsidRPr="00971B04" w:rsidRDefault="00455850" w:rsidP="00EA105F">
            <w:r w:rsidRPr="00971B04">
              <w:t>32-33</w:t>
            </w:r>
          </w:p>
        </w:tc>
        <w:tc>
          <w:tcPr>
            <w:tcW w:w="8145" w:type="dxa"/>
            <w:gridSpan w:val="2"/>
          </w:tcPr>
          <w:p w14:paraId="31FB0F18" w14:textId="7C9D205D" w:rsidR="00593BC6" w:rsidRPr="00971B04" w:rsidRDefault="00455850" w:rsidP="00EA105F">
            <w:r w:rsidRPr="00971B04">
              <w:t>The adequacy of existing guidance and methodologies for the risk assessment of gene drives should be included as another area in which concerns have been raised.</w:t>
            </w:r>
          </w:p>
        </w:tc>
      </w:tr>
      <w:tr w:rsidR="00593BC6" w:rsidRPr="00AD22DE" w14:paraId="31B1A49C" w14:textId="77777777" w:rsidTr="00135D96">
        <w:trPr>
          <w:cantSplit/>
          <w:trHeight w:val="233"/>
        </w:trPr>
        <w:tc>
          <w:tcPr>
            <w:tcW w:w="918" w:type="dxa"/>
          </w:tcPr>
          <w:p w14:paraId="26E0E2AA" w14:textId="2B0C3350" w:rsidR="00593BC6" w:rsidRPr="00971B04" w:rsidRDefault="00455850" w:rsidP="00EA105F">
            <w:r w:rsidRPr="00971B04">
              <w:t>67</w:t>
            </w:r>
          </w:p>
        </w:tc>
        <w:tc>
          <w:tcPr>
            <w:tcW w:w="1125" w:type="dxa"/>
          </w:tcPr>
          <w:p w14:paraId="1C6455E2" w14:textId="7E6AD621" w:rsidR="00593BC6" w:rsidRPr="00971B04" w:rsidRDefault="00455850" w:rsidP="00EA105F">
            <w:r w:rsidRPr="00971B04">
              <w:t>38</w:t>
            </w:r>
          </w:p>
        </w:tc>
        <w:tc>
          <w:tcPr>
            <w:tcW w:w="8145" w:type="dxa"/>
            <w:gridSpan w:val="2"/>
          </w:tcPr>
          <w:p w14:paraId="503F912F" w14:textId="585C200B" w:rsidR="00593BC6" w:rsidRPr="00971B04" w:rsidRDefault="00455850" w:rsidP="00EA105F">
            <w:r w:rsidRPr="00971B04">
              <w:t xml:space="preserve">It should be noted that the purpose of continued laboratory research is to improve understanding and knowledge of gene drives and their potential risks and benefits. </w:t>
            </w:r>
          </w:p>
        </w:tc>
      </w:tr>
      <w:tr w:rsidR="00712206" w:rsidRPr="00D436DC" w14:paraId="63D25BD9" w14:textId="77777777" w:rsidTr="00135D96">
        <w:trPr>
          <w:cantSplit/>
          <w:trHeight w:val="233"/>
        </w:trPr>
        <w:tc>
          <w:tcPr>
            <w:tcW w:w="918" w:type="dxa"/>
          </w:tcPr>
          <w:p w14:paraId="251427C1" w14:textId="4C6C28EF" w:rsidR="00712206" w:rsidRPr="00971B04" w:rsidRDefault="00712206" w:rsidP="00EA105F">
            <w:r w:rsidRPr="00971B04">
              <w:t>70</w:t>
            </w:r>
          </w:p>
        </w:tc>
        <w:tc>
          <w:tcPr>
            <w:tcW w:w="1125" w:type="dxa"/>
          </w:tcPr>
          <w:p w14:paraId="1145E0EC" w14:textId="6AD92F05" w:rsidR="00712206" w:rsidRPr="00971B04" w:rsidRDefault="00712206" w:rsidP="00EA105F">
            <w:r w:rsidRPr="00971B04">
              <w:t>10</w:t>
            </w:r>
          </w:p>
        </w:tc>
        <w:tc>
          <w:tcPr>
            <w:tcW w:w="8145" w:type="dxa"/>
            <w:gridSpan w:val="2"/>
          </w:tcPr>
          <w:p w14:paraId="1E64D4A9" w14:textId="77777777" w:rsidR="00712206" w:rsidRPr="00971B04" w:rsidRDefault="00712206" w:rsidP="00EA105F">
            <w:r w:rsidRPr="00971B04">
              <w:t xml:space="preserve">This is potentially misleading, </w:t>
            </w:r>
            <w:r w:rsidR="00DF3F97" w:rsidRPr="00971B04">
              <w:t xml:space="preserve">as gene drive researchers have collectively developed principles for responsible and safe gene drive research, for example: </w:t>
            </w:r>
          </w:p>
          <w:p w14:paraId="3482C54E" w14:textId="681A5855" w:rsidR="00DF3F97" w:rsidRPr="00971B04" w:rsidRDefault="00DF3F97" w:rsidP="00DF3F97">
            <w:pPr>
              <w:pStyle w:val="ListParagraph"/>
              <w:numPr>
                <w:ilvl w:val="0"/>
                <w:numId w:val="1"/>
              </w:numPr>
            </w:pPr>
            <w:r w:rsidRPr="00971B04">
              <w:t xml:space="preserve">Emerson C, James S, Littler K, Randazzo F. </w:t>
            </w:r>
            <w:r w:rsidRPr="00971B04">
              <w:rPr>
                <w:i/>
                <w:iCs/>
              </w:rPr>
              <w:t xml:space="preserve"> Principles for gene drive research.</w:t>
            </w:r>
            <w:r w:rsidRPr="00971B04">
              <w:t xml:space="preserve"> Science 358 (6367), 1135-1136 DOI:10.1126/science.aap9026.  </w:t>
            </w:r>
            <w:hyperlink r:id="rId10" w:history="1">
              <w:r w:rsidRPr="00971B04">
                <w:rPr>
                  <w:rStyle w:val="Hyperlink"/>
                </w:rPr>
                <w:t>https://science.sciencemag.org/content/358/6367/1135</w:t>
              </w:r>
            </w:hyperlink>
          </w:p>
          <w:p w14:paraId="40D26DFD" w14:textId="44596F84" w:rsidR="00DF3F97" w:rsidRPr="00D144FD" w:rsidRDefault="00DF3F97" w:rsidP="00DF3F97">
            <w:pPr>
              <w:pStyle w:val="ListParagraph"/>
              <w:numPr>
                <w:ilvl w:val="0"/>
                <w:numId w:val="1"/>
              </w:numPr>
              <w:rPr>
                <w:lang w:val="fr-FR"/>
              </w:rPr>
            </w:pPr>
            <w:proofErr w:type="spellStart"/>
            <w:r w:rsidRPr="00971B04">
              <w:rPr>
                <w:lang w:val="fr-FR"/>
              </w:rPr>
              <w:t>Akbari</w:t>
            </w:r>
            <w:proofErr w:type="spellEnd"/>
            <w:r w:rsidRPr="00971B04">
              <w:rPr>
                <w:lang w:val="fr-FR"/>
              </w:rPr>
              <w:t xml:space="preserve"> OS, </w:t>
            </w:r>
            <w:proofErr w:type="spellStart"/>
            <w:r w:rsidRPr="00971B04">
              <w:rPr>
                <w:lang w:val="fr-FR"/>
              </w:rPr>
              <w:t>Bellen</w:t>
            </w:r>
            <w:proofErr w:type="spellEnd"/>
            <w:r w:rsidRPr="00971B04">
              <w:rPr>
                <w:lang w:val="fr-FR"/>
              </w:rPr>
              <w:t xml:space="preserve"> HJ, </w:t>
            </w:r>
            <w:proofErr w:type="spellStart"/>
            <w:r w:rsidRPr="00971B04">
              <w:rPr>
                <w:lang w:val="fr-FR"/>
              </w:rPr>
              <w:t>Bier</w:t>
            </w:r>
            <w:proofErr w:type="spellEnd"/>
            <w:r w:rsidRPr="00971B04">
              <w:rPr>
                <w:lang w:val="fr-FR"/>
              </w:rPr>
              <w:t xml:space="preserve"> E, et al. </w:t>
            </w:r>
            <w:r w:rsidRPr="00971B04">
              <w:rPr>
                <w:i/>
                <w:iCs/>
              </w:rPr>
              <w:t>Safeguarding gene drive experiments in the laboratory</w:t>
            </w:r>
            <w:r w:rsidRPr="00971B04">
              <w:t xml:space="preserve">. </w:t>
            </w:r>
            <w:r w:rsidRPr="00D144FD">
              <w:rPr>
                <w:lang w:val="fr-FR"/>
              </w:rPr>
              <w:t xml:space="preserve">Science. 2015;349(6251):927-929. doi:10.1126/science.aac7932.  </w:t>
            </w:r>
            <w:hyperlink r:id="rId11" w:history="1">
              <w:r w:rsidRPr="00D144FD">
                <w:rPr>
                  <w:rStyle w:val="Hyperlink"/>
                  <w:lang w:val="fr-FR"/>
                </w:rPr>
                <w:t>https://www.ncbi.nlm.nih.gov/pmc/articles/PMC4692367/</w:t>
              </w:r>
            </w:hyperlink>
            <w:r w:rsidRPr="00D144FD">
              <w:rPr>
                <w:lang w:val="fr-FR"/>
              </w:rPr>
              <w:t xml:space="preserve">  </w:t>
            </w:r>
          </w:p>
        </w:tc>
      </w:tr>
      <w:tr w:rsidR="00593BC6" w:rsidRPr="00AD22DE" w14:paraId="7DA9A366" w14:textId="77777777" w:rsidTr="00135D96">
        <w:trPr>
          <w:cantSplit/>
          <w:trHeight w:val="233"/>
        </w:trPr>
        <w:tc>
          <w:tcPr>
            <w:tcW w:w="918" w:type="dxa"/>
          </w:tcPr>
          <w:p w14:paraId="0704BF74" w14:textId="6B0DE1FC" w:rsidR="00593BC6" w:rsidRPr="00971B04" w:rsidRDefault="00E625D6" w:rsidP="00EA105F">
            <w:r w:rsidRPr="00971B04">
              <w:t>73</w:t>
            </w:r>
          </w:p>
        </w:tc>
        <w:tc>
          <w:tcPr>
            <w:tcW w:w="1125" w:type="dxa"/>
          </w:tcPr>
          <w:p w14:paraId="5C318341" w14:textId="3C2A5209" w:rsidR="00593BC6" w:rsidRPr="00971B04" w:rsidRDefault="00E625D6" w:rsidP="00EA105F">
            <w:r w:rsidRPr="00971B04">
              <w:t>13-18</w:t>
            </w:r>
          </w:p>
        </w:tc>
        <w:tc>
          <w:tcPr>
            <w:tcW w:w="8145" w:type="dxa"/>
            <w:gridSpan w:val="2"/>
          </w:tcPr>
          <w:p w14:paraId="728544B4" w14:textId="28F605BA" w:rsidR="00593BC6" w:rsidRPr="00971B04" w:rsidRDefault="00E625D6" w:rsidP="00EA105F">
            <w:r w:rsidRPr="00971B04">
              <w:t>The reference to engineered gene drives should be removed, as they are nowhere near the point of commercial release.</w:t>
            </w:r>
          </w:p>
        </w:tc>
      </w:tr>
      <w:tr w:rsidR="00593BC6" w:rsidRPr="00AD22DE" w14:paraId="27D65F93" w14:textId="77777777" w:rsidTr="00135D96">
        <w:trPr>
          <w:cantSplit/>
          <w:trHeight w:val="233"/>
        </w:trPr>
        <w:tc>
          <w:tcPr>
            <w:tcW w:w="918" w:type="dxa"/>
          </w:tcPr>
          <w:p w14:paraId="6FEE838D" w14:textId="09E55392" w:rsidR="00593BC6" w:rsidRPr="00971B04" w:rsidRDefault="00E625D6" w:rsidP="00EA105F">
            <w:r w:rsidRPr="00971B04">
              <w:t>96</w:t>
            </w:r>
          </w:p>
        </w:tc>
        <w:tc>
          <w:tcPr>
            <w:tcW w:w="1125" w:type="dxa"/>
          </w:tcPr>
          <w:p w14:paraId="2C39B009" w14:textId="3DC3BF7D" w:rsidR="00593BC6" w:rsidRPr="00971B04" w:rsidRDefault="00E625D6" w:rsidP="00EA105F">
            <w:r w:rsidRPr="00971B04">
              <w:t>4</w:t>
            </w:r>
          </w:p>
        </w:tc>
        <w:tc>
          <w:tcPr>
            <w:tcW w:w="8145" w:type="dxa"/>
            <w:gridSpan w:val="2"/>
          </w:tcPr>
          <w:p w14:paraId="3FAC4203" w14:textId="77777777" w:rsidR="00593BC6" w:rsidRPr="00971B04" w:rsidRDefault="00E625D6" w:rsidP="00EA105F">
            <w:r w:rsidRPr="00971B04">
              <w:t xml:space="preserve">Section 9.2.1. omits WHO’s </w:t>
            </w:r>
            <w:r w:rsidRPr="00971B04">
              <w:rPr>
                <w:i/>
                <w:iCs/>
              </w:rPr>
              <w:t xml:space="preserve">Guidance framework for testing genetically modified mosquitoes </w:t>
            </w:r>
            <w:r w:rsidRPr="00971B04">
              <w:t>which is relevant to synthetic biology and should be referenced:</w:t>
            </w:r>
          </w:p>
          <w:p w14:paraId="4F781EF4" w14:textId="77777777" w:rsidR="00E625D6" w:rsidRPr="00971B04" w:rsidRDefault="00E625D6" w:rsidP="00EA105F"/>
          <w:p w14:paraId="3C230DD4" w14:textId="1D57C36F" w:rsidR="00E625D6" w:rsidRPr="00971B04" w:rsidRDefault="00E625D6" w:rsidP="00EA105F">
            <w:r w:rsidRPr="00971B04">
              <w:t xml:space="preserve">Guidance framework for testing genetically modified mosquitoes, second edition. Geneva: World Health Organization; 2021. Licence: CC BY-NC-SA 3.0 IGO. </w:t>
            </w:r>
            <w:hyperlink r:id="rId12" w:history="1">
              <w:r w:rsidRPr="00971B04">
                <w:rPr>
                  <w:rStyle w:val="Hyperlink"/>
                </w:rPr>
                <w:t>https://www.who.int/publications/i/item/9789240025233</w:t>
              </w:r>
            </w:hyperlink>
            <w:r w:rsidRPr="00971B04">
              <w:t xml:space="preserve"> </w:t>
            </w:r>
          </w:p>
        </w:tc>
      </w:tr>
      <w:tr w:rsidR="00593BC6" w:rsidRPr="00AD22DE" w14:paraId="7F41CC7E" w14:textId="77777777" w:rsidTr="00135D96">
        <w:trPr>
          <w:cantSplit/>
          <w:trHeight w:val="233"/>
        </w:trPr>
        <w:tc>
          <w:tcPr>
            <w:tcW w:w="918" w:type="dxa"/>
          </w:tcPr>
          <w:p w14:paraId="661D50E8" w14:textId="0E3EAB6D" w:rsidR="00593BC6" w:rsidRPr="00971B04" w:rsidRDefault="00E625D6" w:rsidP="00EA105F">
            <w:r w:rsidRPr="00971B04">
              <w:t>132</w:t>
            </w:r>
          </w:p>
        </w:tc>
        <w:tc>
          <w:tcPr>
            <w:tcW w:w="1125" w:type="dxa"/>
          </w:tcPr>
          <w:p w14:paraId="0DB5D191" w14:textId="60F4B378" w:rsidR="00593BC6" w:rsidRPr="00971B04" w:rsidRDefault="00E625D6" w:rsidP="00EA105F">
            <w:r w:rsidRPr="00971B04">
              <w:t>7-9</w:t>
            </w:r>
          </w:p>
        </w:tc>
        <w:tc>
          <w:tcPr>
            <w:tcW w:w="8145" w:type="dxa"/>
            <w:gridSpan w:val="2"/>
          </w:tcPr>
          <w:p w14:paraId="13354FC4" w14:textId="10D51E2E" w:rsidR="00593BC6" w:rsidRPr="00971B04" w:rsidRDefault="00E625D6" w:rsidP="00EA105F">
            <w:r w:rsidRPr="00971B04">
              <w:t>Gene drive research is</w:t>
            </w:r>
            <w:r w:rsidR="00984FBA">
              <w:t xml:space="preserve"> mostly</w:t>
            </w:r>
            <w:r w:rsidRPr="00971B04">
              <w:t xml:space="preserve"> still at an early stage</w:t>
            </w:r>
            <w:r w:rsidR="006A6198" w:rsidRPr="00971B04">
              <w:t>, so this technology may not represent the most “useful lens through which to evaluate overlaps and potential gaps in the governance of synthetic biology”.</w:t>
            </w:r>
            <w:r w:rsidR="00984FBA">
              <w:t xml:space="preserve"> </w:t>
            </w:r>
          </w:p>
        </w:tc>
      </w:tr>
      <w:tr w:rsidR="00593BC6" w:rsidRPr="00AD22DE" w14:paraId="21C2AC39" w14:textId="77777777" w:rsidTr="00135D96">
        <w:trPr>
          <w:cantSplit/>
          <w:trHeight w:val="233"/>
        </w:trPr>
        <w:tc>
          <w:tcPr>
            <w:tcW w:w="918" w:type="dxa"/>
          </w:tcPr>
          <w:p w14:paraId="1A4F0A1E" w14:textId="2E9D15C8" w:rsidR="00593BC6" w:rsidRPr="00971B04" w:rsidRDefault="006A6198" w:rsidP="00EA105F">
            <w:r w:rsidRPr="00971B04">
              <w:t>133</w:t>
            </w:r>
          </w:p>
        </w:tc>
        <w:tc>
          <w:tcPr>
            <w:tcW w:w="1125" w:type="dxa"/>
          </w:tcPr>
          <w:p w14:paraId="6543DC9D" w14:textId="231365A3" w:rsidR="00593BC6" w:rsidRPr="00971B04" w:rsidRDefault="006A6198" w:rsidP="00EA105F">
            <w:r w:rsidRPr="00971B04">
              <w:t>8-10</w:t>
            </w:r>
          </w:p>
        </w:tc>
        <w:tc>
          <w:tcPr>
            <w:tcW w:w="8145" w:type="dxa"/>
            <w:gridSpan w:val="2"/>
          </w:tcPr>
          <w:p w14:paraId="77736A51" w14:textId="41EA9410" w:rsidR="00593BC6" w:rsidRPr="00971B04" w:rsidRDefault="006A6198" w:rsidP="00EA105F">
            <w:r w:rsidRPr="00971B04">
              <w:t>As mentioned earlier reference to engineered gene drives here is inaccurate, as they are not considered to be “in the advanced stages of development”.</w:t>
            </w:r>
          </w:p>
        </w:tc>
      </w:tr>
      <w:tr w:rsidR="006A6198" w:rsidRPr="00C658CD" w14:paraId="74168508" w14:textId="77777777" w:rsidTr="00135D96">
        <w:trPr>
          <w:cantSplit/>
          <w:trHeight w:val="233"/>
        </w:trPr>
        <w:tc>
          <w:tcPr>
            <w:tcW w:w="918" w:type="dxa"/>
          </w:tcPr>
          <w:p w14:paraId="0DE252CE" w14:textId="03CBF047" w:rsidR="006A6198" w:rsidRPr="00971B04" w:rsidRDefault="006A6198" w:rsidP="00EA105F">
            <w:r w:rsidRPr="00971B04">
              <w:t>134</w:t>
            </w:r>
          </w:p>
        </w:tc>
        <w:tc>
          <w:tcPr>
            <w:tcW w:w="1125" w:type="dxa"/>
          </w:tcPr>
          <w:p w14:paraId="3E8F665A" w14:textId="51C94A62" w:rsidR="006A6198" w:rsidRPr="00971B04" w:rsidRDefault="006A6198" w:rsidP="00EA105F">
            <w:r w:rsidRPr="00971B04">
              <w:t>3-4</w:t>
            </w:r>
          </w:p>
        </w:tc>
        <w:tc>
          <w:tcPr>
            <w:tcW w:w="8145" w:type="dxa"/>
            <w:gridSpan w:val="2"/>
          </w:tcPr>
          <w:p w14:paraId="1E566968" w14:textId="23E4D60A" w:rsidR="006A6198" w:rsidRPr="00971B04" w:rsidRDefault="006A6198" w:rsidP="00EA105F">
            <w:r w:rsidRPr="00971B04">
              <w:t>Citations for the “scientific research addressing community engagement in field trials, concerning for instance engineered gene drive organisms (</w:t>
            </w:r>
            <w:proofErr w:type="spellStart"/>
            <w:r w:rsidRPr="00971B04">
              <w:t>i.e</w:t>
            </w:r>
            <w:proofErr w:type="spellEnd"/>
            <w:r w:rsidRPr="00971B04">
              <w:t xml:space="preserve"> for malaria control)” should be included</w:t>
            </w:r>
            <w:r w:rsidR="00971B04">
              <w:t>.</w:t>
            </w:r>
          </w:p>
        </w:tc>
      </w:tr>
    </w:tbl>
    <w:p w14:paraId="6E675E30" w14:textId="77777777" w:rsidR="00593BC6" w:rsidRDefault="00593BC6" w:rsidP="00593BC6">
      <w:pPr>
        <w:tabs>
          <w:tab w:val="left" w:pos="7020"/>
        </w:tabs>
        <w:ind w:right="44"/>
        <w:jc w:val="both"/>
        <w:rPr>
          <w:szCs w:val="22"/>
        </w:rPr>
      </w:pPr>
    </w:p>
    <w:p w14:paraId="0E955578" w14:textId="77777777" w:rsidR="00593BC6" w:rsidRDefault="00593BC6" w:rsidP="00593BC6">
      <w:pPr>
        <w:tabs>
          <w:tab w:val="left" w:pos="7020"/>
        </w:tabs>
        <w:ind w:right="44"/>
        <w:jc w:val="both"/>
        <w:rPr>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ooter"/>
        <w:jc w:val="center"/>
        <w:rPr>
          <w:lang w:val="en-CA"/>
        </w:rPr>
      </w:pPr>
      <w:r w:rsidRPr="00C658CD">
        <w:rPr>
          <w:sz w:val="22"/>
          <w:szCs w:val="22"/>
          <w:lang w:val="en-CA"/>
        </w:rPr>
        <w:t xml:space="preserve">Please submit your comments to </w:t>
      </w:r>
      <w:hyperlink r:id="rId13"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14"/>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41F9" w14:textId="77777777" w:rsidR="009F4784" w:rsidRDefault="009F4784" w:rsidP="00593BC6">
      <w:r>
        <w:separator/>
      </w:r>
    </w:p>
  </w:endnote>
  <w:endnote w:type="continuationSeparator" w:id="0">
    <w:p w14:paraId="70422972" w14:textId="77777777" w:rsidR="009F4784" w:rsidRDefault="009F4784"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C07B" w14:textId="77777777" w:rsidR="009F4784" w:rsidRDefault="009F4784" w:rsidP="00593BC6">
      <w:r>
        <w:separator/>
      </w:r>
    </w:p>
  </w:footnote>
  <w:footnote w:type="continuationSeparator" w:id="0">
    <w:p w14:paraId="48A186DA" w14:textId="77777777" w:rsidR="009F4784" w:rsidRDefault="009F4784"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15B55"/>
    <w:multiLevelType w:val="hybridMultilevel"/>
    <w:tmpl w:val="0D6410DC"/>
    <w:lvl w:ilvl="0" w:tplc="0A907D50">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36394"/>
    <w:multiLevelType w:val="hybridMultilevel"/>
    <w:tmpl w:val="EB42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C6"/>
    <w:rsid w:val="00054613"/>
    <w:rsid w:val="00091F4D"/>
    <w:rsid w:val="00093731"/>
    <w:rsid w:val="000A54FC"/>
    <w:rsid w:val="000E2E07"/>
    <w:rsid w:val="0013147D"/>
    <w:rsid w:val="00132B1A"/>
    <w:rsid w:val="00135D96"/>
    <w:rsid w:val="001A7213"/>
    <w:rsid w:val="00242AA2"/>
    <w:rsid w:val="0024383F"/>
    <w:rsid w:val="00293F84"/>
    <w:rsid w:val="002E1B4D"/>
    <w:rsid w:val="003007A2"/>
    <w:rsid w:val="0032155A"/>
    <w:rsid w:val="00363EF2"/>
    <w:rsid w:val="003925B2"/>
    <w:rsid w:val="00393449"/>
    <w:rsid w:val="003C5737"/>
    <w:rsid w:val="00430349"/>
    <w:rsid w:val="00455850"/>
    <w:rsid w:val="004B6042"/>
    <w:rsid w:val="004B7174"/>
    <w:rsid w:val="004D6145"/>
    <w:rsid w:val="004E398D"/>
    <w:rsid w:val="004E426F"/>
    <w:rsid w:val="00524BE0"/>
    <w:rsid w:val="005411E6"/>
    <w:rsid w:val="00593BC6"/>
    <w:rsid w:val="00594E31"/>
    <w:rsid w:val="005C4C24"/>
    <w:rsid w:val="005D3327"/>
    <w:rsid w:val="00652D1D"/>
    <w:rsid w:val="006A6198"/>
    <w:rsid w:val="00711A1D"/>
    <w:rsid w:val="00712206"/>
    <w:rsid w:val="00735FF1"/>
    <w:rsid w:val="00770B1C"/>
    <w:rsid w:val="00780EC4"/>
    <w:rsid w:val="0085349D"/>
    <w:rsid w:val="00854B69"/>
    <w:rsid w:val="00872EB7"/>
    <w:rsid w:val="008770DA"/>
    <w:rsid w:val="0089327A"/>
    <w:rsid w:val="008A4AAC"/>
    <w:rsid w:val="008C05B8"/>
    <w:rsid w:val="009002ED"/>
    <w:rsid w:val="00971B04"/>
    <w:rsid w:val="00984FBA"/>
    <w:rsid w:val="00991F51"/>
    <w:rsid w:val="00992EE8"/>
    <w:rsid w:val="009F4784"/>
    <w:rsid w:val="00A05BE6"/>
    <w:rsid w:val="00A1184F"/>
    <w:rsid w:val="00A545C6"/>
    <w:rsid w:val="00AC40B5"/>
    <w:rsid w:val="00AD22DE"/>
    <w:rsid w:val="00B30682"/>
    <w:rsid w:val="00B373CC"/>
    <w:rsid w:val="00B662B0"/>
    <w:rsid w:val="00BB14D8"/>
    <w:rsid w:val="00BD5D26"/>
    <w:rsid w:val="00C07680"/>
    <w:rsid w:val="00C33566"/>
    <w:rsid w:val="00C61DC3"/>
    <w:rsid w:val="00CA524F"/>
    <w:rsid w:val="00CB332C"/>
    <w:rsid w:val="00D10ACE"/>
    <w:rsid w:val="00D144FD"/>
    <w:rsid w:val="00D436DC"/>
    <w:rsid w:val="00D60758"/>
    <w:rsid w:val="00D97576"/>
    <w:rsid w:val="00DA5040"/>
    <w:rsid w:val="00DB0025"/>
    <w:rsid w:val="00DD4F55"/>
    <w:rsid w:val="00DF3F97"/>
    <w:rsid w:val="00E227B2"/>
    <w:rsid w:val="00E625D6"/>
    <w:rsid w:val="00EA105F"/>
    <w:rsid w:val="00EC6581"/>
    <w:rsid w:val="00F07B70"/>
    <w:rsid w:val="00F73C17"/>
    <w:rsid w:val="00F754C0"/>
    <w:rsid w:val="00F7637D"/>
    <w:rsid w:val="00F8658F"/>
    <w:rsid w:val="00F86F63"/>
    <w:rsid w:val="00F94D0C"/>
    <w:rsid w:val="00FA7C3B"/>
    <w:rsid w:val="00FB07C1"/>
    <w:rsid w:val="00FB1BA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E625D6"/>
    <w:rPr>
      <w:color w:val="605E5C"/>
      <w:shd w:val="clear" w:color="auto" w:fill="E1DFDD"/>
    </w:rPr>
  </w:style>
  <w:style w:type="paragraph" w:styleId="ListParagraph">
    <w:name w:val="List Paragraph"/>
    <w:basedOn w:val="Normal"/>
    <w:uiPriority w:val="34"/>
    <w:qFormat/>
    <w:rsid w:val="00DF3F97"/>
    <w:pPr>
      <w:ind w:left="720"/>
      <w:contextualSpacing/>
    </w:pPr>
  </w:style>
  <w:style w:type="character" w:styleId="CommentReference">
    <w:name w:val="annotation reference"/>
    <w:basedOn w:val="DefaultParagraphFont"/>
    <w:uiPriority w:val="99"/>
    <w:semiHidden/>
    <w:unhideWhenUsed/>
    <w:rsid w:val="00EC6581"/>
    <w:rPr>
      <w:sz w:val="16"/>
      <w:szCs w:val="16"/>
    </w:rPr>
  </w:style>
  <w:style w:type="paragraph" w:styleId="CommentText">
    <w:name w:val="annotation text"/>
    <w:basedOn w:val="Normal"/>
    <w:link w:val="CommentTextChar"/>
    <w:uiPriority w:val="99"/>
    <w:semiHidden/>
    <w:unhideWhenUsed/>
    <w:rsid w:val="00EC6581"/>
    <w:rPr>
      <w:sz w:val="20"/>
      <w:szCs w:val="20"/>
    </w:rPr>
  </w:style>
  <w:style w:type="character" w:customStyle="1" w:styleId="CommentTextChar">
    <w:name w:val="Comment Text Char"/>
    <w:basedOn w:val="DefaultParagraphFont"/>
    <w:link w:val="CommentText"/>
    <w:uiPriority w:val="99"/>
    <w:semiHidden/>
    <w:rsid w:val="00EC6581"/>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EC6581"/>
    <w:rPr>
      <w:b/>
      <w:bCs/>
    </w:rPr>
  </w:style>
  <w:style w:type="character" w:customStyle="1" w:styleId="CommentSubjectChar">
    <w:name w:val="Comment Subject Char"/>
    <w:basedOn w:val="CommentTextChar"/>
    <w:link w:val="CommentSubject"/>
    <w:uiPriority w:val="99"/>
    <w:semiHidden/>
    <w:rsid w:val="00EC6581"/>
    <w:rPr>
      <w:rFonts w:ascii="Times New Roman" w:eastAsia="Times New Roman" w:hAnsi="Times New Roman"/>
      <w:b/>
      <w:bCs/>
      <w:lang w:val="en-GB"/>
    </w:rPr>
  </w:style>
  <w:style w:type="character" w:styleId="FollowedHyperlink">
    <w:name w:val="FollowedHyperlink"/>
    <w:basedOn w:val="DefaultParagraphFont"/>
    <w:uiPriority w:val="99"/>
    <w:semiHidden/>
    <w:unhideWhenUsed/>
    <w:rsid w:val="00D144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55314">
      <w:bodyDiv w:val="1"/>
      <w:marLeft w:val="0"/>
      <w:marRight w:val="0"/>
      <w:marTop w:val="0"/>
      <w:marBottom w:val="0"/>
      <w:divBdr>
        <w:top w:val="none" w:sz="0" w:space="0" w:color="auto"/>
        <w:left w:val="none" w:sz="0" w:space="0" w:color="auto"/>
        <w:bottom w:val="none" w:sz="0" w:space="0" w:color="auto"/>
        <w:right w:val="none" w:sz="0" w:space="0" w:color="auto"/>
      </w:divBdr>
      <w:divsChild>
        <w:div w:id="846215079">
          <w:marLeft w:val="0"/>
          <w:marRight w:val="0"/>
          <w:marTop w:val="0"/>
          <w:marBottom w:val="0"/>
          <w:divBdr>
            <w:top w:val="none" w:sz="0" w:space="0" w:color="auto"/>
            <w:left w:val="none" w:sz="0" w:space="0" w:color="auto"/>
            <w:bottom w:val="none" w:sz="0" w:space="0" w:color="auto"/>
            <w:right w:val="none" w:sz="0" w:space="0" w:color="auto"/>
          </w:divBdr>
        </w:div>
      </w:divsChild>
    </w:div>
    <w:div w:id="1767918691">
      <w:bodyDiv w:val="1"/>
      <w:marLeft w:val="0"/>
      <w:marRight w:val="0"/>
      <w:marTop w:val="0"/>
      <w:marBottom w:val="0"/>
      <w:divBdr>
        <w:top w:val="none" w:sz="0" w:space="0" w:color="auto"/>
        <w:left w:val="none" w:sz="0" w:space="0" w:color="auto"/>
        <w:bottom w:val="none" w:sz="0" w:space="0" w:color="auto"/>
        <w:right w:val="none" w:sz="0" w:space="0" w:color="auto"/>
      </w:divBdr>
      <w:divsChild>
        <w:div w:id="276986774">
          <w:marLeft w:val="0"/>
          <w:marRight w:val="0"/>
          <w:marTop w:val="0"/>
          <w:marBottom w:val="0"/>
          <w:divBdr>
            <w:top w:val="none" w:sz="0" w:space="0" w:color="auto"/>
            <w:left w:val="none" w:sz="0" w:space="0" w:color="auto"/>
            <w:bottom w:val="none" w:sz="0" w:space="0" w:color="auto"/>
            <w:right w:val="none" w:sz="0" w:space="0" w:color="auto"/>
          </w:divBdr>
        </w:div>
        <w:div w:id="1675835640">
          <w:marLeft w:val="0"/>
          <w:marRight w:val="0"/>
          <w:marTop w:val="75"/>
          <w:marBottom w:val="75"/>
          <w:divBdr>
            <w:top w:val="none" w:sz="0" w:space="0" w:color="auto"/>
            <w:left w:val="none" w:sz="0" w:space="0" w:color="auto"/>
            <w:bottom w:val="none" w:sz="0" w:space="0" w:color="auto"/>
            <w:right w:val="none" w:sz="0" w:space="0" w:color="auto"/>
          </w:divBdr>
        </w:div>
        <w:div w:id="68321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as.org/content/117/49/30864" TargetMode="External"/><Relationship Id="rId13" Type="http://schemas.openxmlformats.org/officeDocument/2006/relationships/hyperlink" Target="mailto:secretariat@cbd.int" TargetMode="External"/><Relationship Id="rId3" Type="http://schemas.openxmlformats.org/officeDocument/2006/relationships/settings" Target="settings.xml"/><Relationship Id="rId7" Type="http://schemas.openxmlformats.org/officeDocument/2006/relationships/hyperlink" Target="mailto:ben@emergingag.com" TargetMode="External"/><Relationship Id="rId12" Type="http://schemas.openxmlformats.org/officeDocument/2006/relationships/hyperlink" Target="https://www.who.int/publications/i/item/978924002523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69236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ience.sciencemag.org/content/358/6367/1135" TargetMode="External"/><Relationship Id="rId4" Type="http://schemas.openxmlformats.org/officeDocument/2006/relationships/webSettings" Target="webSettings.xml"/><Relationship Id="rId9" Type="http://schemas.openxmlformats.org/officeDocument/2006/relationships/hyperlink" Target="https://targetmalaria.org/results-from-months-of-monitoring-following-the-first-release-of-non-gene-drive-genetically-modified-mosquitoes-in-afri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1214</Words>
  <Characters>6922</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8120</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Benjamin Robinson</cp:lastModifiedBy>
  <cp:revision>3</cp:revision>
  <dcterms:created xsi:type="dcterms:W3CDTF">2021-07-05T18:01:00Z</dcterms:created>
  <dcterms:modified xsi:type="dcterms:W3CDTF">2021-07-06T13:33:00Z</dcterms:modified>
</cp:coreProperties>
</file>