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6FDFC" w14:textId="759E47D6" w:rsidR="00593BC6" w:rsidRDefault="00593BC6" w:rsidP="00593BC6">
      <w:pPr>
        <w:pStyle w:val="Kopfzeile"/>
        <w:jc w:val="center"/>
        <w:rPr>
          <w:rFonts w:ascii="Times New Roman Bold" w:hAnsi="Times New Roman Bold"/>
          <w:b/>
          <w:caps/>
          <w:sz w:val="22"/>
          <w:szCs w:val="22"/>
        </w:rPr>
      </w:pPr>
      <w:r w:rsidRPr="00C658CD">
        <w:rPr>
          <w:rFonts w:ascii="Times New Roman Bold" w:hAnsi="Times New Roman Bold"/>
          <w:b/>
          <w:caps/>
          <w:sz w:val="22"/>
          <w:szCs w:val="22"/>
        </w:rPr>
        <w:t xml:space="preserve">template for </w:t>
      </w:r>
      <w:r w:rsidR="00054613">
        <w:rPr>
          <w:rFonts w:ascii="Times New Roman Bold" w:hAnsi="Times New Roman Bold"/>
          <w:b/>
          <w:caps/>
          <w:sz w:val="22"/>
          <w:szCs w:val="22"/>
        </w:rPr>
        <w:t xml:space="preserve">Peer Review </w:t>
      </w:r>
      <w:r w:rsidRPr="00C658CD">
        <w:rPr>
          <w:rFonts w:ascii="Times New Roman Bold" w:hAnsi="Times New Roman Bold"/>
          <w:b/>
          <w:caps/>
          <w:sz w:val="22"/>
          <w:szCs w:val="22"/>
        </w:rPr>
        <w:t xml:space="preserve">comments </w:t>
      </w:r>
    </w:p>
    <w:p w14:paraId="5436CA10" w14:textId="5E767C34" w:rsidR="0032155A" w:rsidRDefault="0032155A" w:rsidP="00593BC6">
      <w:pPr>
        <w:pStyle w:val="Kopfzeile"/>
        <w:jc w:val="center"/>
        <w:rPr>
          <w:rFonts w:ascii="Times New Roman Bold" w:hAnsi="Times New Roman Bold"/>
          <w:b/>
          <w:caps/>
          <w:sz w:val="22"/>
          <w:szCs w:val="22"/>
        </w:rPr>
      </w:pPr>
      <w:r>
        <w:rPr>
          <w:rFonts w:ascii="Times New Roman Bold" w:hAnsi="Times New Roman Bold"/>
          <w:b/>
          <w:caps/>
          <w:sz w:val="22"/>
          <w:szCs w:val="22"/>
        </w:rPr>
        <w:t>Technical series on synthetic biology</w:t>
      </w:r>
    </w:p>
    <w:p w14:paraId="26EA7AB3" w14:textId="77777777" w:rsidR="00D97576" w:rsidRPr="00C658CD" w:rsidRDefault="00D97576" w:rsidP="00593BC6">
      <w:pPr>
        <w:pStyle w:val="Kopfzeile"/>
        <w:jc w:val="center"/>
        <w:rPr>
          <w:rFonts w:ascii="Times New Roman Bold" w:hAnsi="Times New Roman Bold"/>
          <w:b/>
          <w:caps/>
          <w:sz w:val="22"/>
          <w:szCs w:val="22"/>
        </w:rPr>
      </w:pP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125"/>
        <w:gridCol w:w="107"/>
        <w:gridCol w:w="8038"/>
      </w:tblGrid>
      <w:tr w:rsidR="00593BC6" w:rsidRPr="00C658CD" w14:paraId="7DBA9CF5" w14:textId="77777777" w:rsidTr="00EA105F">
        <w:trPr>
          <w:cantSplit/>
          <w:trHeight w:val="233"/>
        </w:trPr>
        <w:tc>
          <w:tcPr>
            <w:tcW w:w="10188" w:type="dxa"/>
            <w:gridSpan w:val="4"/>
            <w:shd w:val="clear" w:color="auto" w:fill="C0C0C0"/>
          </w:tcPr>
          <w:p w14:paraId="0C71E9D1" w14:textId="77777777" w:rsidR="00593BC6" w:rsidRPr="00C658CD" w:rsidRDefault="00593BC6" w:rsidP="00EA105F">
            <w:pPr>
              <w:rPr>
                <w:b/>
                <w:sz w:val="22"/>
                <w:szCs w:val="22"/>
              </w:rPr>
            </w:pPr>
          </w:p>
          <w:p w14:paraId="0923A0AA" w14:textId="77777777" w:rsidR="00593BC6" w:rsidRPr="00C658CD" w:rsidRDefault="00593BC6" w:rsidP="00EA105F">
            <w:pPr>
              <w:rPr>
                <w:b/>
                <w:sz w:val="22"/>
                <w:szCs w:val="22"/>
              </w:rPr>
            </w:pPr>
            <w:r w:rsidRPr="00C658CD">
              <w:rPr>
                <w:b/>
                <w:sz w:val="22"/>
                <w:szCs w:val="22"/>
              </w:rPr>
              <w:t>Contact information</w:t>
            </w:r>
          </w:p>
          <w:p w14:paraId="36D753E7" w14:textId="77777777" w:rsidR="00593BC6" w:rsidRPr="00C658CD" w:rsidRDefault="00593BC6" w:rsidP="00EA105F">
            <w:pPr>
              <w:rPr>
                <w:b/>
                <w:sz w:val="22"/>
                <w:szCs w:val="22"/>
              </w:rPr>
            </w:pPr>
          </w:p>
        </w:tc>
      </w:tr>
      <w:tr w:rsidR="00593BC6" w:rsidRPr="00C658CD" w14:paraId="399E2057" w14:textId="77777777" w:rsidTr="00EA105F">
        <w:trPr>
          <w:cantSplit/>
          <w:trHeight w:val="270"/>
        </w:trPr>
        <w:tc>
          <w:tcPr>
            <w:tcW w:w="2150" w:type="dxa"/>
            <w:gridSpan w:val="3"/>
          </w:tcPr>
          <w:p w14:paraId="7B244D40" w14:textId="77777777" w:rsidR="00593BC6" w:rsidRPr="00C658CD" w:rsidRDefault="00593BC6" w:rsidP="00EA105F">
            <w:pPr>
              <w:rPr>
                <w:b/>
                <w:sz w:val="22"/>
                <w:szCs w:val="22"/>
              </w:rPr>
            </w:pPr>
            <w:r w:rsidRPr="00C658CD">
              <w:rPr>
                <w:b/>
                <w:sz w:val="22"/>
                <w:szCs w:val="22"/>
              </w:rPr>
              <w:lastRenderedPageBreak/>
              <w:t>Surname:</w:t>
            </w:r>
          </w:p>
        </w:tc>
        <w:tc>
          <w:tcPr>
            <w:tcW w:w="8038" w:type="dxa"/>
          </w:tcPr>
          <w:p w14:paraId="3AB47FF8" w14:textId="57E7E27D" w:rsidR="00593BC6" w:rsidRPr="00C658CD" w:rsidRDefault="00F2607C" w:rsidP="00EA105F">
            <w:pPr>
              <w:rPr>
                <w:sz w:val="22"/>
                <w:szCs w:val="22"/>
              </w:rPr>
            </w:pPr>
            <w:r>
              <w:rPr>
                <w:sz w:val="22"/>
                <w:szCs w:val="22"/>
              </w:rPr>
              <w:t>Engelhard</w:t>
            </w:r>
          </w:p>
        </w:tc>
      </w:tr>
      <w:tr w:rsidR="00593BC6" w:rsidRPr="00C658CD" w14:paraId="2D70246E" w14:textId="77777777" w:rsidTr="00EA105F">
        <w:trPr>
          <w:cantSplit/>
          <w:trHeight w:val="280"/>
        </w:trPr>
        <w:tc>
          <w:tcPr>
            <w:tcW w:w="2150" w:type="dxa"/>
            <w:gridSpan w:val="3"/>
          </w:tcPr>
          <w:p w14:paraId="024B7BE1" w14:textId="77777777" w:rsidR="00593BC6" w:rsidRPr="00C658CD" w:rsidRDefault="00593BC6" w:rsidP="00EA105F">
            <w:pPr>
              <w:rPr>
                <w:b/>
                <w:sz w:val="22"/>
                <w:szCs w:val="22"/>
              </w:rPr>
            </w:pPr>
          </w:p>
        </w:tc>
        <w:tc>
          <w:tcPr>
            <w:tcW w:w="8038" w:type="dxa"/>
          </w:tcPr>
          <w:p w14:paraId="24DC2B26" w14:textId="77777777" w:rsidR="00593BC6" w:rsidRPr="00C658CD" w:rsidRDefault="00593BC6" w:rsidP="00EA105F">
            <w:pPr>
              <w:rPr>
                <w:sz w:val="22"/>
                <w:szCs w:val="22"/>
              </w:rPr>
            </w:pPr>
          </w:p>
        </w:tc>
      </w:tr>
      <w:tr w:rsidR="00593BC6" w:rsidRPr="00C658CD" w14:paraId="6960F46D" w14:textId="77777777" w:rsidTr="00EA105F">
        <w:trPr>
          <w:cantSplit/>
          <w:trHeight w:val="270"/>
        </w:trPr>
        <w:tc>
          <w:tcPr>
            <w:tcW w:w="2150" w:type="dxa"/>
            <w:gridSpan w:val="3"/>
          </w:tcPr>
          <w:p w14:paraId="42324F5A" w14:textId="77777777" w:rsidR="00593BC6" w:rsidRPr="00C658CD" w:rsidRDefault="00593BC6" w:rsidP="00EA105F">
            <w:pPr>
              <w:rPr>
                <w:b/>
                <w:sz w:val="22"/>
                <w:szCs w:val="22"/>
              </w:rPr>
            </w:pPr>
            <w:r w:rsidRPr="00C658CD">
              <w:rPr>
                <w:b/>
                <w:sz w:val="22"/>
                <w:szCs w:val="22"/>
              </w:rPr>
              <w:t>Given Name:</w:t>
            </w:r>
          </w:p>
        </w:tc>
        <w:tc>
          <w:tcPr>
            <w:tcW w:w="8038" w:type="dxa"/>
          </w:tcPr>
          <w:p w14:paraId="1F1AFCCD" w14:textId="75E8BF0E" w:rsidR="00593BC6" w:rsidRPr="00C658CD" w:rsidRDefault="00F2607C" w:rsidP="00EA105F">
            <w:pPr>
              <w:rPr>
                <w:sz w:val="22"/>
                <w:szCs w:val="22"/>
              </w:rPr>
            </w:pPr>
            <w:r>
              <w:rPr>
                <w:sz w:val="22"/>
                <w:szCs w:val="22"/>
              </w:rPr>
              <w:t>Margret</w:t>
            </w:r>
          </w:p>
        </w:tc>
      </w:tr>
      <w:tr w:rsidR="00593BC6" w:rsidRPr="00C658CD" w14:paraId="4D0E31D1" w14:textId="77777777" w:rsidTr="00EA105F">
        <w:trPr>
          <w:cantSplit/>
          <w:trHeight w:val="280"/>
        </w:trPr>
        <w:tc>
          <w:tcPr>
            <w:tcW w:w="2150" w:type="dxa"/>
            <w:gridSpan w:val="3"/>
          </w:tcPr>
          <w:p w14:paraId="478DDD07" w14:textId="77777777" w:rsidR="00593BC6" w:rsidRPr="00C658CD" w:rsidRDefault="00593BC6" w:rsidP="00EA105F">
            <w:pPr>
              <w:rPr>
                <w:b/>
                <w:sz w:val="22"/>
                <w:szCs w:val="22"/>
              </w:rPr>
            </w:pPr>
          </w:p>
        </w:tc>
        <w:tc>
          <w:tcPr>
            <w:tcW w:w="8038" w:type="dxa"/>
          </w:tcPr>
          <w:p w14:paraId="286530CF" w14:textId="77777777" w:rsidR="00593BC6" w:rsidRPr="00C658CD" w:rsidRDefault="00593BC6" w:rsidP="00EA105F">
            <w:pPr>
              <w:rPr>
                <w:sz w:val="22"/>
                <w:szCs w:val="22"/>
              </w:rPr>
            </w:pPr>
          </w:p>
        </w:tc>
      </w:tr>
      <w:tr w:rsidR="00593BC6" w:rsidRPr="00FF1A2A" w14:paraId="1C3067B8" w14:textId="77777777" w:rsidTr="00EA105F">
        <w:trPr>
          <w:cantSplit/>
          <w:trHeight w:val="270"/>
        </w:trPr>
        <w:tc>
          <w:tcPr>
            <w:tcW w:w="2150" w:type="dxa"/>
            <w:gridSpan w:val="3"/>
          </w:tcPr>
          <w:p w14:paraId="3499F6BE" w14:textId="77777777" w:rsidR="00593BC6" w:rsidRPr="00C658CD" w:rsidRDefault="00593BC6" w:rsidP="00EA105F">
            <w:pPr>
              <w:rPr>
                <w:b/>
                <w:sz w:val="22"/>
                <w:szCs w:val="22"/>
              </w:rPr>
            </w:pPr>
            <w:r w:rsidRPr="00C658CD">
              <w:rPr>
                <w:b/>
                <w:sz w:val="22"/>
                <w:szCs w:val="22"/>
              </w:rPr>
              <w:t>Government</w:t>
            </w:r>
          </w:p>
        </w:tc>
        <w:tc>
          <w:tcPr>
            <w:tcW w:w="8038" w:type="dxa"/>
          </w:tcPr>
          <w:p w14:paraId="119BAC5F" w14:textId="77777777" w:rsidR="00593BC6" w:rsidRPr="00F86F63" w:rsidRDefault="00593BC6" w:rsidP="00EA105F">
            <w:pPr>
              <w:rPr>
                <w:sz w:val="22"/>
                <w:szCs w:val="22"/>
              </w:rPr>
            </w:pPr>
          </w:p>
        </w:tc>
      </w:tr>
      <w:tr w:rsidR="00593BC6" w:rsidRPr="00C658CD" w14:paraId="590623FC" w14:textId="77777777" w:rsidTr="00EA105F">
        <w:trPr>
          <w:cantSplit/>
          <w:trHeight w:val="280"/>
        </w:trPr>
        <w:tc>
          <w:tcPr>
            <w:tcW w:w="2150" w:type="dxa"/>
            <w:gridSpan w:val="3"/>
          </w:tcPr>
          <w:p w14:paraId="0807C1F5" w14:textId="77777777" w:rsidR="00593BC6" w:rsidRPr="00C658CD" w:rsidRDefault="00593BC6" w:rsidP="00EA105F">
            <w:pPr>
              <w:rPr>
                <w:b/>
                <w:sz w:val="22"/>
                <w:szCs w:val="22"/>
              </w:rPr>
            </w:pPr>
            <w:r w:rsidRPr="00C658CD">
              <w:rPr>
                <w:b/>
                <w:sz w:val="22"/>
                <w:szCs w:val="22"/>
              </w:rPr>
              <w:t>(if applicable):</w:t>
            </w:r>
          </w:p>
        </w:tc>
        <w:tc>
          <w:tcPr>
            <w:tcW w:w="8038" w:type="dxa"/>
          </w:tcPr>
          <w:p w14:paraId="2CA88BC1" w14:textId="77777777" w:rsidR="00593BC6" w:rsidRPr="00C658CD" w:rsidRDefault="00593BC6" w:rsidP="00EA105F">
            <w:pPr>
              <w:rPr>
                <w:sz w:val="22"/>
                <w:szCs w:val="22"/>
              </w:rPr>
            </w:pPr>
          </w:p>
        </w:tc>
      </w:tr>
      <w:tr w:rsidR="00593BC6" w:rsidRPr="00C658CD" w14:paraId="131D5B27" w14:textId="77777777" w:rsidTr="00EA105F">
        <w:trPr>
          <w:cantSplit/>
          <w:trHeight w:val="270"/>
        </w:trPr>
        <w:tc>
          <w:tcPr>
            <w:tcW w:w="2150" w:type="dxa"/>
            <w:gridSpan w:val="3"/>
          </w:tcPr>
          <w:p w14:paraId="5B9F4F37" w14:textId="77777777" w:rsidR="00593BC6" w:rsidRPr="00C658CD" w:rsidRDefault="00593BC6" w:rsidP="00EA105F">
            <w:pPr>
              <w:rPr>
                <w:b/>
                <w:sz w:val="22"/>
                <w:szCs w:val="22"/>
              </w:rPr>
            </w:pPr>
          </w:p>
        </w:tc>
        <w:tc>
          <w:tcPr>
            <w:tcW w:w="8038" w:type="dxa"/>
          </w:tcPr>
          <w:p w14:paraId="09AED490" w14:textId="77777777" w:rsidR="00593BC6" w:rsidRPr="00C658CD" w:rsidRDefault="00593BC6" w:rsidP="00EA105F">
            <w:pPr>
              <w:rPr>
                <w:sz w:val="22"/>
                <w:szCs w:val="22"/>
              </w:rPr>
            </w:pPr>
          </w:p>
        </w:tc>
      </w:tr>
      <w:tr w:rsidR="00593BC6" w:rsidRPr="00C658CD" w14:paraId="2C8FC01D" w14:textId="77777777" w:rsidTr="00EA105F">
        <w:trPr>
          <w:cantSplit/>
          <w:trHeight w:val="270"/>
        </w:trPr>
        <w:tc>
          <w:tcPr>
            <w:tcW w:w="2150" w:type="dxa"/>
            <w:gridSpan w:val="3"/>
          </w:tcPr>
          <w:p w14:paraId="683E9B8A" w14:textId="77777777" w:rsidR="00593BC6" w:rsidRPr="00C658CD" w:rsidRDefault="00593BC6" w:rsidP="00EA105F">
            <w:pPr>
              <w:rPr>
                <w:b/>
                <w:sz w:val="22"/>
                <w:szCs w:val="22"/>
              </w:rPr>
            </w:pPr>
            <w:r w:rsidRPr="00C658CD">
              <w:rPr>
                <w:b/>
                <w:sz w:val="22"/>
                <w:szCs w:val="22"/>
              </w:rPr>
              <w:t>Organization:</w:t>
            </w:r>
          </w:p>
        </w:tc>
        <w:tc>
          <w:tcPr>
            <w:tcW w:w="8038" w:type="dxa"/>
          </w:tcPr>
          <w:p w14:paraId="44E1FC10" w14:textId="7D57BD39" w:rsidR="00593BC6" w:rsidRPr="00C658CD" w:rsidRDefault="00BC3176" w:rsidP="00EA105F">
            <w:pPr>
              <w:rPr>
                <w:sz w:val="22"/>
                <w:szCs w:val="22"/>
              </w:rPr>
            </w:pPr>
            <w:r>
              <w:rPr>
                <w:sz w:val="22"/>
                <w:szCs w:val="22"/>
              </w:rPr>
              <w:t>Member of AHTEG Synthetic Biology, Federal Agency for Nature Protection,</w:t>
            </w:r>
          </w:p>
        </w:tc>
      </w:tr>
      <w:tr w:rsidR="00593BC6" w:rsidRPr="00C658CD" w14:paraId="3ED36EA3" w14:textId="77777777" w:rsidTr="00EA105F">
        <w:trPr>
          <w:cantSplit/>
          <w:trHeight w:val="233"/>
        </w:trPr>
        <w:tc>
          <w:tcPr>
            <w:tcW w:w="2150" w:type="dxa"/>
            <w:gridSpan w:val="3"/>
          </w:tcPr>
          <w:p w14:paraId="21C9EB42" w14:textId="77777777" w:rsidR="00593BC6" w:rsidRPr="00C658CD" w:rsidRDefault="00593BC6" w:rsidP="00EA105F">
            <w:pPr>
              <w:rPr>
                <w:b/>
                <w:sz w:val="22"/>
                <w:szCs w:val="22"/>
              </w:rPr>
            </w:pPr>
          </w:p>
        </w:tc>
        <w:tc>
          <w:tcPr>
            <w:tcW w:w="8038" w:type="dxa"/>
          </w:tcPr>
          <w:p w14:paraId="5A530AD5" w14:textId="77777777" w:rsidR="00593BC6" w:rsidRPr="00C658CD" w:rsidRDefault="00593BC6" w:rsidP="00EA105F">
            <w:pPr>
              <w:rPr>
                <w:sz w:val="22"/>
                <w:szCs w:val="22"/>
              </w:rPr>
            </w:pPr>
          </w:p>
        </w:tc>
      </w:tr>
      <w:tr w:rsidR="00593BC6" w:rsidRPr="00C658CD" w14:paraId="329D03C5" w14:textId="77777777" w:rsidTr="00EA105F">
        <w:trPr>
          <w:cantSplit/>
          <w:trHeight w:val="233"/>
        </w:trPr>
        <w:tc>
          <w:tcPr>
            <w:tcW w:w="2150" w:type="dxa"/>
            <w:gridSpan w:val="3"/>
          </w:tcPr>
          <w:p w14:paraId="50483436" w14:textId="77777777" w:rsidR="00593BC6" w:rsidRPr="00C658CD" w:rsidRDefault="00593BC6" w:rsidP="00EA105F">
            <w:pPr>
              <w:rPr>
                <w:b/>
                <w:sz w:val="22"/>
                <w:szCs w:val="22"/>
              </w:rPr>
            </w:pPr>
            <w:r w:rsidRPr="00C658CD">
              <w:rPr>
                <w:b/>
                <w:sz w:val="22"/>
                <w:szCs w:val="22"/>
              </w:rPr>
              <w:t>E-mail:</w:t>
            </w:r>
          </w:p>
        </w:tc>
        <w:tc>
          <w:tcPr>
            <w:tcW w:w="8038" w:type="dxa"/>
          </w:tcPr>
          <w:p w14:paraId="7D07E304" w14:textId="6110CE93" w:rsidR="00593BC6" w:rsidRPr="00C658CD" w:rsidRDefault="00F2607C" w:rsidP="00EA105F">
            <w:pPr>
              <w:rPr>
                <w:sz w:val="22"/>
                <w:szCs w:val="22"/>
              </w:rPr>
            </w:pPr>
            <w:r>
              <w:rPr>
                <w:sz w:val="22"/>
                <w:szCs w:val="22"/>
              </w:rPr>
              <w:t>Margret.Engelhard@bfn.de</w:t>
            </w:r>
          </w:p>
        </w:tc>
      </w:tr>
      <w:tr w:rsidR="00593BC6" w:rsidRPr="00C658CD" w14:paraId="59BA55E5" w14:textId="77777777" w:rsidTr="00EA105F">
        <w:trPr>
          <w:cantSplit/>
          <w:trHeight w:val="233"/>
        </w:trPr>
        <w:tc>
          <w:tcPr>
            <w:tcW w:w="2150" w:type="dxa"/>
            <w:gridSpan w:val="3"/>
          </w:tcPr>
          <w:p w14:paraId="4CA66506" w14:textId="77777777" w:rsidR="00593BC6" w:rsidRPr="00C658CD" w:rsidRDefault="00593BC6" w:rsidP="00EA105F">
            <w:pPr>
              <w:rPr>
                <w:b/>
                <w:sz w:val="22"/>
                <w:szCs w:val="22"/>
              </w:rPr>
            </w:pPr>
          </w:p>
        </w:tc>
        <w:tc>
          <w:tcPr>
            <w:tcW w:w="8038" w:type="dxa"/>
          </w:tcPr>
          <w:p w14:paraId="267E6375" w14:textId="77777777" w:rsidR="00593BC6" w:rsidRPr="00C658CD" w:rsidRDefault="00593BC6" w:rsidP="00EA105F">
            <w:pPr>
              <w:rPr>
                <w:sz w:val="22"/>
                <w:szCs w:val="22"/>
              </w:rPr>
            </w:pPr>
          </w:p>
        </w:tc>
      </w:tr>
      <w:tr w:rsidR="00593BC6" w:rsidRPr="00C658CD" w14:paraId="333DFC97" w14:textId="77777777" w:rsidTr="00EA105F">
        <w:trPr>
          <w:cantSplit/>
          <w:trHeight w:val="233"/>
        </w:trPr>
        <w:tc>
          <w:tcPr>
            <w:tcW w:w="10188" w:type="dxa"/>
            <w:gridSpan w:val="4"/>
            <w:shd w:val="clear" w:color="auto" w:fill="BFBFBF"/>
          </w:tcPr>
          <w:p w14:paraId="21278E85" w14:textId="77777777" w:rsidR="00593BC6" w:rsidRPr="00C658CD" w:rsidRDefault="00593BC6" w:rsidP="00EA105F">
            <w:pPr>
              <w:rPr>
                <w:b/>
                <w:sz w:val="22"/>
                <w:szCs w:val="22"/>
              </w:rPr>
            </w:pPr>
          </w:p>
          <w:p w14:paraId="05933792" w14:textId="14B8E253" w:rsidR="00593BC6" w:rsidRPr="00C658CD" w:rsidRDefault="00593BC6" w:rsidP="00EA105F">
            <w:pPr>
              <w:rPr>
                <w:b/>
                <w:sz w:val="22"/>
                <w:szCs w:val="22"/>
              </w:rPr>
            </w:pPr>
            <w:r w:rsidRPr="00C658CD">
              <w:rPr>
                <w:b/>
                <w:sz w:val="22"/>
                <w:szCs w:val="22"/>
              </w:rPr>
              <w:t>Comments on th</w:t>
            </w:r>
            <w:r w:rsidR="00363EF2">
              <w:rPr>
                <w:b/>
                <w:sz w:val="22"/>
                <w:szCs w:val="22"/>
              </w:rPr>
              <w:t>e Technical Series on Synthetic Biology</w:t>
            </w:r>
          </w:p>
          <w:p w14:paraId="7BC798CD" w14:textId="77777777" w:rsidR="00593BC6" w:rsidRPr="00C658CD" w:rsidRDefault="00593BC6" w:rsidP="00EA105F">
            <w:pPr>
              <w:rPr>
                <w:b/>
                <w:sz w:val="22"/>
                <w:szCs w:val="22"/>
              </w:rPr>
            </w:pPr>
          </w:p>
        </w:tc>
      </w:tr>
      <w:tr w:rsidR="00593BC6" w:rsidRPr="00C658CD" w14:paraId="2A5F8AC1" w14:textId="77777777" w:rsidTr="00135D96">
        <w:trPr>
          <w:cantSplit/>
          <w:trHeight w:val="233"/>
        </w:trPr>
        <w:tc>
          <w:tcPr>
            <w:tcW w:w="918" w:type="dxa"/>
          </w:tcPr>
          <w:p w14:paraId="6C0FFA1B" w14:textId="77777777" w:rsidR="00593BC6" w:rsidRPr="00C658CD" w:rsidRDefault="00593BC6" w:rsidP="00EA105F">
            <w:pPr>
              <w:rPr>
                <w:b/>
                <w:sz w:val="22"/>
                <w:szCs w:val="22"/>
              </w:rPr>
            </w:pPr>
            <w:r w:rsidRPr="00C658CD">
              <w:rPr>
                <w:b/>
                <w:sz w:val="22"/>
                <w:szCs w:val="22"/>
              </w:rPr>
              <w:t>Page</w:t>
            </w:r>
            <w:r w:rsidR="00F94D0C">
              <w:rPr>
                <w:b/>
                <w:sz w:val="22"/>
                <w:szCs w:val="22"/>
              </w:rPr>
              <w:t xml:space="preserve"> #</w:t>
            </w:r>
          </w:p>
        </w:tc>
        <w:tc>
          <w:tcPr>
            <w:tcW w:w="1125" w:type="dxa"/>
          </w:tcPr>
          <w:p w14:paraId="3BFAC210" w14:textId="77777777" w:rsidR="00593BC6" w:rsidRPr="00C658CD" w:rsidRDefault="005411E6" w:rsidP="00135D96">
            <w:pPr>
              <w:rPr>
                <w:b/>
                <w:sz w:val="22"/>
                <w:szCs w:val="22"/>
              </w:rPr>
            </w:pPr>
            <w:r>
              <w:rPr>
                <w:b/>
                <w:sz w:val="22"/>
                <w:szCs w:val="22"/>
              </w:rPr>
              <w:t xml:space="preserve">Line </w:t>
            </w:r>
            <w:r w:rsidR="00135D96">
              <w:rPr>
                <w:b/>
                <w:sz w:val="22"/>
                <w:szCs w:val="22"/>
              </w:rPr>
              <w:t>#</w:t>
            </w:r>
          </w:p>
        </w:tc>
        <w:tc>
          <w:tcPr>
            <w:tcW w:w="8145" w:type="dxa"/>
            <w:gridSpan w:val="2"/>
          </w:tcPr>
          <w:p w14:paraId="1DF3BB27" w14:textId="77777777" w:rsidR="00593BC6" w:rsidRPr="00C658CD" w:rsidRDefault="00593BC6" w:rsidP="00EA105F">
            <w:pPr>
              <w:rPr>
                <w:b/>
                <w:sz w:val="22"/>
                <w:szCs w:val="22"/>
              </w:rPr>
            </w:pPr>
            <w:r w:rsidRPr="00C658CD">
              <w:rPr>
                <w:b/>
                <w:sz w:val="22"/>
                <w:szCs w:val="22"/>
              </w:rPr>
              <w:t>Comment</w:t>
            </w:r>
          </w:p>
        </w:tc>
      </w:tr>
      <w:tr w:rsidR="00593BC6" w:rsidRPr="00C658CD" w14:paraId="52D4B2D0" w14:textId="77777777" w:rsidTr="00135D96">
        <w:trPr>
          <w:cantSplit/>
          <w:trHeight w:val="233"/>
        </w:trPr>
        <w:tc>
          <w:tcPr>
            <w:tcW w:w="918" w:type="dxa"/>
          </w:tcPr>
          <w:p w14:paraId="2E5AE1CF" w14:textId="325824BC" w:rsidR="00593BC6" w:rsidRPr="00C658CD" w:rsidRDefault="00593BC6" w:rsidP="00EA105F">
            <w:pPr>
              <w:rPr>
                <w:sz w:val="22"/>
                <w:szCs w:val="22"/>
              </w:rPr>
            </w:pPr>
          </w:p>
        </w:tc>
        <w:tc>
          <w:tcPr>
            <w:tcW w:w="1125" w:type="dxa"/>
          </w:tcPr>
          <w:p w14:paraId="6F9597EA" w14:textId="4BE52F65" w:rsidR="00593BC6" w:rsidRPr="00C658CD" w:rsidRDefault="00593BC6" w:rsidP="00EA105F">
            <w:pPr>
              <w:rPr>
                <w:sz w:val="22"/>
                <w:szCs w:val="22"/>
              </w:rPr>
            </w:pPr>
          </w:p>
        </w:tc>
        <w:tc>
          <w:tcPr>
            <w:tcW w:w="8145" w:type="dxa"/>
            <w:gridSpan w:val="2"/>
          </w:tcPr>
          <w:p w14:paraId="58F1E46B" w14:textId="69A0763F" w:rsidR="00593BC6" w:rsidRPr="00C658CD" w:rsidRDefault="00593BC6" w:rsidP="00EA105F">
            <w:pPr>
              <w:rPr>
                <w:sz w:val="22"/>
                <w:szCs w:val="22"/>
              </w:rPr>
            </w:pPr>
          </w:p>
        </w:tc>
      </w:tr>
      <w:tr w:rsidR="00BD7A41" w:rsidRPr="00C658CD" w14:paraId="3168829B" w14:textId="77777777" w:rsidTr="00135D96">
        <w:trPr>
          <w:cantSplit/>
          <w:trHeight w:val="233"/>
        </w:trPr>
        <w:tc>
          <w:tcPr>
            <w:tcW w:w="918" w:type="dxa"/>
          </w:tcPr>
          <w:p w14:paraId="35B19F67" w14:textId="1D428922" w:rsidR="00BD7A41" w:rsidRPr="00C658CD" w:rsidRDefault="00BD7A41" w:rsidP="00BD7A41">
            <w:pPr>
              <w:rPr>
                <w:sz w:val="22"/>
                <w:szCs w:val="22"/>
              </w:rPr>
            </w:pPr>
            <w:r>
              <w:rPr>
                <w:sz w:val="22"/>
                <w:szCs w:val="22"/>
              </w:rPr>
              <w:t>8</w:t>
            </w:r>
          </w:p>
        </w:tc>
        <w:tc>
          <w:tcPr>
            <w:tcW w:w="1125" w:type="dxa"/>
          </w:tcPr>
          <w:p w14:paraId="7A3D11CC" w14:textId="1C9396F9" w:rsidR="00BD7A41" w:rsidRPr="00C658CD" w:rsidRDefault="00BD7A41" w:rsidP="00BD7A41">
            <w:pPr>
              <w:rPr>
                <w:sz w:val="22"/>
                <w:szCs w:val="22"/>
              </w:rPr>
            </w:pPr>
            <w:r>
              <w:rPr>
                <w:sz w:val="22"/>
                <w:szCs w:val="22"/>
              </w:rPr>
              <w:t>13-15</w:t>
            </w:r>
          </w:p>
        </w:tc>
        <w:tc>
          <w:tcPr>
            <w:tcW w:w="8145" w:type="dxa"/>
            <w:gridSpan w:val="2"/>
          </w:tcPr>
          <w:p w14:paraId="13E0C815" w14:textId="7A86217A" w:rsidR="00BD7A41" w:rsidRPr="00C658CD" w:rsidRDefault="00BD7A41" w:rsidP="00BD7A41">
            <w:pPr>
              <w:rPr>
                <w:sz w:val="22"/>
                <w:szCs w:val="22"/>
              </w:rPr>
            </w:pPr>
            <w:r w:rsidRPr="00962D38">
              <w:rPr>
                <w:sz w:val="22"/>
                <w:szCs w:val="22"/>
                <w:lang w:val="en-US"/>
              </w:rPr>
              <w:t>„</w:t>
            </w:r>
            <w:proofErr w:type="spellStart"/>
            <w:r w:rsidRPr="00962D38">
              <w:rPr>
                <w:sz w:val="22"/>
                <w:szCs w:val="22"/>
                <w:lang w:val="x-none"/>
              </w:rPr>
              <w:t>Particularly</w:t>
            </w:r>
            <w:proofErr w:type="spellEnd"/>
            <w:r w:rsidRPr="00962D38">
              <w:rPr>
                <w:sz w:val="22"/>
                <w:szCs w:val="22"/>
                <w:lang w:val="x-none"/>
              </w:rPr>
              <w:t>, CRISPR-</w:t>
            </w:r>
            <w:proofErr w:type="spellStart"/>
            <w:r w:rsidRPr="00962D38">
              <w:rPr>
                <w:sz w:val="22"/>
                <w:szCs w:val="22"/>
                <w:lang w:val="x-none"/>
              </w:rPr>
              <w:t>C</w:t>
            </w:r>
            <w:r w:rsidR="00962D38" w:rsidRPr="00962D38">
              <w:rPr>
                <w:sz w:val="22"/>
                <w:szCs w:val="22"/>
                <w:lang w:val="x-none"/>
              </w:rPr>
              <w:t>as</w:t>
            </w:r>
            <w:proofErr w:type="spellEnd"/>
            <w:r w:rsidR="00962D38" w:rsidRPr="00962D38">
              <w:rPr>
                <w:sz w:val="22"/>
                <w:szCs w:val="22"/>
                <w:lang w:val="x-none"/>
              </w:rPr>
              <w:t xml:space="preserve"> </w:t>
            </w:r>
            <w:proofErr w:type="spellStart"/>
            <w:r w:rsidR="00962D38" w:rsidRPr="00962D38">
              <w:rPr>
                <w:sz w:val="22"/>
                <w:szCs w:val="22"/>
                <w:lang w:val="x-none"/>
              </w:rPr>
              <w:t>technology</w:t>
            </w:r>
            <w:proofErr w:type="spellEnd"/>
            <w:r w:rsidR="00962D38" w:rsidRPr="00962D38">
              <w:rPr>
                <w:sz w:val="22"/>
                <w:szCs w:val="22"/>
                <w:lang w:val="x-none"/>
              </w:rPr>
              <w:t xml:space="preserve"> </w:t>
            </w:r>
            <w:proofErr w:type="spellStart"/>
            <w:r w:rsidR="00962D38" w:rsidRPr="00962D38">
              <w:rPr>
                <w:sz w:val="22"/>
                <w:szCs w:val="22"/>
                <w:lang w:val="x-none"/>
              </w:rPr>
              <w:t>is</w:t>
            </w:r>
            <w:proofErr w:type="spellEnd"/>
            <w:r w:rsidR="00962D38" w:rsidRPr="00962D38">
              <w:rPr>
                <w:sz w:val="22"/>
                <w:szCs w:val="22"/>
                <w:lang w:val="x-none"/>
              </w:rPr>
              <w:t xml:space="preserve"> </w:t>
            </w:r>
            <w:proofErr w:type="spellStart"/>
            <w:r w:rsidR="00962D38" w:rsidRPr="00962D38">
              <w:rPr>
                <w:sz w:val="22"/>
                <w:szCs w:val="22"/>
                <w:lang w:val="x-none"/>
              </w:rPr>
              <w:t>having</w:t>
            </w:r>
            <w:proofErr w:type="spellEnd"/>
            <w:r w:rsidR="00962D38" w:rsidRPr="00962D38">
              <w:rPr>
                <w:sz w:val="22"/>
                <w:szCs w:val="22"/>
                <w:lang w:val="x-none"/>
              </w:rPr>
              <w:t xml:space="preserve"> </w:t>
            </w:r>
            <w:proofErr w:type="spellStart"/>
            <w:r w:rsidR="00962D38" w:rsidRPr="00962D38">
              <w:rPr>
                <w:sz w:val="22"/>
                <w:szCs w:val="22"/>
                <w:lang w:val="x-none"/>
              </w:rPr>
              <w:t>impact</w:t>
            </w:r>
            <w:proofErr w:type="spellEnd"/>
            <w:r w:rsidRPr="00962D38">
              <w:rPr>
                <w:sz w:val="22"/>
                <w:szCs w:val="22"/>
                <w:lang w:val="x-none"/>
              </w:rPr>
              <w:t xml:space="preserve"> in </w:t>
            </w:r>
            <w:proofErr w:type="spellStart"/>
            <w:r w:rsidRPr="00962D38">
              <w:rPr>
                <w:sz w:val="22"/>
                <w:szCs w:val="22"/>
                <w:lang w:val="x-none"/>
              </w:rPr>
              <w:t>agriculture</w:t>
            </w:r>
            <w:proofErr w:type="spellEnd"/>
            <w:r w:rsidRPr="00962D38">
              <w:rPr>
                <w:sz w:val="22"/>
                <w:szCs w:val="22"/>
                <w:lang w:val="x-none"/>
              </w:rPr>
              <w:t xml:space="preserve">, </w:t>
            </w:r>
            <w:proofErr w:type="spellStart"/>
            <w:r w:rsidRPr="00962D38">
              <w:rPr>
                <w:sz w:val="22"/>
                <w:szCs w:val="22"/>
                <w:lang w:val="x-none"/>
              </w:rPr>
              <w:t>especially</w:t>
            </w:r>
            <w:proofErr w:type="spellEnd"/>
            <w:r w:rsidRPr="00962D38">
              <w:rPr>
                <w:sz w:val="22"/>
                <w:szCs w:val="22"/>
                <w:lang w:val="x-none"/>
              </w:rPr>
              <w:t xml:space="preserve"> in </w:t>
            </w:r>
            <w:proofErr w:type="spellStart"/>
            <w:r w:rsidRPr="00962D38">
              <w:rPr>
                <w:sz w:val="22"/>
                <w:szCs w:val="22"/>
                <w:lang w:val="x-none"/>
              </w:rPr>
              <w:t>increasing</w:t>
            </w:r>
            <w:proofErr w:type="spellEnd"/>
            <w:r w:rsidRPr="00962D38">
              <w:rPr>
                <w:sz w:val="22"/>
                <w:szCs w:val="22"/>
                <w:lang w:val="x-none"/>
              </w:rPr>
              <w:t xml:space="preserve"> plant </w:t>
            </w:r>
            <w:proofErr w:type="spellStart"/>
            <w:r w:rsidRPr="00962D38">
              <w:rPr>
                <w:sz w:val="22"/>
                <w:szCs w:val="22"/>
                <w:lang w:val="x-none"/>
              </w:rPr>
              <w:t>yield</w:t>
            </w:r>
            <w:proofErr w:type="spellEnd"/>
            <w:r w:rsidRPr="00962D38">
              <w:rPr>
                <w:sz w:val="22"/>
                <w:szCs w:val="22"/>
                <w:lang w:val="x-none"/>
              </w:rPr>
              <w:t xml:space="preserve">, </w:t>
            </w:r>
            <w:proofErr w:type="spellStart"/>
            <w:r w:rsidRPr="00962D38">
              <w:rPr>
                <w:sz w:val="22"/>
                <w:szCs w:val="22"/>
                <w:lang w:val="x-none"/>
              </w:rPr>
              <w:t>quality</w:t>
            </w:r>
            <w:proofErr w:type="spellEnd"/>
            <w:r w:rsidRPr="00962D38">
              <w:rPr>
                <w:sz w:val="22"/>
                <w:szCs w:val="22"/>
                <w:lang w:val="x-none"/>
              </w:rPr>
              <w:t xml:space="preserve">, </w:t>
            </w:r>
            <w:proofErr w:type="spellStart"/>
            <w:r w:rsidRPr="00962D38">
              <w:rPr>
                <w:sz w:val="22"/>
                <w:szCs w:val="22"/>
                <w:lang w:val="x-none"/>
              </w:rPr>
              <w:t>disease</w:t>
            </w:r>
            <w:proofErr w:type="spellEnd"/>
            <w:r w:rsidRPr="00962D38">
              <w:rPr>
                <w:sz w:val="22"/>
                <w:szCs w:val="22"/>
                <w:lang w:val="x-none"/>
              </w:rPr>
              <w:t xml:space="preserve"> </w:t>
            </w:r>
            <w:proofErr w:type="spellStart"/>
            <w:r w:rsidRPr="00962D38">
              <w:rPr>
                <w:sz w:val="22"/>
                <w:szCs w:val="22"/>
                <w:lang w:val="x-none"/>
              </w:rPr>
              <w:t>resistance</w:t>
            </w:r>
            <w:proofErr w:type="spellEnd"/>
            <w:r w:rsidRPr="00962D38">
              <w:rPr>
                <w:sz w:val="22"/>
                <w:szCs w:val="22"/>
                <w:lang w:val="x-none"/>
              </w:rPr>
              <w:t xml:space="preserve"> </w:t>
            </w:r>
            <w:proofErr w:type="spellStart"/>
            <w:r w:rsidRPr="00962D38">
              <w:rPr>
                <w:sz w:val="22"/>
                <w:szCs w:val="22"/>
                <w:lang w:val="x-none"/>
              </w:rPr>
              <w:t>and</w:t>
            </w:r>
            <w:proofErr w:type="spellEnd"/>
            <w:r w:rsidRPr="00962D38">
              <w:rPr>
                <w:sz w:val="22"/>
                <w:szCs w:val="22"/>
                <w:lang w:val="x-none"/>
              </w:rPr>
              <w:t xml:space="preserve"> </w:t>
            </w:r>
            <w:proofErr w:type="spellStart"/>
            <w:r w:rsidRPr="00962D38">
              <w:rPr>
                <w:sz w:val="22"/>
                <w:szCs w:val="22"/>
                <w:lang w:val="x-none"/>
              </w:rPr>
              <w:t>herbicide</w:t>
            </w:r>
            <w:proofErr w:type="spellEnd"/>
            <w:r w:rsidRPr="00962D38">
              <w:rPr>
                <w:sz w:val="22"/>
                <w:szCs w:val="22"/>
                <w:lang w:val="x-none"/>
              </w:rPr>
              <w:t xml:space="preserve"> </w:t>
            </w:r>
            <w:proofErr w:type="spellStart"/>
            <w:r w:rsidRPr="00962D38">
              <w:rPr>
                <w:sz w:val="22"/>
                <w:szCs w:val="22"/>
                <w:lang w:val="x-none"/>
              </w:rPr>
              <w:t>resistance</w:t>
            </w:r>
            <w:proofErr w:type="spellEnd"/>
            <w:r w:rsidRPr="00962D38">
              <w:rPr>
                <w:sz w:val="22"/>
                <w:szCs w:val="22"/>
                <w:lang w:val="x-none"/>
              </w:rPr>
              <w:t xml:space="preserve">,  </w:t>
            </w:r>
            <w:proofErr w:type="spellStart"/>
            <w:r w:rsidRPr="00962D38">
              <w:rPr>
                <w:sz w:val="22"/>
                <w:szCs w:val="22"/>
                <w:lang w:val="x-none"/>
              </w:rPr>
              <w:t>breeding</w:t>
            </w:r>
            <w:proofErr w:type="spellEnd"/>
            <w:r w:rsidRPr="00962D38">
              <w:rPr>
                <w:sz w:val="22"/>
                <w:szCs w:val="22"/>
                <w:lang w:val="x-none"/>
              </w:rPr>
              <w:t xml:space="preserve">, </w:t>
            </w:r>
            <w:proofErr w:type="spellStart"/>
            <w:r w:rsidRPr="00962D38">
              <w:rPr>
                <w:sz w:val="22"/>
                <w:szCs w:val="22"/>
                <w:lang w:val="x-none"/>
              </w:rPr>
              <w:t>and</w:t>
            </w:r>
            <w:proofErr w:type="spellEnd"/>
            <w:r w:rsidRPr="00962D38">
              <w:rPr>
                <w:sz w:val="22"/>
                <w:szCs w:val="22"/>
                <w:lang w:val="x-none"/>
              </w:rPr>
              <w:t xml:space="preserve"> </w:t>
            </w:r>
            <w:proofErr w:type="spellStart"/>
            <w:r w:rsidRPr="00962D38">
              <w:rPr>
                <w:sz w:val="22"/>
                <w:szCs w:val="22"/>
                <w:lang w:val="x-none"/>
              </w:rPr>
              <w:t>accelerated</w:t>
            </w:r>
            <w:proofErr w:type="spellEnd"/>
            <w:r w:rsidRPr="00962D38">
              <w:rPr>
                <w:sz w:val="22"/>
                <w:szCs w:val="22"/>
                <w:lang w:val="x-none"/>
              </w:rPr>
              <w:t xml:space="preserve"> </w:t>
            </w:r>
            <w:proofErr w:type="spellStart"/>
            <w:r w:rsidRPr="00962D38">
              <w:rPr>
                <w:sz w:val="22"/>
                <w:szCs w:val="22"/>
                <w:lang w:val="x-none"/>
              </w:rPr>
              <w:t>domestication</w:t>
            </w:r>
            <w:proofErr w:type="spellEnd"/>
            <w:r w:rsidRPr="00962D38">
              <w:rPr>
                <w:sz w:val="22"/>
                <w:szCs w:val="22"/>
                <w:lang w:val="x-none"/>
              </w:rPr>
              <w:t>.</w:t>
            </w:r>
            <w:r w:rsidRPr="00962D38">
              <w:rPr>
                <w:sz w:val="22"/>
                <w:szCs w:val="22"/>
                <w:lang w:val="en-US"/>
              </w:rPr>
              <w:t>“</w:t>
            </w:r>
            <w:r w:rsidR="00962D38">
              <w:rPr>
                <w:sz w:val="22"/>
                <w:szCs w:val="22"/>
                <w:lang w:val="en-US"/>
              </w:rPr>
              <w:t xml:space="preserve"> Consider to replace “is having” for “is expected to have” as by now there is no CRISPR-</w:t>
            </w:r>
            <w:proofErr w:type="spellStart"/>
            <w:r w:rsidR="00962D38">
              <w:rPr>
                <w:sz w:val="22"/>
                <w:szCs w:val="22"/>
                <w:lang w:val="en-US"/>
              </w:rPr>
              <w:t>Cas</w:t>
            </w:r>
            <w:proofErr w:type="spellEnd"/>
            <w:r w:rsidR="00962D38">
              <w:rPr>
                <w:sz w:val="22"/>
                <w:szCs w:val="22"/>
                <w:lang w:val="en-US"/>
              </w:rPr>
              <w:t xml:space="preserve">-based </w:t>
            </w:r>
            <w:r w:rsidR="007A2EE5">
              <w:rPr>
                <w:sz w:val="22"/>
                <w:szCs w:val="22"/>
                <w:lang w:val="en-US"/>
              </w:rPr>
              <w:t xml:space="preserve">genome edited </w:t>
            </w:r>
            <w:r w:rsidR="00962D38">
              <w:rPr>
                <w:sz w:val="22"/>
                <w:szCs w:val="22"/>
                <w:lang w:val="en-US"/>
              </w:rPr>
              <w:t xml:space="preserve">plant available on the market worldwide. </w:t>
            </w:r>
          </w:p>
        </w:tc>
      </w:tr>
      <w:tr w:rsidR="00BD7A41" w:rsidRPr="00C658CD" w14:paraId="3E94F419" w14:textId="77777777" w:rsidTr="00135D96">
        <w:trPr>
          <w:cantSplit/>
          <w:trHeight w:val="233"/>
        </w:trPr>
        <w:tc>
          <w:tcPr>
            <w:tcW w:w="918" w:type="dxa"/>
          </w:tcPr>
          <w:p w14:paraId="44DCBC84" w14:textId="6E636A3F" w:rsidR="00BD7A41" w:rsidRPr="00C658CD" w:rsidRDefault="00BD7A41" w:rsidP="00BD7A41">
            <w:pPr>
              <w:rPr>
                <w:sz w:val="22"/>
                <w:szCs w:val="22"/>
              </w:rPr>
            </w:pPr>
            <w:r>
              <w:rPr>
                <w:sz w:val="22"/>
                <w:szCs w:val="22"/>
              </w:rPr>
              <w:t>9</w:t>
            </w:r>
          </w:p>
        </w:tc>
        <w:tc>
          <w:tcPr>
            <w:tcW w:w="1125" w:type="dxa"/>
          </w:tcPr>
          <w:p w14:paraId="6338DD75" w14:textId="59445780" w:rsidR="00BD7A41" w:rsidRPr="00C658CD" w:rsidRDefault="00BD7A41" w:rsidP="00BD7A41">
            <w:pPr>
              <w:rPr>
                <w:sz w:val="22"/>
                <w:szCs w:val="22"/>
              </w:rPr>
            </w:pPr>
            <w:r>
              <w:rPr>
                <w:sz w:val="22"/>
                <w:szCs w:val="22"/>
              </w:rPr>
              <w:t>37-39</w:t>
            </w:r>
          </w:p>
        </w:tc>
        <w:tc>
          <w:tcPr>
            <w:tcW w:w="8145" w:type="dxa"/>
            <w:gridSpan w:val="2"/>
          </w:tcPr>
          <w:p w14:paraId="1794B29D" w14:textId="6A080F35" w:rsidR="00BD7A41" w:rsidRPr="00C658CD" w:rsidRDefault="00BD7A41" w:rsidP="000A34EA">
            <w:pPr>
              <w:rPr>
                <w:sz w:val="22"/>
                <w:szCs w:val="22"/>
              </w:rPr>
            </w:pPr>
            <w:r>
              <w:rPr>
                <w:sz w:val="22"/>
                <w:szCs w:val="22"/>
              </w:rPr>
              <w:t>Tackling climate change by Synthetic Biology is a complex challenge, where virtually no projects are close to the market, and even research is limited. Here a realistic example should be identified to support the claim, as research and development to increase resilience o</w:t>
            </w:r>
            <w:r w:rsidR="000A34EA">
              <w:rPr>
                <w:sz w:val="22"/>
                <w:szCs w:val="22"/>
              </w:rPr>
              <w:t>f</w:t>
            </w:r>
            <w:r>
              <w:rPr>
                <w:sz w:val="22"/>
                <w:szCs w:val="22"/>
              </w:rPr>
              <w:t xml:space="preserve"> corals to climate change is in its infancy and mostly hypothetical (c.f. IUCN 2019 Redford “genetic frontiers…” p.91)</w:t>
            </w:r>
          </w:p>
        </w:tc>
      </w:tr>
      <w:tr w:rsidR="00BD7A41" w:rsidRPr="00B30682" w14:paraId="1C656F45" w14:textId="77777777" w:rsidTr="00135D96">
        <w:trPr>
          <w:cantSplit/>
          <w:trHeight w:val="233"/>
        </w:trPr>
        <w:tc>
          <w:tcPr>
            <w:tcW w:w="918" w:type="dxa"/>
          </w:tcPr>
          <w:p w14:paraId="73652C5C" w14:textId="166C0E87" w:rsidR="00BD7A41" w:rsidRPr="00C658CD" w:rsidRDefault="00BD7A41" w:rsidP="00BD7A41">
            <w:pPr>
              <w:rPr>
                <w:sz w:val="22"/>
                <w:szCs w:val="22"/>
              </w:rPr>
            </w:pPr>
            <w:r>
              <w:rPr>
                <w:sz w:val="22"/>
                <w:szCs w:val="22"/>
              </w:rPr>
              <w:t>10</w:t>
            </w:r>
          </w:p>
        </w:tc>
        <w:tc>
          <w:tcPr>
            <w:tcW w:w="1125" w:type="dxa"/>
          </w:tcPr>
          <w:p w14:paraId="0B63B7FE" w14:textId="4A75FC34" w:rsidR="00BD7A41" w:rsidRPr="00C658CD" w:rsidRDefault="00BD7A41" w:rsidP="00BD7A41">
            <w:pPr>
              <w:rPr>
                <w:sz w:val="22"/>
                <w:szCs w:val="22"/>
              </w:rPr>
            </w:pPr>
            <w:r>
              <w:rPr>
                <w:sz w:val="22"/>
                <w:szCs w:val="22"/>
              </w:rPr>
              <w:t>45</w:t>
            </w:r>
          </w:p>
        </w:tc>
        <w:tc>
          <w:tcPr>
            <w:tcW w:w="8145" w:type="dxa"/>
            <w:gridSpan w:val="2"/>
          </w:tcPr>
          <w:p w14:paraId="0B96346A" w14:textId="5F37BCF6" w:rsidR="00BD7A41" w:rsidRPr="00F86F63" w:rsidRDefault="00BD7A41" w:rsidP="000553D3">
            <w:pPr>
              <w:rPr>
                <w:sz w:val="22"/>
                <w:szCs w:val="22"/>
              </w:rPr>
            </w:pPr>
            <w:r>
              <w:rPr>
                <w:sz w:val="22"/>
                <w:szCs w:val="22"/>
              </w:rPr>
              <w:t>Self</w:t>
            </w:r>
            <w:r w:rsidR="000553D3">
              <w:rPr>
                <w:sz w:val="22"/>
                <w:szCs w:val="22"/>
              </w:rPr>
              <w:t>-</w:t>
            </w:r>
            <w:r>
              <w:rPr>
                <w:sz w:val="22"/>
                <w:szCs w:val="22"/>
              </w:rPr>
              <w:t xml:space="preserve">limiting insects (also p.31 line 27 </w:t>
            </w:r>
            <w:proofErr w:type="spellStart"/>
            <w:r>
              <w:rPr>
                <w:sz w:val="22"/>
                <w:szCs w:val="22"/>
              </w:rPr>
              <w:t>ff</w:t>
            </w:r>
            <w:proofErr w:type="spellEnd"/>
            <w:r>
              <w:rPr>
                <w:sz w:val="22"/>
                <w:szCs w:val="22"/>
              </w:rPr>
              <w:t xml:space="preserve">) were developed by Oxitec and are tested in the environment. To our understanding those products are not marketed commercially but are still in testing phase. </w:t>
            </w:r>
          </w:p>
        </w:tc>
      </w:tr>
      <w:tr w:rsidR="00BD7A41" w:rsidRPr="008C3B84" w14:paraId="4CEEBB68" w14:textId="77777777" w:rsidTr="00135D96">
        <w:trPr>
          <w:cantSplit/>
          <w:trHeight w:val="233"/>
        </w:trPr>
        <w:tc>
          <w:tcPr>
            <w:tcW w:w="918" w:type="dxa"/>
          </w:tcPr>
          <w:p w14:paraId="7A6A7CB6" w14:textId="1EFC58B6" w:rsidR="00BD7A41" w:rsidRPr="00F86F63" w:rsidRDefault="00BD7A41" w:rsidP="00BD7A41">
            <w:pPr>
              <w:rPr>
                <w:sz w:val="22"/>
                <w:szCs w:val="22"/>
              </w:rPr>
            </w:pPr>
            <w:r>
              <w:rPr>
                <w:sz w:val="22"/>
                <w:szCs w:val="22"/>
              </w:rPr>
              <w:t>11</w:t>
            </w:r>
          </w:p>
        </w:tc>
        <w:tc>
          <w:tcPr>
            <w:tcW w:w="1125" w:type="dxa"/>
          </w:tcPr>
          <w:p w14:paraId="623F395E" w14:textId="51E4127C" w:rsidR="00BD7A41" w:rsidRPr="00F86F63" w:rsidRDefault="00BD7A41" w:rsidP="00BD7A41">
            <w:pPr>
              <w:rPr>
                <w:sz w:val="22"/>
                <w:szCs w:val="22"/>
              </w:rPr>
            </w:pPr>
            <w:r>
              <w:rPr>
                <w:sz w:val="22"/>
                <w:szCs w:val="22"/>
              </w:rPr>
              <w:t>8-10</w:t>
            </w:r>
          </w:p>
        </w:tc>
        <w:tc>
          <w:tcPr>
            <w:tcW w:w="8145" w:type="dxa"/>
            <w:gridSpan w:val="2"/>
          </w:tcPr>
          <w:p w14:paraId="2E88B0AD" w14:textId="018CA459" w:rsidR="00BD7A41" w:rsidRPr="008C3B84" w:rsidRDefault="00B049FA" w:rsidP="00B049FA">
            <w:pPr>
              <w:rPr>
                <w:sz w:val="22"/>
                <w:szCs w:val="22"/>
                <w:lang w:val="en-US"/>
              </w:rPr>
            </w:pPr>
            <w:r>
              <w:rPr>
                <w:sz w:val="22"/>
                <w:szCs w:val="22"/>
                <w:lang w:val="en-US"/>
              </w:rPr>
              <w:t>The message o</w:t>
            </w:r>
            <w:r w:rsidR="00716FA1">
              <w:rPr>
                <w:sz w:val="22"/>
                <w:szCs w:val="22"/>
                <w:lang w:val="en-US"/>
              </w:rPr>
              <w:t>f this conclusion is unclear. I</w:t>
            </w:r>
            <w:r>
              <w:rPr>
                <w:sz w:val="22"/>
                <w:szCs w:val="22"/>
                <w:lang w:val="en-US"/>
              </w:rPr>
              <w:t xml:space="preserve"> propose to replace it with: “It might be too early to be able to conclude on potential impacts associated of most </w:t>
            </w:r>
            <w:proofErr w:type="spellStart"/>
            <w:r>
              <w:rPr>
                <w:sz w:val="22"/>
                <w:szCs w:val="22"/>
                <w:lang w:val="en-US"/>
              </w:rPr>
              <w:t>SynBio</w:t>
            </w:r>
            <w:proofErr w:type="spellEnd"/>
            <w:r>
              <w:rPr>
                <w:sz w:val="22"/>
                <w:szCs w:val="22"/>
                <w:lang w:val="en-US"/>
              </w:rPr>
              <w:t xml:space="preserve"> applications.”</w:t>
            </w:r>
          </w:p>
        </w:tc>
      </w:tr>
      <w:tr w:rsidR="00BD7A41" w:rsidRPr="008C3B84" w14:paraId="4A4D44A2" w14:textId="77777777" w:rsidTr="00135D96">
        <w:trPr>
          <w:cantSplit/>
          <w:trHeight w:val="233"/>
        </w:trPr>
        <w:tc>
          <w:tcPr>
            <w:tcW w:w="918" w:type="dxa"/>
          </w:tcPr>
          <w:p w14:paraId="7D986775" w14:textId="290A54DF" w:rsidR="00BD7A41" w:rsidRPr="008C3B84" w:rsidRDefault="00BD7A41" w:rsidP="00BD7A41">
            <w:pPr>
              <w:rPr>
                <w:sz w:val="22"/>
                <w:szCs w:val="22"/>
                <w:lang w:val="en-US"/>
              </w:rPr>
            </w:pPr>
            <w:r>
              <w:rPr>
                <w:sz w:val="22"/>
                <w:szCs w:val="22"/>
                <w:lang w:val="en-US"/>
              </w:rPr>
              <w:t>13</w:t>
            </w:r>
          </w:p>
        </w:tc>
        <w:tc>
          <w:tcPr>
            <w:tcW w:w="1125" w:type="dxa"/>
          </w:tcPr>
          <w:p w14:paraId="5AC5FC2C" w14:textId="0C66CA81" w:rsidR="00BD7A41" w:rsidRPr="008C3B84" w:rsidRDefault="00BD7A41" w:rsidP="00BD7A41">
            <w:pPr>
              <w:rPr>
                <w:sz w:val="22"/>
                <w:szCs w:val="22"/>
                <w:lang w:val="en-US"/>
              </w:rPr>
            </w:pPr>
            <w:r>
              <w:rPr>
                <w:sz w:val="22"/>
                <w:szCs w:val="22"/>
                <w:lang w:val="en-US"/>
              </w:rPr>
              <w:t>4</w:t>
            </w:r>
          </w:p>
        </w:tc>
        <w:tc>
          <w:tcPr>
            <w:tcW w:w="8145" w:type="dxa"/>
            <w:gridSpan w:val="2"/>
          </w:tcPr>
          <w:p w14:paraId="786809CF" w14:textId="155E5ACA" w:rsidR="00BD7A41" w:rsidRPr="008C3B84" w:rsidRDefault="00B049FA" w:rsidP="000A34EA">
            <w:pPr>
              <w:rPr>
                <w:sz w:val="22"/>
                <w:szCs w:val="22"/>
                <w:lang w:val="en-US"/>
              </w:rPr>
            </w:pPr>
            <w:r>
              <w:rPr>
                <w:sz w:val="22"/>
                <w:szCs w:val="22"/>
                <w:lang w:val="en-US"/>
              </w:rPr>
              <w:t xml:space="preserve">The </w:t>
            </w:r>
            <w:r w:rsidRPr="00B049FA">
              <w:rPr>
                <w:sz w:val="22"/>
                <w:szCs w:val="22"/>
                <w:lang w:val="en-US"/>
              </w:rPr>
              <w:t xml:space="preserve">term </w:t>
            </w:r>
            <w:r w:rsidR="00BD7A41" w:rsidRPr="00B049FA">
              <w:rPr>
                <w:sz w:val="22"/>
                <w:szCs w:val="22"/>
                <w:lang w:val="en-US"/>
              </w:rPr>
              <w:t>“conventional LMOs”</w:t>
            </w:r>
            <w:r w:rsidRPr="00B049FA">
              <w:rPr>
                <w:sz w:val="22"/>
                <w:szCs w:val="22"/>
                <w:lang w:val="en-US"/>
              </w:rPr>
              <w:t xml:space="preserve"> is</w:t>
            </w:r>
            <w:r>
              <w:rPr>
                <w:sz w:val="22"/>
                <w:szCs w:val="22"/>
                <w:lang w:val="en-US"/>
              </w:rPr>
              <w:t xml:space="preserve"> not widely used and its meaning remains unclear in this context. Please consider using the term “transgenic LMOs”</w:t>
            </w:r>
            <w:r w:rsidR="000A34EA">
              <w:rPr>
                <w:sz w:val="22"/>
                <w:szCs w:val="22"/>
                <w:lang w:val="en-US"/>
              </w:rPr>
              <w:t xml:space="preserve"> or “</w:t>
            </w:r>
            <w:r w:rsidR="000A34EA" w:rsidRPr="000A34EA">
              <w:rPr>
                <w:sz w:val="22"/>
                <w:szCs w:val="22"/>
                <w:lang w:val="en-US"/>
              </w:rPr>
              <w:t>classical genetic engineering</w:t>
            </w:r>
            <w:r w:rsidR="000A34EA">
              <w:rPr>
                <w:sz w:val="22"/>
                <w:szCs w:val="22"/>
                <w:lang w:val="en-US"/>
              </w:rPr>
              <w:t>” (c.f. p. 131 l. 43)</w:t>
            </w:r>
            <w:r>
              <w:rPr>
                <w:sz w:val="22"/>
                <w:szCs w:val="22"/>
                <w:lang w:val="en-US"/>
              </w:rPr>
              <w:t>.</w:t>
            </w:r>
          </w:p>
        </w:tc>
      </w:tr>
      <w:tr w:rsidR="00BD7A41" w:rsidRPr="008C3B84" w14:paraId="12F556C9" w14:textId="77777777" w:rsidTr="00135D96">
        <w:trPr>
          <w:cantSplit/>
          <w:trHeight w:val="233"/>
        </w:trPr>
        <w:tc>
          <w:tcPr>
            <w:tcW w:w="918" w:type="dxa"/>
          </w:tcPr>
          <w:p w14:paraId="114ECD33" w14:textId="3010FC22" w:rsidR="00BD7A41" w:rsidRPr="008C3B84" w:rsidRDefault="00BD7A41" w:rsidP="00BD7A41">
            <w:pPr>
              <w:rPr>
                <w:sz w:val="22"/>
                <w:szCs w:val="22"/>
                <w:lang w:val="en-US"/>
              </w:rPr>
            </w:pPr>
            <w:r>
              <w:rPr>
                <w:sz w:val="22"/>
                <w:szCs w:val="22"/>
                <w:lang w:val="en-US"/>
              </w:rPr>
              <w:t>13</w:t>
            </w:r>
          </w:p>
        </w:tc>
        <w:tc>
          <w:tcPr>
            <w:tcW w:w="1125" w:type="dxa"/>
          </w:tcPr>
          <w:p w14:paraId="1722E8E8" w14:textId="4EF9337D" w:rsidR="00BD7A41" w:rsidRPr="008C3B84" w:rsidRDefault="00BD7A41" w:rsidP="00BD7A41">
            <w:pPr>
              <w:rPr>
                <w:sz w:val="22"/>
                <w:szCs w:val="22"/>
                <w:lang w:val="en-US"/>
              </w:rPr>
            </w:pPr>
            <w:r>
              <w:rPr>
                <w:sz w:val="22"/>
                <w:szCs w:val="22"/>
                <w:lang w:val="en-US"/>
              </w:rPr>
              <w:t>35</w:t>
            </w:r>
          </w:p>
        </w:tc>
        <w:tc>
          <w:tcPr>
            <w:tcW w:w="8145" w:type="dxa"/>
            <w:gridSpan w:val="2"/>
          </w:tcPr>
          <w:p w14:paraId="314DDBC8" w14:textId="3B157E0C" w:rsidR="00BD7A41" w:rsidRPr="008C3B84" w:rsidRDefault="00BD7A41" w:rsidP="00BD7A41">
            <w:pPr>
              <w:rPr>
                <w:sz w:val="22"/>
                <w:szCs w:val="22"/>
                <w:lang w:val="en-US"/>
              </w:rPr>
            </w:pPr>
            <w:r>
              <w:rPr>
                <w:sz w:val="22"/>
                <w:szCs w:val="22"/>
                <w:lang w:val="en-US"/>
              </w:rPr>
              <w:t>“</w:t>
            </w:r>
            <w:proofErr w:type="gramStart"/>
            <w:r w:rsidRPr="00D43D37">
              <w:rPr>
                <w:sz w:val="22"/>
                <w:szCs w:val="22"/>
                <w:lang w:val="en-US"/>
              </w:rPr>
              <w:t>due</w:t>
            </w:r>
            <w:proofErr w:type="gramEnd"/>
            <w:r w:rsidRPr="00D43D37">
              <w:rPr>
                <w:sz w:val="22"/>
                <w:szCs w:val="22"/>
                <w:lang w:val="en-US"/>
              </w:rPr>
              <w:t xml:space="preserve"> to the opportunities</w:t>
            </w:r>
            <w:r>
              <w:rPr>
                <w:sz w:val="22"/>
                <w:szCs w:val="22"/>
                <w:lang w:val="en-US"/>
              </w:rPr>
              <w:t>” consider adding the word “potential” before opportunities, as most of those applications have not proven to be beneficial at this stage.</w:t>
            </w:r>
          </w:p>
        </w:tc>
      </w:tr>
      <w:tr w:rsidR="00BE7829" w:rsidRPr="003340D9" w14:paraId="715FCEF7" w14:textId="77777777" w:rsidTr="006075B5">
        <w:trPr>
          <w:cantSplit/>
          <w:trHeight w:val="233"/>
        </w:trPr>
        <w:tc>
          <w:tcPr>
            <w:tcW w:w="918" w:type="dxa"/>
            <w:shd w:val="clear" w:color="auto" w:fill="auto"/>
          </w:tcPr>
          <w:p w14:paraId="2E6629B5" w14:textId="601B3296" w:rsidR="00BE7829" w:rsidRDefault="00BE7829" w:rsidP="00BD7A41">
            <w:pPr>
              <w:rPr>
                <w:sz w:val="22"/>
                <w:szCs w:val="22"/>
                <w:lang w:val="en-US"/>
              </w:rPr>
            </w:pPr>
            <w:r>
              <w:rPr>
                <w:sz w:val="22"/>
                <w:szCs w:val="22"/>
                <w:lang w:val="en-US"/>
              </w:rPr>
              <w:t>13</w:t>
            </w:r>
          </w:p>
        </w:tc>
        <w:tc>
          <w:tcPr>
            <w:tcW w:w="1125" w:type="dxa"/>
            <w:shd w:val="clear" w:color="auto" w:fill="auto"/>
          </w:tcPr>
          <w:p w14:paraId="205AC14C" w14:textId="0E708B26" w:rsidR="00BE7829" w:rsidRDefault="00BE7829" w:rsidP="00BD7A41">
            <w:pPr>
              <w:rPr>
                <w:sz w:val="22"/>
                <w:szCs w:val="22"/>
                <w:lang w:val="en-US"/>
              </w:rPr>
            </w:pPr>
            <w:r>
              <w:rPr>
                <w:sz w:val="22"/>
                <w:szCs w:val="22"/>
                <w:lang w:val="en-US"/>
              </w:rPr>
              <w:t>40</w:t>
            </w:r>
          </w:p>
        </w:tc>
        <w:tc>
          <w:tcPr>
            <w:tcW w:w="8145" w:type="dxa"/>
            <w:gridSpan w:val="2"/>
            <w:shd w:val="clear" w:color="auto" w:fill="auto"/>
          </w:tcPr>
          <w:p w14:paraId="54B65175" w14:textId="566CDBAF" w:rsidR="00BE7829" w:rsidRDefault="00BE7829" w:rsidP="00FD4FBD">
            <w:pPr>
              <w:rPr>
                <w:sz w:val="22"/>
                <w:szCs w:val="22"/>
                <w:lang w:val="en-US"/>
              </w:rPr>
            </w:pPr>
            <w:r>
              <w:rPr>
                <w:sz w:val="22"/>
                <w:szCs w:val="22"/>
                <w:lang w:val="en-US"/>
              </w:rPr>
              <w:t xml:space="preserve">Table 1. Please consider </w:t>
            </w:r>
            <w:r w:rsidR="003340D9">
              <w:rPr>
                <w:sz w:val="22"/>
                <w:szCs w:val="22"/>
                <w:lang w:val="en-US"/>
              </w:rPr>
              <w:t>including a</w:t>
            </w:r>
            <w:r>
              <w:rPr>
                <w:sz w:val="22"/>
                <w:szCs w:val="22"/>
                <w:lang w:val="en-US"/>
              </w:rPr>
              <w:t xml:space="preserve"> definition of categories</w:t>
            </w:r>
            <w:r w:rsidR="003340D9">
              <w:rPr>
                <w:sz w:val="22"/>
                <w:szCs w:val="22"/>
                <w:lang w:val="en-US"/>
              </w:rPr>
              <w:t xml:space="preserve"> used, especially </w:t>
            </w:r>
            <w:r>
              <w:rPr>
                <w:sz w:val="22"/>
                <w:szCs w:val="22"/>
                <w:lang w:val="en-US"/>
              </w:rPr>
              <w:t xml:space="preserve">“advanced development”. </w:t>
            </w:r>
          </w:p>
        </w:tc>
      </w:tr>
      <w:tr w:rsidR="00BD7A41" w:rsidRPr="008C3B84" w14:paraId="786AB29D" w14:textId="77777777" w:rsidTr="00135D96">
        <w:trPr>
          <w:cantSplit/>
          <w:trHeight w:val="233"/>
        </w:trPr>
        <w:tc>
          <w:tcPr>
            <w:tcW w:w="918" w:type="dxa"/>
          </w:tcPr>
          <w:p w14:paraId="690F094D" w14:textId="5312E407" w:rsidR="00BD7A41" w:rsidRPr="008C3B84" w:rsidRDefault="00BD7A41" w:rsidP="00BD7A41">
            <w:pPr>
              <w:rPr>
                <w:sz w:val="22"/>
                <w:szCs w:val="22"/>
                <w:lang w:val="en-US"/>
              </w:rPr>
            </w:pPr>
            <w:r>
              <w:rPr>
                <w:sz w:val="22"/>
                <w:szCs w:val="22"/>
                <w:lang w:val="en-US"/>
              </w:rPr>
              <w:t>19</w:t>
            </w:r>
          </w:p>
        </w:tc>
        <w:tc>
          <w:tcPr>
            <w:tcW w:w="1125" w:type="dxa"/>
          </w:tcPr>
          <w:p w14:paraId="00E4B63A" w14:textId="16C2C014" w:rsidR="00BD7A41" w:rsidRPr="008C3B84" w:rsidRDefault="00BD7A41" w:rsidP="00BD7A41">
            <w:pPr>
              <w:rPr>
                <w:sz w:val="22"/>
                <w:szCs w:val="22"/>
                <w:lang w:val="en-US"/>
              </w:rPr>
            </w:pPr>
            <w:r>
              <w:rPr>
                <w:sz w:val="22"/>
                <w:szCs w:val="22"/>
                <w:lang w:val="en-US"/>
              </w:rPr>
              <w:t>4-5</w:t>
            </w:r>
          </w:p>
        </w:tc>
        <w:tc>
          <w:tcPr>
            <w:tcW w:w="8145" w:type="dxa"/>
            <w:gridSpan w:val="2"/>
          </w:tcPr>
          <w:p w14:paraId="612F8E15" w14:textId="6DF7538B" w:rsidR="00BD7A41" w:rsidRPr="008C3B84" w:rsidRDefault="00BD7A41" w:rsidP="00153872">
            <w:pPr>
              <w:rPr>
                <w:sz w:val="22"/>
                <w:szCs w:val="22"/>
                <w:lang w:val="en-US"/>
              </w:rPr>
            </w:pPr>
            <w:r>
              <w:rPr>
                <w:sz w:val="22"/>
                <w:szCs w:val="22"/>
                <w:lang w:val="en-US"/>
              </w:rPr>
              <w:t>“</w:t>
            </w:r>
            <w:r w:rsidRPr="000C6E77">
              <w:rPr>
                <w:sz w:val="22"/>
                <w:szCs w:val="22"/>
                <w:lang w:val="en-US"/>
              </w:rPr>
              <w:t>CRISPR-</w:t>
            </w:r>
            <w:proofErr w:type="spellStart"/>
            <w:r w:rsidRPr="000C6E77">
              <w:rPr>
                <w:sz w:val="22"/>
                <w:szCs w:val="22"/>
                <w:lang w:val="en-US"/>
              </w:rPr>
              <w:t>Cas</w:t>
            </w:r>
            <w:proofErr w:type="spellEnd"/>
            <w:r w:rsidRPr="000C6E77">
              <w:rPr>
                <w:sz w:val="22"/>
                <w:szCs w:val="22"/>
                <w:lang w:val="en-US"/>
              </w:rPr>
              <w:t xml:space="preserve"> technology is having impacts in agriculture, especially in increasing plant yield, quality, disease resistance and herbicide resistance, breeding and accelerated dome</w:t>
            </w:r>
            <w:r>
              <w:rPr>
                <w:sz w:val="22"/>
                <w:szCs w:val="22"/>
                <w:lang w:val="en-US"/>
              </w:rPr>
              <w:t>stication (Zhu et al., 2020).” The technology can only have impacts on agriculture if products on the market have been shown to have a measurable impact. This is currently not the case for the mentioned applications. Please rephrase by e.g. “is expected to have”.</w:t>
            </w:r>
          </w:p>
        </w:tc>
      </w:tr>
      <w:tr w:rsidR="00BD7A41" w:rsidRPr="008C3B84" w14:paraId="077ECF3C" w14:textId="77777777" w:rsidTr="00135D96">
        <w:trPr>
          <w:cantSplit/>
          <w:trHeight w:val="233"/>
        </w:trPr>
        <w:tc>
          <w:tcPr>
            <w:tcW w:w="918" w:type="dxa"/>
          </w:tcPr>
          <w:p w14:paraId="3053276C" w14:textId="37811594" w:rsidR="00BD7A41" w:rsidRPr="008C3B84" w:rsidRDefault="00BD7A41" w:rsidP="00BD7A41">
            <w:pPr>
              <w:rPr>
                <w:sz w:val="22"/>
                <w:szCs w:val="22"/>
                <w:lang w:val="en-US"/>
              </w:rPr>
            </w:pPr>
            <w:r>
              <w:rPr>
                <w:sz w:val="22"/>
                <w:szCs w:val="22"/>
                <w:lang w:val="en-US"/>
              </w:rPr>
              <w:t>19</w:t>
            </w:r>
          </w:p>
        </w:tc>
        <w:tc>
          <w:tcPr>
            <w:tcW w:w="1125" w:type="dxa"/>
          </w:tcPr>
          <w:p w14:paraId="011C33C7" w14:textId="6E259AAA" w:rsidR="00BD7A41" w:rsidRPr="008C3B84" w:rsidRDefault="00BD7A41" w:rsidP="00BD7A41">
            <w:pPr>
              <w:rPr>
                <w:sz w:val="22"/>
                <w:szCs w:val="22"/>
                <w:lang w:val="en-US"/>
              </w:rPr>
            </w:pPr>
            <w:r>
              <w:rPr>
                <w:sz w:val="22"/>
                <w:szCs w:val="22"/>
                <w:lang w:val="en-US"/>
              </w:rPr>
              <w:t>30-31</w:t>
            </w:r>
          </w:p>
        </w:tc>
        <w:tc>
          <w:tcPr>
            <w:tcW w:w="8145" w:type="dxa"/>
            <w:gridSpan w:val="2"/>
          </w:tcPr>
          <w:p w14:paraId="31FB0F18" w14:textId="66D7B90C" w:rsidR="00BD7A41" w:rsidRPr="008C3B84" w:rsidRDefault="00BD7A41" w:rsidP="00153872">
            <w:pPr>
              <w:rPr>
                <w:sz w:val="22"/>
                <w:szCs w:val="22"/>
                <w:lang w:val="en-US"/>
              </w:rPr>
            </w:pPr>
            <w:r>
              <w:rPr>
                <w:sz w:val="22"/>
                <w:szCs w:val="22"/>
                <w:lang w:val="en-US"/>
              </w:rPr>
              <w:t xml:space="preserve">This sentence combines two distinct observations. First, natural gene drives have been studied and second, field trials with natural gene drive have been performed. The sentence suggests that this is a heavy field of research, when combined with the list of natural gene drives in the sentence before, with extended field trials being performed. This is not the case, only </w:t>
            </w:r>
            <w:r w:rsidR="00153872">
              <w:rPr>
                <w:sz w:val="22"/>
                <w:szCs w:val="22"/>
                <w:lang w:val="en-US"/>
              </w:rPr>
              <w:t>few</w:t>
            </w:r>
            <w:r>
              <w:rPr>
                <w:sz w:val="22"/>
                <w:szCs w:val="22"/>
                <w:lang w:val="en-US"/>
              </w:rPr>
              <w:t xml:space="preserve"> natural gene drives have been tested in the field, mostly research is </w:t>
            </w:r>
            <w:r w:rsidR="00153872">
              <w:rPr>
                <w:sz w:val="22"/>
                <w:szCs w:val="22"/>
                <w:lang w:val="en-US"/>
              </w:rPr>
              <w:t xml:space="preserve">attempting to </w:t>
            </w:r>
            <w:r>
              <w:rPr>
                <w:sz w:val="22"/>
                <w:szCs w:val="22"/>
                <w:lang w:val="en-US"/>
              </w:rPr>
              <w:t>observ</w:t>
            </w:r>
            <w:r w:rsidR="00153872">
              <w:rPr>
                <w:sz w:val="22"/>
                <w:szCs w:val="22"/>
                <w:lang w:val="en-US"/>
              </w:rPr>
              <w:t>e</w:t>
            </w:r>
            <w:r>
              <w:rPr>
                <w:sz w:val="22"/>
                <w:szCs w:val="22"/>
                <w:lang w:val="en-US"/>
              </w:rPr>
              <w:t xml:space="preserve"> gene drives in the wild.  </w:t>
            </w:r>
          </w:p>
        </w:tc>
      </w:tr>
      <w:tr w:rsidR="00BD7A41" w:rsidRPr="008C3B84" w14:paraId="31B1A49C" w14:textId="77777777" w:rsidTr="00135D96">
        <w:trPr>
          <w:cantSplit/>
          <w:trHeight w:val="233"/>
        </w:trPr>
        <w:tc>
          <w:tcPr>
            <w:tcW w:w="918" w:type="dxa"/>
          </w:tcPr>
          <w:p w14:paraId="26E0E2AA" w14:textId="6BD339B5" w:rsidR="00BD7A41" w:rsidRPr="008C3B84" w:rsidRDefault="00BD7A41" w:rsidP="00BD7A41">
            <w:pPr>
              <w:rPr>
                <w:sz w:val="22"/>
                <w:szCs w:val="22"/>
                <w:lang w:val="en-US"/>
              </w:rPr>
            </w:pPr>
            <w:r>
              <w:rPr>
                <w:sz w:val="22"/>
                <w:szCs w:val="22"/>
                <w:lang w:val="en-US"/>
              </w:rPr>
              <w:t>19</w:t>
            </w:r>
          </w:p>
        </w:tc>
        <w:tc>
          <w:tcPr>
            <w:tcW w:w="1125" w:type="dxa"/>
          </w:tcPr>
          <w:p w14:paraId="1C6455E2" w14:textId="2159CD64" w:rsidR="00BD7A41" w:rsidRPr="008C3B84" w:rsidRDefault="00BD7A41" w:rsidP="00BD7A41">
            <w:pPr>
              <w:rPr>
                <w:sz w:val="22"/>
                <w:szCs w:val="22"/>
                <w:lang w:val="en-US"/>
              </w:rPr>
            </w:pPr>
            <w:r>
              <w:rPr>
                <w:sz w:val="22"/>
                <w:szCs w:val="22"/>
                <w:lang w:val="en-US"/>
              </w:rPr>
              <w:t>42-43</w:t>
            </w:r>
          </w:p>
        </w:tc>
        <w:tc>
          <w:tcPr>
            <w:tcW w:w="8145" w:type="dxa"/>
            <w:gridSpan w:val="2"/>
          </w:tcPr>
          <w:p w14:paraId="503F912F" w14:textId="7A00010D" w:rsidR="00BD7A41" w:rsidRPr="008C3B84" w:rsidRDefault="00BD7A41" w:rsidP="00BD7A41">
            <w:pPr>
              <w:rPr>
                <w:sz w:val="22"/>
                <w:szCs w:val="22"/>
                <w:lang w:val="en-US"/>
              </w:rPr>
            </w:pPr>
            <w:r>
              <w:rPr>
                <w:sz w:val="22"/>
                <w:szCs w:val="22"/>
                <w:lang w:val="en-US"/>
              </w:rPr>
              <w:t>The statement is a theoretical prediction, not a fixed reality (c.f. e.g. resistance development). Suggestion is to replace “will” by “is intended to”</w:t>
            </w:r>
          </w:p>
        </w:tc>
      </w:tr>
      <w:tr w:rsidR="00BD7A41" w:rsidRPr="008C3B84" w14:paraId="6921FD3C" w14:textId="77777777" w:rsidTr="00135D96">
        <w:trPr>
          <w:cantSplit/>
          <w:trHeight w:val="233"/>
        </w:trPr>
        <w:tc>
          <w:tcPr>
            <w:tcW w:w="918" w:type="dxa"/>
          </w:tcPr>
          <w:p w14:paraId="65A99BD9" w14:textId="5B6329C2" w:rsidR="00BD7A41" w:rsidRDefault="00BD7A41" w:rsidP="00BD7A41">
            <w:pPr>
              <w:rPr>
                <w:sz w:val="22"/>
                <w:szCs w:val="22"/>
                <w:lang w:val="en-US"/>
              </w:rPr>
            </w:pPr>
            <w:r>
              <w:rPr>
                <w:sz w:val="22"/>
                <w:szCs w:val="22"/>
                <w:lang w:val="en-US"/>
              </w:rPr>
              <w:lastRenderedPageBreak/>
              <w:t>20</w:t>
            </w:r>
          </w:p>
        </w:tc>
        <w:tc>
          <w:tcPr>
            <w:tcW w:w="1125" w:type="dxa"/>
          </w:tcPr>
          <w:p w14:paraId="36CCD276" w14:textId="0645DC55" w:rsidR="00BD7A41" w:rsidRDefault="00BD7A41" w:rsidP="00BD7A41">
            <w:pPr>
              <w:rPr>
                <w:sz w:val="22"/>
                <w:szCs w:val="22"/>
                <w:lang w:val="en-US"/>
              </w:rPr>
            </w:pPr>
            <w:r>
              <w:rPr>
                <w:sz w:val="22"/>
                <w:szCs w:val="22"/>
                <w:lang w:val="en-US"/>
              </w:rPr>
              <w:t>10</w:t>
            </w:r>
          </w:p>
        </w:tc>
        <w:tc>
          <w:tcPr>
            <w:tcW w:w="8145" w:type="dxa"/>
            <w:gridSpan w:val="2"/>
          </w:tcPr>
          <w:p w14:paraId="6AB2D1A8" w14:textId="7CE30202" w:rsidR="00BD7A41" w:rsidRDefault="00BD7A41" w:rsidP="00DD33A1">
            <w:pPr>
              <w:rPr>
                <w:sz w:val="22"/>
                <w:szCs w:val="22"/>
                <w:lang w:val="en-US"/>
              </w:rPr>
            </w:pPr>
            <w:r>
              <w:rPr>
                <w:sz w:val="22"/>
                <w:szCs w:val="22"/>
                <w:lang w:val="en-US"/>
              </w:rPr>
              <w:t xml:space="preserve">Include “in” </w:t>
            </w:r>
            <w:r w:rsidR="00DD33A1">
              <w:rPr>
                <w:sz w:val="22"/>
                <w:szCs w:val="22"/>
                <w:lang w:val="en-US"/>
              </w:rPr>
              <w:t xml:space="preserve">in </w:t>
            </w:r>
            <w:r>
              <w:rPr>
                <w:sz w:val="22"/>
                <w:szCs w:val="22"/>
                <w:lang w:val="en-US"/>
              </w:rPr>
              <w:t>“</w:t>
            </w:r>
            <w:r w:rsidRPr="00BD7A41">
              <w:rPr>
                <w:sz w:val="22"/>
                <w:szCs w:val="22"/>
                <w:lang w:val="x-none"/>
              </w:rPr>
              <w:t xml:space="preserve">an </w:t>
            </w:r>
            <w:proofErr w:type="spellStart"/>
            <w:r w:rsidRPr="00BD7A41">
              <w:rPr>
                <w:sz w:val="22"/>
                <w:szCs w:val="22"/>
                <w:lang w:val="x-none"/>
              </w:rPr>
              <w:t>intrinsic</w:t>
            </w:r>
            <w:proofErr w:type="spellEnd"/>
            <w:r w:rsidRPr="00BD7A41">
              <w:rPr>
                <w:sz w:val="22"/>
                <w:szCs w:val="22"/>
                <w:lang w:val="x-none"/>
              </w:rPr>
              <w:t xml:space="preserve"> </w:t>
            </w:r>
            <w:proofErr w:type="spellStart"/>
            <w:r w:rsidRPr="00BD7A41">
              <w:rPr>
                <w:sz w:val="22"/>
                <w:szCs w:val="22"/>
                <w:lang w:val="x-none"/>
              </w:rPr>
              <w:t>cellular</w:t>
            </w:r>
            <w:proofErr w:type="spellEnd"/>
            <w:r w:rsidRPr="00BD7A41">
              <w:rPr>
                <w:sz w:val="22"/>
                <w:szCs w:val="22"/>
                <w:lang w:val="x-none"/>
              </w:rPr>
              <w:t xml:space="preserve"> </w:t>
            </w:r>
            <w:proofErr w:type="spellStart"/>
            <w:r w:rsidRPr="00BD7A41">
              <w:rPr>
                <w:sz w:val="22"/>
                <w:szCs w:val="22"/>
                <w:lang w:val="x-none"/>
              </w:rPr>
              <w:t>mechanism</w:t>
            </w:r>
            <w:proofErr w:type="spellEnd"/>
            <w:r w:rsidRPr="00BD7A41">
              <w:rPr>
                <w:sz w:val="22"/>
                <w:szCs w:val="22"/>
                <w:lang w:val="x-none"/>
              </w:rPr>
              <w:t xml:space="preserve"> </w:t>
            </w:r>
            <w:proofErr w:type="spellStart"/>
            <w:r w:rsidRPr="00BD7A41">
              <w:rPr>
                <w:sz w:val="22"/>
                <w:szCs w:val="22"/>
                <w:lang w:val="x-none"/>
              </w:rPr>
              <w:t>present</w:t>
            </w:r>
            <w:proofErr w:type="spellEnd"/>
            <w:r w:rsidR="00153872" w:rsidRPr="00153872">
              <w:rPr>
                <w:sz w:val="22"/>
                <w:szCs w:val="22"/>
                <w:lang w:val="en-US"/>
              </w:rPr>
              <w:t xml:space="preserve"> in</w:t>
            </w:r>
            <w:r w:rsidRPr="00BD7A41">
              <w:rPr>
                <w:sz w:val="22"/>
                <w:szCs w:val="22"/>
                <w:lang w:val="x-none"/>
              </w:rPr>
              <w:t xml:space="preserve"> </w:t>
            </w:r>
            <w:proofErr w:type="spellStart"/>
            <w:r w:rsidRPr="00BD7A41">
              <w:rPr>
                <w:sz w:val="22"/>
                <w:szCs w:val="22"/>
                <w:lang w:val="x-none"/>
              </w:rPr>
              <w:t>almost</w:t>
            </w:r>
            <w:proofErr w:type="spellEnd"/>
            <w:r w:rsidRPr="00BD7A41">
              <w:rPr>
                <w:sz w:val="22"/>
                <w:szCs w:val="22"/>
                <w:lang w:val="x-none"/>
              </w:rPr>
              <w:t xml:space="preserve"> all </w:t>
            </w:r>
            <w:proofErr w:type="spellStart"/>
            <w:r w:rsidRPr="00BD7A41">
              <w:rPr>
                <w:sz w:val="22"/>
                <w:szCs w:val="22"/>
                <w:lang w:val="x-none"/>
              </w:rPr>
              <w:t>eukaryotic</w:t>
            </w:r>
            <w:proofErr w:type="spellEnd"/>
            <w:r w:rsidRPr="00BD7A41">
              <w:rPr>
                <w:sz w:val="22"/>
                <w:szCs w:val="22"/>
                <w:lang w:val="x-none"/>
              </w:rPr>
              <w:t xml:space="preserve"> </w:t>
            </w:r>
            <w:proofErr w:type="spellStart"/>
            <w:r w:rsidRPr="00BD7A41">
              <w:rPr>
                <w:sz w:val="22"/>
                <w:szCs w:val="22"/>
                <w:lang w:val="x-none"/>
              </w:rPr>
              <w:t>organisms</w:t>
            </w:r>
            <w:proofErr w:type="spellEnd"/>
            <w:r w:rsidRPr="00BD7A41">
              <w:rPr>
                <w:sz w:val="22"/>
                <w:szCs w:val="22"/>
                <w:lang w:val="en-US"/>
              </w:rPr>
              <w:t>“</w:t>
            </w:r>
          </w:p>
        </w:tc>
      </w:tr>
      <w:tr w:rsidR="00875A7B" w:rsidRPr="008C3B84" w14:paraId="00CDFE31" w14:textId="77777777" w:rsidTr="00135D96">
        <w:trPr>
          <w:cantSplit/>
          <w:trHeight w:val="233"/>
        </w:trPr>
        <w:tc>
          <w:tcPr>
            <w:tcW w:w="918" w:type="dxa"/>
          </w:tcPr>
          <w:p w14:paraId="4DF1EAFB" w14:textId="799D6115" w:rsidR="00875A7B" w:rsidRDefault="00875A7B" w:rsidP="00BD7A41">
            <w:pPr>
              <w:rPr>
                <w:sz w:val="22"/>
                <w:szCs w:val="22"/>
                <w:lang w:val="en-US"/>
              </w:rPr>
            </w:pPr>
            <w:r>
              <w:rPr>
                <w:sz w:val="22"/>
                <w:szCs w:val="22"/>
                <w:lang w:val="en-US"/>
              </w:rPr>
              <w:t>20</w:t>
            </w:r>
          </w:p>
        </w:tc>
        <w:tc>
          <w:tcPr>
            <w:tcW w:w="1125" w:type="dxa"/>
          </w:tcPr>
          <w:p w14:paraId="54D08DDA" w14:textId="25A2672E" w:rsidR="00875A7B" w:rsidRDefault="00875A7B" w:rsidP="00BD7A41">
            <w:pPr>
              <w:rPr>
                <w:sz w:val="22"/>
                <w:szCs w:val="22"/>
                <w:lang w:val="en-US"/>
              </w:rPr>
            </w:pPr>
            <w:r>
              <w:rPr>
                <w:sz w:val="22"/>
                <w:szCs w:val="22"/>
                <w:lang w:val="en-US"/>
              </w:rPr>
              <w:t>25</w:t>
            </w:r>
          </w:p>
        </w:tc>
        <w:tc>
          <w:tcPr>
            <w:tcW w:w="8145" w:type="dxa"/>
            <w:gridSpan w:val="2"/>
          </w:tcPr>
          <w:p w14:paraId="5FDEC8E6" w14:textId="4068CBC2" w:rsidR="00875A7B" w:rsidRDefault="00614265" w:rsidP="00153872">
            <w:pPr>
              <w:rPr>
                <w:sz w:val="22"/>
                <w:szCs w:val="22"/>
                <w:lang w:val="en-US"/>
              </w:rPr>
            </w:pPr>
            <w:r>
              <w:rPr>
                <w:sz w:val="22"/>
                <w:szCs w:val="22"/>
                <w:lang w:val="en-US"/>
              </w:rPr>
              <w:t>Please</w:t>
            </w:r>
            <w:r w:rsidR="00875A7B">
              <w:rPr>
                <w:sz w:val="22"/>
                <w:szCs w:val="22"/>
                <w:lang w:val="en-US"/>
              </w:rPr>
              <w:t xml:space="preserve"> consider </w:t>
            </w:r>
            <w:r w:rsidR="00DD33A1">
              <w:rPr>
                <w:sz w:val="22"/>
                <w:szCs w:val="22"/>
                <w:lang w:val="en-US"/>
              </w:rPr>
              <w:t xml:space="preserve">to </w:t>
            </w:r>
            <w:r w:rsidR="00153872">
              <w:rPr>
                <w:sz w:val="22"/>
                <w:szCs w:val="22"/>
                <w:lang w:val="en-US"/>
              </w:rPr>
              <w:t>specify</w:t>
            </w:r>
            <w:r w:rsidR="00DD33A1">
              <w:rPr>
                <w:sz w:val="22"/>
                <w:szCs w:val="22"/>
                <w:lang w:val="en-US"/>
              </w:rPr>
              <w:t xml:space="preserve"> or delete</w:t>
            </w:r>
            <w:r w:rsidR="00875A7B">
              <w:rPr>
                <w:sz w:val="22"/>
                <w:szCs w:val="22"/>
                <w:lang w:val="en-US"/>
              </w:rPr>
              <w:t xml:space="preserve"> “avoid food waste.”  </w:t>
            </w:r>
            <w:r w:rsidR="00DD33A1">
              <w:rPr>
                <w:sz w:val="22"/>
                <w:szCs w:val="22"/>
                <w:lang w:val="en-US"/>
              </w:rPr>
              <w:t>Here, i</w:t>
            </w:r>
            <w:r w:rsidR="00875A7B" w:rsidRPr="00DD33A1">
              <w:rPr>
                <w:sz w:val="22"/>
                <w:szCs w:val="22"/>
                <w:lang w:val="en-US"/>
              </w:rPr>
              <w:t xml:space="preserve">t remains unclear how avoidance of food waste could be achieved by a methodology like RNAi as such. In case </w:t>
            </w:r>
            <w:r w:rsidRPr="00DD33A1">
              <w:rPr>
                <w:sz w:val="22"/>
                <w:szCs w:val="22"/>
                <w:lang w:val="en-US"/>
              </w:rPr>
              <w:t xml:space="preserve">“avoid food waste” </w:t>
            </w:r>
            <w:r w:rsidR="00875A7B" w:rsidRPr="00DD33A1">
              <w:rPr>
                <w:sz w:val="22"/>
                <w:szCs w:val="22"/>
                <w:lang w:val="en-US"/>
              </w:rPr>
              <w:t xml:space="preserve">refers to applications such as non-browning </w:t>
            </w:r>
            <w:r w:rsidR="00153872">
              <w:rPr>
                <w:sz w:val="22"/>
                <w:szCs w:val="22"/>
                <w:lang w:val="en-US"/>
              </w:rPr>
              <w:t>vegetables and fruits</w:t>
            </w:r>
            <w:r w:rsidR="006075B5">
              <w:rPr>
                <w:sz w:val="22"/>
                <w:szCs w:val="22"/>
                <w:lang w:val="en-US"/>
              </w:rPr>
              <w:t xml:space="preserve">, it might be considered that the trait is more likely modified for its </w:t>
            </w:r>
            <w:r w:rsidR="007A2EE5">
              <w:rPr>
                <w:sz w:val="22"/>
                <w:szCs w:val="22"/>
                <w:lang w:val="en-US"/>
              </w:rPr>
              <w:t>a</w:t>
            </w:r>
            <w:r w:rsidR="006075B5">
              <w:rPr>
                <w:sz w:val="22"/>
                <w:szCs w:val="22"/>
                <w:lang w:val="en-US"/>
              </w:rPr>
              <w:t>esthetic appeal to the costumer.</w:t>
            </w:r>
          </w:p>
        </w:tc>
      </w:tr>
      <w:tr w:rsidR="0065216A" w:rsidRPr="008C3B84" w14:paraId="3BDCD289" w14:textId="77777777" w:rsidTr="00135D96">
        <w:trPr>
          <w:cantSplit/>
          <w:trHeight w:val="233"/>
        </w:trPr>
        <w:tc>
          <w:tcPr>
            <w:tcW w:w="918" w:type="dxa"/>
          </w:tcPr>
          <w:p w14:paraId="22709B4D" w14:textId="2185B8CC" w:rsidR="0065216A" w:rsidRDefault="0065216A" w:rsidP="00BD7A41">
            <w:pPr>
              <w:rPr>
                <w:sz w:val="22"/>
                <w:szCs w:val="22"/>
                <w:lang w:val="en-US"/>
              </w:rPr>
            </w:pPr>
            <w:r>
              <w:rPr>
                <w:sz w:val="22"/>
                <w:szCs w:val="22"/>
                <w:lang w:val="en-US"/>
              </w:rPr>
              <w:t>20</w:t>
            </w:r>
          </w:p>
        </w:tc>
        <w:tc>
          <w:tcPr>
            <w:tcW w:w="1125" w:type="dxa"/>
          </w:tcPr>
          <w:p w14:paraId="5502A0C1" w14:textId="220F3A96" w:rsidR="0065216A" w:rsidRDefault="0065216A" w:rsidP="00BD7A41">
            <w:pPr>
              <w:rPr>
                <w:sz w:val="22"/>
                <w:szCs w:val="22"/>
                <w:lang w:val="en-US"/>
              </w:rPr>
            </w:pPr>
            <w:r>
              <w:rPr>
                <w:sz w:val="22"/>
                <w:szCs w:val="22"/>
                <w:lang w:val="en-US"/>
              </w:rPr>
              <w:t>31-32</w:t>
            </w:r>
          </w:p>
        </w:tc>
        <w:tc>
          <w:tcPr>
            <w:tcW w:w="8145" w:type="dxa"/>
            <w:gridSpan w:val="2"/>
          </w:tcPr>
          <w:p w14:paraId="60DDE666" w14:textId="19ACDB24" w:rsidR="0065216A" w:rsidRPr="00C7259B" w:rsidRDefault="00C7259B" w:rsidP="00C7259B">
            <w:pPr>
              <w:rPr>
                <w:sz w:val="22"/>
                <w:szCs w:val="22"/>
                <w:highlight w:val="green"/>
                <w:lang w:val="en-US"/>
              </w:rPr>
            </w:pPr>
            <w:r w:rsidRPr="00C7259B">
              <w:rPr>
                <w:sz w:val="22"/>
                <w:szCs w:val="22"/>
                <w:lang w:val="en-US"/>
              </w:rPr>
              <w:t>Currently, it cannot be generally assessed whether off-target effects in NTO</w:t>
            </w:r>
            <w:r w:rsidR="00153872">
              <w:rPr>
                <w:sz w:val="22"/>
                <w:szCs w:val="22"/>
                <w:lang w:val="en-US"/>
              </w:rPr>
              <w:t>s</w:t>
            </w:r>
            <w:r w:rsidRPr="00C7259B">
              <w:rPr>
                <w:sz w:val="22"/>
                <w:szCs w:val="22"/>
                <w:lang w:val="en-US"/>
              </w:rPr>
              <w:t xml:space="preserve"> are reduced by better design based on </w:t>
            </w:r>
            <w:proofErr w:type="spellStart"/>
            <w:r w:rsidRPr="00C7259B">
              <w:rPr>
                <w:sz w:val="22"/>
                <w:szCs w:val="22"/>
                <w:lang w:val="en-US"/>
              </w:rPr>
              <w:t>bioinformatic</w:t>
            </w:r>
            <w:proofErr w:type="spellEnd"/>
            <w:r w:rsidRPr="00C7259B">
              <w:rPr>
                <w:sz w:val="22"/>
                <w:szCs w:val="22"/>
                <w:lang w:val="en-US"/>
              </w:rPr>
              <w:t xml:space="preserve"> methods. </w:t>
            </w:r>
            <w:r>
              <w:rPr>
                <w:sz w:val="22"/>
                <w:szCs w:val="22"/>
                <w:lang w:val="en-US"/>
              </w:rPr>
              <w:t xml:space="preserve">This is due to the fact </w:t>
            </w:r>
            <w:r w:rsidRPr="00C7259B">
              <w:rPr>
                <w:sz w:val="22"/>
                <w:szCs w:val="22"/>
                <w:lang w:val="en-US"/>
              </w:rPr>
              <w:t>that for the majority of relevant NTO</w:t>
            </w:r>
            <w:r w:rsidR="00153872">
              <w:rPr>
                <w:sz w:val="22"/>
                <w:szCs w:val="22"/>
                <w:lang w:val="en-US"/>
              </w:rPr>
              <w:t>s</w:t>
            </w:r>
            <w:r w:rsidRPr="00C7259B">
              <w:rPr>
                <w:sz w:val="22"/>
                <w:szCs w:val="22"/>
                <w:lang w:val="en-US"/>
              </w:rPr>
              <w:t>, especially insects, no genome data are available</w:t>
            </w:r>
            <w:r>
              <w:rPr>
                <w:sz w:val="22"/>
                <w:szCs w:val="22"/>
                <w:lang w:val="en-US"/>
              </w:rPr>
              <w:t xml:space="preserve"> or precise RNA binding parameters are unknown</w:t>
            </w:r>
            <w:r w:rsidRPr="00C7259B">
              <w:rPr>
                <w:sz w:val="22"/>
                <w:szCs w:val="22"/>
                <w:lang w:val="en-US"/>
              </w:rPr>
              <w:t xml:space="preserve"> </w:t>
            </w:r>
            <w:r>
              <w:rPr>
                <w:sz w:val="22"/>
                <w:szCs w:val="22"/>
                <w:lang w:val="en-US"/>
              </w:rPr>
              <w:t>which</w:t>
            </w:r>
            <w:r w:rsidR="006075B5">
              <w:rPr>
                <w:sz w:val="22"/>
                <w:szCs w:val="22"/>
                <w:lang w:val="en-US"/>
              </w:rPr>
              <w:t xml:space="preserve"> otherwise</w:t>
            </w:r>
            <w:r w:rsidRPr="00C7259B">
              <w:rPr>
                <w:sz w:val="22"/>
                <w:szCs w:val="22"/>
                <w:lang w:val="en-US"/>
              </w:rPr>
              <w:t xml:space="preserve"> could be considered in such a design.</w:t>
            </w:r>
          </w:p>
        </w:tc>
      </w:tr>
      <w:tr w:rsidR="0024327D" w:rsidRPr="008C3B84" w14:paraId="400FF10F" w14:textId="77777777" w:rsidTr="00135D96">
        <w:trPr>
          <w:cantSplit/>
          <w:trHeight w:val="233"/>
        </w:trPr>
        <w:tc>
          <w:tcPr>
            <w:tcW w:w="918" w:type="dxa"/>
          </w:tcPr>
          <w:p w14:paraId="2F98A36A" w14:textId="3E9F9AF9" w:rsidR="0024327D" w:rsidRDefault="0024327D" w:rsidP="00BD7A41">
            <w:pPr>
              <w:rPr>
                <w:sz w:val="22"/>
                <w:szCs w:val="22"/>
                <w:lang w:val="en-US"/>
              </w:rPr>
            </w:pPr>
            <w:r>
              <w:rPr>
                <w:sz w:val="22"/>
                <w:szCs w:val="22"/>
                <w:lang w:val="en-US"/>
              </w:rPr>
              <w:t>21</w:t>
            </w:r>
          </w:p>
        </w:tc>
        <w:tc>
          <w:tcPr>
            <w:tcW w:w="1125" w:type="dxa"/>
          </w:tcPr>
          <w:p w14:paraId="0DC1E411" w14:textId="0F267D48" w:rsidR="0024327D" w:rsidRDefault="0024327D" w:rsidP="00BD7A41">
            <w:pPr>
              <w:rPr>
                <w:sz w:val="22"/>
                <w:szCs w:val="22"/>
                <w:lang w:val="en-US"/>
              </w:rPr>
            </w:pPr>
            <w:r>
              <w:rPr>
                <w:sz w:val="22"/>
                <w:szCs w:val="22"/>
                <w:lang w:val="en-US"/>
              </w:rPr>
              <w:t>6</w:t>
            </w:r>
            <w:r w:rsidR="00E15E7C">
              <w:rPr>
                <w:sz w:val="22"/>
                <w:szCs w:val="22"/>
                <w:lang w:val="en-US"/>
              </w:rPr>
              <w:t>-15</w:t>
            </w:r>
          </w:p>
        </w:tc>
        <w:tc>
          <w:tcPr>
            <w:tcW w:w="8145" w:type="dxa"/>
            <w:gridSpan w:val="2"/>
          </w:tcPr>
          <w:p w14:paraId="363132A4" w14:textId="45BE0B04" w:rsidR="00E15E7C" w:rsidRDefault="00E15E7C" w:rsidP="0024327D">
            <w:pPr>
              <w:rPr>
                <w:sz w:val="22"/>
                <w:szCs w:val="22"/>
                <w:lang w:val="en-US"/>
              </w:rPr>
            </w:pPr>
            <w:r>
              <w:rPr>
                <w:sz w:val="22"/>
                <w:szCs w:val="22"/>
                <w:lang w:val="en-US"/>
              </w:rPr>
              <w:t>T</w:t>
            </w:r>
            <w:r w:rsidRPr="00E15E7C">
              <w:rPr>
                <w:sz w:val="22"/>
                <w:szCs w:val="22"/>
                <w:lang w:val="en-US"/>
              </w:rPr>
              <w:t>he entire paragraph should be revised in terms of language and parts of the content</w:t>
            </w:r>
            <w:r>
              <w:rPr>
                <w:sz w:val="22"/>
                <w:szCs w:val="22"/>
                <w:lang w:val="en-US"/>
              </w:rPr>
              <w:t>.</w:t>
            </w:r>
          </w:p>
          <w:p w14:paraId="62570962" w14:textId="78097BEF" w:rsidR="00E15E7C" w:rsidRPr="00BA5078" w:rsidRDefault="00314B87" w:rsidP="00153872">
            <w:pPr>
              <w:rPr>
                <w:sz w:val="22"/>
                <w:szCs w:val="22"/>
                <w:lang w:val="en-US"/>
              </w:rPr>
            </w:pPr>
            <w:r>
              <w:rPr>
                <w:sz w:val="22"/>
                <w:szCs w:val="22"/>
                <w:lang w:val="en-US"/>
              </w:rPr>
              <w:t>I</w:t>
            </w:r>
            <w:r w:rsidR="00C7259B" w:rsidRPr="00C7259B">
              <w:rPr>
                <w:sz w:val="22"/>
                <w:szCs w:val="22"/>
                <w:lang w:val="en-US"/>
              </w:rPr>
              <w:t>t should be kept in</w:t>
            </w:r>
            <w:r w:rsidR="00C7259B">
              <w:rPr>
                <w:sz w:val="22"/>
                <w:szCs w:val="22"/>
                <w:lang w:val="en-US"/>
              </w:rPr>
              <w:t xml:space="preserve"> mind that knockdown</w:t>
            </w:r>
            <w:r w:rsidR="00651186">
              <w:rPr>
                <w:sz w:val="22"/>
                <w:szCs w:val="22"/>
                <w:lang w:val="en-US"/>
              </w:rPr>
              <w:t>s</w:t>
            </w:r>
            <w:r w:rsidR="006075B5">
              <w:rPr>
                <w:sz w:val="22"/>
                <w:szCs w:val="22"/>
                <w:lang w:val="en-US"/>
              </w:rPr>
              <w:t xml:space="preserve"> (KD)</w:t>
            </w:r>
            <w:r w:rsidR="00651186">
              <w:rPr>
                <w:sz w:val="22"/>
                <w:szCs w:val="22"/>
                <w:lang w:val="en-US"/>
              </w:rPr>
              <w:t xml:space="preserve"> via RNAi are not gener</w:t>
            </w:r>
            <w:r w:rsidR="00453FAC">
              <w:rPr>
                <w:sz w:val="22"/>
                <w:szCs w:val="22"/>
                <w:lang w:val="en-US"/>
              </w:rPr>
              <w:t>ally preferable to knock</w:t>
            </w:r>
            <w:r w:rsidR="006075B5">
              <w:rPr>
                <w:sz w:val="22"/>
                <w:szCs w:val="22"/>
                <w:lang w:val="en-US"/>
              </w:rPr>
              <w:t>outs (KO)</w:t>
            </w:r>
            <w:r w:rsidR="00453FAC">
              <w:rPr>
                <w:sz w:val="22"/>
                <w:szCs w:val="22"/>
                <w:lang w:val="en-US"/>
              </w:rPr>
              <w:t>, but that both</w:t>
            </w:r>
            <w:r w:rsidR="00C7259B" w:rsidRPr="00C7259B">
              <w:rPr>
                <w:sz w:val="22"/>
                <w:szCs w:val="22"/>
                <w:lang w:val="en-US"/>
              </w:rPr>
              <w:t xml:space="preserve"> can be used for different purposes. With KD, a residual transcription may remain, but </w:t>
            </w:r>
            <w:r w:rsidR="00C7259B">
              <w:rPr>
                <w:sz w:val="22"/>
                <w:szCs w:val="22"/>
                <w:lang w:val="en-US"/>
              </w:rPr>
              <w:t xml:space="preserve">transcription </w:t>
            </w:r>
            <w:r w:rsidR="00153872">
              <w:rPr>
                <w:sz w:val="22"/>
                <w:szCs w:val="22"/>
                <w:lang w:val="en-US"/>
              </w:rPr>
              <w:t>might</w:t>
            </w:r>
            <w:r w:rsidR="00C7259B" w:rsidRPr="00C7259B">
              <w:rPr>
                <w:sz w:val="22"/>
                <w:szCs w:val="22"/>
                <w:lang w:val="en-US"/>
              </w:rPr>
              <w:t xml:space="preserve"> be fine-tuned. Stable KO, on the other hand, can </w:t>
            </w:r>
            <w:r w:rsidR="00651186">
              <w:rPr>
                <w:sz w:val="22"/>
                <w:szCs w:val="22"/>
                <w:lang w:val="en-US"/>
              </w:rPr>
              <w:t xml:space="preserve">in certain cases </w:t>
            </w:r>
            <w:r w:rsidR="00C7259B" w:rsidRPr="00C7259B">
              <w:rPr>
                <w:sz w:val="22"/>
                <w:szCs w:val="22"/>
                <w:lang w:val="en-US"/>
              </w:rPr>
              <w:t>be established</w:t>
            </w:r>
            <w:r w:rsidR="00453FAC">
              <w:rPr>
                <w:sz w:val="22"/>
                <w:szCs w:val="22"/>
                <w:lang w:val="en-US"/>
              </w:rPr>
              <w:t xml:space="preserve"> more </w:t>
            </w:r>
            <w:r w:rsidR="00651186">
              <w:rPr>
                <w:sz w:val="22"/>
                <w:szCs w:val="22"/>
                <w:lang w:val="en-US"/>
              </w:rPr>
              <w:t xml:space="preserve">quickly </w:t>
            </w:r>
            <w:r w:rsidR="00453FAC">
              <w:rPr>
                <w:sz w:val="22"/>
                <w:szCs w:val="22"/>
                <w:lang w:val="en-US"/>
              </w:rPr>
              <w:t>with the aid of genome e</w:t>
            </w:r>
            <w:r w:rsidR="00651186">
              <w:rPr>
                <w:sz w:val="22"/>
                <w:szCs w:val="22"/>
                <w:lang w:val="en-US"/>
              </w:rPr>
              <w:t>diting methods than assumed here.</w:t>
            </w:r>
          </w:p>
        </w:tc>
      </w:tr>
      <w:tr w:rsidR="00C26584" w:rsidRPr="008C3B84" w14:paraId="2B8CE524" w14:textId="77777777" w:rsidTr="00135D96">
        <w:trPr>
          <w:cantSplit/>
          <w:trHeight w:val="233"/>
        </w:trPr>
        <w:tc>
          <w:tcPr>
            <w:tcW w:w="918" w:type="dxa"/>
          </w:tcPr>
          <w:p w14:paraId="206658C6" w14:textId="573F6307" w:rsidR="00C26584" w:rsidRDefault="00C26584" w:rsidP="00BD7A41">
            <w:pPr>
              <w:rPr>
                <w:sz w:val="22"/>
                <w:szCs w:val="22"/>
                <w:lang w:val="en-US"/>
              </w:rPr>
            </w:pPr>
            <w:r>
              <w:rPr>
                <w:sz w:val="22"/>
                <w:szCs w:val="22"/>
                <w:lang w:val="en-US"/>
              </w:rPr>
              <w:t>21</w:t>
            </w:r>
          </w:p>
        </w:tc>
        <w:tc>
          <w:tcPr>
            <w:tcW w:w="1125" w:type="dxa"/>
          </w:tcPr>
          <w:p w14:paraId="116875D4" w14:textId="514C31A8" w:rsidR="00C26584" w:rsidRDefault="00C26584" w:rsidP="00BD7A41">
            <w:pPr>
              <w:rPr>
                <w:sz w:val="22"/>
                <w:szCs w:val="22"/>
                <w:lang w:val="en-US"/>
              </w:rPr>
            </w:pPr>
            <w:r>
              <w:rPr>
                <w:sz w:val="22"/>
                <w:szCs w:val="22"/>
                <w:lang w:val="en-US"/>
              </w:rPr>
              <w:t>16-26</w:t>
            </w:r>
          </w:p>
        </w:tc>
        <w:tc>
          <w:tcPr>
            <w:tcW w:w="8145" w:type="dxa"/>
            <w:gridSpan w:val="2"/>
          </w:tcPr>
          <w:p w14:paraId="35CB1A04" w14:textId="747A8497" w:rsidR="00C26584" w:rsidRDefault="00FA00DB" w:rsidP="00C26584">
            <w:pPr>
              <w:rPr>
                <w:sz w:val="22"/>
                <w:szCs w:val="22"/>
                <w:lang w:val="en-US"/>
              </w:rPr>
            </w:pPr>
            <w:r>
              <w:rPr>
                <w:sz w:val="22"/>
                <w:szCs w:val="22"/>
                <w:lang w:val="en-US"/>
              </w:rPr>
              <w:t xml:space="preserve">Other </w:t>
            </w:r>
            <w:r w:rsidR="00C26584">
              <w:rPr>
                <w:sz w:val="22"/>
                <w:szCs w:val="22"/>
                <w:lang w:val="en-US"/>
              </w:rPr>
              <w:t>methods such as haploid induction or</w:t>
            </w:r>
            <w:r w:rsidR="00C26584" w:rsidRPr="00C26584">
              <w:rPr>
                <w:sz w:val="22"/>
                <w:szCs w:val="22"/>
                <w:lang w:val="en-US"/>
              </w:rPr>
              <w:t xml:space="preserve"> revers</w:t>
            </w:r>
            <w:r w:rsidR="00C26584">
              <w:rPr>
                <w:sz w:val="22"/>
                <w:szCs w:val="22"/>
                <w:lang w:val="en-US"/>
              </w:rPr>
              <w:t>e</w:t>
            </w:r>
            <w:r w:rsidR="00C26584" w:rsidRPr="00C26584">
              <w:rPr>
                <w:sz w:val="22"/>
                <w:szCs w:val="22"/>
                <w:lang w:val="en-US"/>
              </w:rPr>
              <w:t xml:space="preserve"> breeding may as well rely on RNAi-techniques</w:t>
            </w:r>
            <w:r w:rsidR="00C26584">
              <w:rPr>
                <w:sz w:val="22"/>
                <w:szCs w:val="22"/>
                <w:lang w:val="en-US"/>
              </w:rPr>
              <w:t xml:space="preserve"> (l</w:t>
            </w:r>
            <w:r w:rsidR="00C26584" w:rsidRPr="00C26584">
              <w:rPr>
                <w:sz w:val="22"/>
                <w:szCs w:val="22"/>
                <w:lang w:val="en-US"/>
              </w:rPr>
              <w:t xml:space="preserve">isted in </w:t>
            </w:r>
            <w:proofErr w:type="spellStart"/>
            <w:r w:rsidR="00C26584" w:rsidRPr="00C26584">
              <w:rPr>
                <w:sz w:val="22"/>
                <w:szCs w:val="22"/>
                <w:lang w:val="en-US"/>
              </w:rPr>
              <w:t>Eckerstorfer</w:t>
            </w:r>
            <w:proofErr w:type="spellEnd"/>
            <w:r w:rsidR="00C26584" w:rsidRPr="00C26584">
              <w:rPr>
                <w:sz w:val="22"/>
                <w:szCs w:val="22"/>
                <w:lang w:val="en-US"/>
              </w:rPr>
              <w:t xml:space="preserve"> et al. 2019). </w:t>
            </w:r>
            <w:r w:rsidR="00C26584">
              <w:rPr>
                <w:sz w:val="22"/>
                <w:szCs w:val="22"/>
                <w:lang w:val="en-US"/>
              </w:rPr>
              <w:t xml:space="preserve">These could be considered to be amended </w:t>
            </w:r>
            <w:r>
              <w:rPr>
                <w:sz w:val="22"/>
                <w:szCs w:val="22"/>
                <w:lang w:val="en-US"/>
              </w:rPr>
              <w:t>in this context.</w:t>
            </w:r>
          </w:p>
          <w:p w14:paraId="6F7D0DF2" w14:textId="12FB0974" w:rsidR="00C26584" w:rsidRPr="00C26584" w:rsidRDefault="00C26584" w:rsidP="00C26584">
            <w:pPr>
              <w:pStyle w:val="CitaviLiteraturverzeichnis"/>
              <w:spacing w:after="0"/>
              <w:jc w:val="both"/>
            </w:pPr>
            <w:proofErr w:type="spellStart"/>
            <w:r w:rsidRPr="00C26584">
              <w:rPr>
                <w:sz w:val="20"/>
                <w:lang w:val="en-US"/>
              </w:rPr>
              <w:t>Eckerstorfer</w:t>
            </w:r>
            <w:proofErr w:type="spellEnd"/>
            <w:r w:rsidRPr="00C26584">
              <w:rPr>
                <w:sz w:val="20"/>
                <w:lang w:val="en-US"/>
              </w:rPr>
              <w:t xml:space="preserve">, Michael F.; </w:t>
            </w:r>
            <w:proofErr w:type="spellStart"/>
            <w:r w:rsidRPr="00C26584">
              <w:rPr>
                <w:sz w:val="20"/>
                <w:lang w:val="en-US"/>
              </w:rPr>
              <w:t>Heissenberger</w:t>
            </w:r>
            <w:proofErr w:type="spellEnd"/>
            <w:r w:rsidRPr="00C26584">
              <w:rPr>
                <w:sz w:val="20"/>
                <w:lang w:val="en-US"/>
              </w:rPr>
              <w:t xml:space="preserve">, Andreas; </w:t>
            </w:r>
            <w:proofErr w:type="spellStart"/>
            <w:r w:rsidRPr="00C26584">
              <w:rPr>
                <w:sz w:val="20"/>
                <w:lang w:val="en-US"/>
              </w:rPr>
              <w:t>Reichenbecher</w:t>
            </w:r>
            <w:proofErr w:type="spellEnd"/>
            <w:r w:rsidRPr="00C26584">
              <w:rPr>
                <w:sz w:val="20"/>
                <w:lang w:val="en-US"/>
              </w:rPr>
              <w:t xml:space="preserve">, Wolfram; </w:t>
            </w:r>
            <w:proofErr w:type="spellStart"/>
            <w:r w:rsidRPr="00C26584">
              <w:rPr>
                <w:sz w:val="20"/>
                <w:lang w:val="en-US"/>
              </w:rPr>
              <w:t>Steinbrecher</w:t>
            </w:r>
            <w:proofErr w:type="spellEnd"/>
            <w:r w:rsidRPr="00C26584">
              <w:rPr>
                <w:sz w:val="20"/>
                <w:lang w:val="en-US"/>
              </w:rPr>
              <w:t xml:space="preserve">, </w:t>
            </w:r>
            <w:proofErr w:type="spellStart"/>
            <w:r w:rsidRPr="00C26584">
              <w:rPr>
                <w:sz w:val="20"/>
                <w:lang w:val="en-US"/>
              </w:rPr>
              <w:t>Ricarda</w:t>
            </w:r>
            <w:proofErr w:type="spellEnd"/>
            <w:r w:rsidRPr="00C26584">
              <w:rPr>
                <w:sz w:val="20"/>
                <w:lang w:val="en-US"/>
              </w:rPr>
              <w:t xml:space="preserve"> A.; </w:t>
            </w:r>
            <w:proofErr w:type="spellStart"/>
            <w:r w:rsidRPr="00C26584">
              <w:rPr>
                <w:sz w:val="20"/>
                <w:lang w:val="en-US"/>
              </w:rPr>
              <w:t>Waßmann</w:t>
            </w:r>
            <w:proofErr w:type="spellEnd"/>
            <w:r w:rsidRPr="00C26584">
              <w:rPr>
                <w:sz w:val="20"/>
                <w:lang w:val="en-US"/>
              </w:rPr>
              <w:t>, Friedrich (2019): An EU Perspective on Biosafety Considerations for Plants Developed by Genome Editing and Other New Genetic Modification Techniques (</w:t>
            </w:r>
            <w:proofErr w:type="spellStart"/>
            <w:r w:rsidRPr="00C26584">
              <w:rPr>
                <w:sz w:val="20"/>
                <w:lang w:val="en-US"/>
              </w:rPr>
              <w:t>nGMs</w:t>
            </w:r>
            <w:proofErr w:type="spellEnd"/>
            <w:r w:rsidRPr="00C26584">
              <w:rPr>
                <w:sz w:val="20"/>
                <w:lang w:val="en-US"/>
              </w:rPr>
              <w:t xml:space="preserve">). </w:t>
            </w:r>
            <w:r w:rsidRPr="00C26584">
              <w:rPr>
                <w:sz w:val="20"/>
              </w:rPr>
              <w:t xml:space="preserve">In: </w:t>
            </w:r>
            <w:r w:rsidRPr="00C26584">
              <w:rPr>
                <w:i/>
                <w:iCs/>
                <w:sz w:val="20"/>
              </w:rPr>
              <w:t xml:space="preserve">Frontiers in </w:t>
            </w:r>
            <w:proofErr w:type="spellStart"/>
            <w:r w:rsidRPr="00C26584">
              <w:rPr>
                <w:i/>
                <w:iCs/>
                <w:sz w:val="20"/>
              </w:rPr>
              <w:t>bioengineering</w:t>
            </w:r>
            <w:proofErr w:type="spellEnd"/>
            <w:r w:rsidRPr="00C26584">
              <w:rPr>
                <w:i/>
                <w:iCs/>
                <w:sz w:val="20"/>
              </w:rPr>
              <w:t xml:space="preserve"> </w:t>
            </w:r>
            <w:proofErr w:type="spellStart"/>
            <w:r w:rsidRPr="00C26584">
              <w:rPr>
                <w:i/>
                <w:iCs/>
                <w:sz w:val="20"/>
              </w:rPr>
              <w:t>and</w:t>
            </w:r>
            <w:proofErr w:type="spellEnd"/>
            <w:r w:rsidRPr="00C26584">
              <w:rPr>
                <w:i/>
                <w:iCs/>
                <w:sz w:val="20"/>
              </w:rPr>
              <w:t xml:space="preserve"> </w:t>
            </w:r>
            <w:proofErr w:type="spellStart"/>
            <w:r w:rsidRPr="00C26584">
              <w:rPr>
                <w:i/>
                <w:iCs/>
                <w:sz w:val="20"/>
              </w:rPr>
              <w:t>biotechnology</w:t>
            </w:r>
            <w:proofErr w:type="spellEnd"/>
            <w:r w:rsidRPr="00C26584">
              <w:rPr>
                <w:i/>
                <w:iCs/>
                <w:sz w:val="20"/>
              </w:rPr>
              <w:t xml:space="preserve"> </w:t>
            </w:r>
            <w:r w:rsidRPr="00C26584">
              <w:rPr>
                <w:sz w:val="20"/>
              </w:rPr>
              <w:t>7, S. 319. DOI: 10.3389/fbioe.2019.00031.</w:t>
            </w:r>
          </w:p>
        </w:tc>
      </w:tr>
      <w:tr w:rsidR="00C137B7" w:rsidRPr="008C3B84" w14:paraId="4DE06765" w14:textId="77777777" w:rsidTr="00135D96">
        <w:trPr>
          <w:cantSplit/>
          <w:trHeight w:val="233"/>
        </w:trPr>
        <w:tc>
          <w:tcPr>
            <w:tcW w:w="918" w:type="dxa"/>
          </w:tcPr>
          <w:p w14:paraId="177E82F0" w14:textId="1FE8D6CF" w:rsidR="00C137B7" w:rsidRDefault="00C137B7" w:rsidP="00BD7A41">
            <w:pPr>
              <w:rPr>
                <w:sz w:val="22"/>
                <w:szCs w:val="22"/>
                <w:lang w:val="en-US"/>
              </w:rPr>
            </w:pPr>
          </w:p>
        </w:tc>
        <w:tc>
          <w:tcPr>
            <w:tcW w:w="1125" w:type="dxa"/>
          </w:tcPr>
          <w:p w14:paraId="6B71FDFD" w14:textId="38D35ECE" w:rsidR="00C137B7" w:rsidRDefault="00C137B7" w:rsidP="00BD7A41">
            <w:pPr>
              <w:rPr>
                <w:sz w:val="22"/>
                <w:szCs w:val="22"/>
                <w:lang w:val="en-US"/>
              </w:rPr>
            </w:pPr>
          </w:p>
        </w:tc>
        <w:tc>
          <w:tcPr>
            <w:tcW w:w="8145" w:type="dxa"/>
            <w:gridSpan w:val="2"/>
          </w:tcPr>
          <w:p w14:paraId="0F29B3B9" w14:textId="5E853F1F" w:rsidR="00C137B7" w:rsidRDefault="00C137B7" w:rsidP="00075373">
            <w:pPr>
              <w:rPr>
                <w:sz w:val="22"/>
                <w:szCs w:val="22"/>
                <w:lang w:val="en-US"/>
              </w:rPr>
            </w:pPr>
          </w:p>
        </w:tc>
      </w:tr>
      <w:tr w:rsidR="00BD7A41" w:rsidRPr="008C3B84" w14:paraId="7DA9A366" w14:textId="77777777" w:rsidTr="00135D96">
        <w:trPr>
          <w:cantSplit/>
          <w:trHeight w:val="233"/>
        </w:trPr>
        <w:tc>
          <w:tcPr>
            <w:tcW w:w="918" w:type="dxa"/>
          </w:tcPr>
          <w:p w14:paraId="0704BF74" w14:textId="4407149B" w:rsidR="00BD7A41" w:rsidRPr="008C3B84" w:rsidRDefault="00BD7A41" w:rsidP="00BD7A41">
            <w:pPr>
              <w:rPr>
                <w:sz w:val="22"/>
                <w:szCs w:val="22"/>
                <w:lang w:val="en-US"/>
              </w:rPr>
            </w:pPr>
            <w:r>
              <w:rPr>
                <w:sz w:val="22"/>
                <w:szCs w:val="22"/>
                <w:lang w:val="en-US"/>
              </w:rPr>
              <w:t>29</w:t>
            </w:r>
          </w:p>
        </w:tc>
        <w:tc>
          <w:tcPr>
            <w:tcW w:w="1125" w:type="dxa"/>
          </w:tcPr>
          <w:p w14:paraId="5C318341" w14:textId="5EAE45CA" w:rsidR="00BD7A41" w:rsidRPr="008C3B84" w:rsidRDefault="00BD7A41" w:rsidP="00BD7A41">
            <w:pPr>
              <w:rPr>
                <w:sz w:val="22"/>
                <w:szCs w:val="22"/>
                <w:lang w:val="en-US"/>
              </w:rPr>
            </w:pPr>
            <w:r>
              <w:rPr>
                <w:sz w:val="22"/>
                <w:szCs w:val="22"/>
                <w:lang w:val="en-US"/>
              </w:rPr>
              <w:t>17-25</w:t>
            </w:r>
          </w:p>
        </w:tc>
        <w:tc>
          <w:tcPr>
            <w:tcW w:w="8145" w:type="dxa"/>
            <w:gridSpan w:val="2"/>
          </w:tcPr>
          <w:p w14:paraId="71145966" w14:textId="77777777" w:rsidR="000C6332" w:rsidRPr="000C6332" w:rsidRDefault="000C6332" w:rsidP="000C6332">
            <w:pPr>
              <w:rPr>
                <w:sz w:val="22"/>
                <w:szCs w:val="22"/>
                <w:lang w:val="en-US"/>
              </w:rPr>
            </w:pPr>
            <w:r w:rsidRPr="000C6332">
              <w:rPr>
                <w:sz w:val="22"/>
                <w:szCs w:val="22"/>
                <w:lang w:val="en-US"/>
              </w:rPr>
              <w:t>While it is certainly true that some applications of gene drives are intended for use in “</w:t>
            </w:r>
            <w:proofErr w:type="spellStart"/>
            <w:r w:rsidRPr="000C6332">
              <w:rPr>
                <w:sz w:val="22"/>
                <w:szCs w:val="22"/>
                <w:lang w:val="en-US"/>
              </w:rPr>
              <w:t>unmanged</w:t>
            </w:r>
            <w:proofErr w:type="spellEnd"/>
            <w:r w:rsidRPr="000C6332">
              <w:rPr>
                <w:sz w:val="22"/>
                <w:szCs w:val="22"/>
                <w:lang w:val="en-US"/>
              </w:rPr>
              <w:t xml:space="preserve">/wild settings” (see e.g. Simon et al 2018) the use of different environmental settings as categories are not unambiguously assignable for some applications, as those would affect multiple categories. </w:t>
            </w:r>
          </w:p>
          <w:p w14:paraId="21CB9B57" w14:textId="77777777" w:rsidR="000C6332" w:rsidRDefault="000C6332" w:rsidP="00BD7A41">
            <w:pPr>
              <w:rPr>
                <w:sz w:val="18"/>
                <w:lang w:val="en-US"/>
              </w:rPr>
            </w:pPr>
          </w:p>
          <w:p w14:paraId="728544B4" w14:textId="58365186" w:rsidR="00BD7A41" w:rsidRPr="008C3B84" w:rsidRDefault="000C6332" w:rsidP="000C6332">
            <w:pPr>
              <w:rPr>
                <w:sz w:val="22"/>
                <w:szCs w:val="22"/>
                <w:lang w:val="en-US"/>
              </w:rPr>
            </w:pPr>
            <w:r w:rsidRPr="000C6332">
              <w:rPr>
                <w:sz w:val="18"/>
                <w:lang w:val="en-US"/>
              </w:rPr>
              <w:t>Simon, Samson; Otto, Mathias; Engelhard, Margret (2018): Synthetic gene drive: between continuity and novelty. Crucial differences between gene drive and genetically modified organisms require an adapted risk assessment for their use. In: EMBO reports (5). DOI: 10.15252/embr.201845760.</w:t>
            </w:r>
          </w:p>
        </w:tc>
      </w:tr>
      <w:tr w:rsidR="00BD7A41" w:rsidRPr="008C3B84" w14:paraId="27D65F93" w14:textId="77777777" w:rsidTr="00135D96">
        <w:trPr>
          <w:cantSplit/>
          <w:trHeight w:val="233"/>
        </w:trPr>
        <w:tc>
          <w:tcPr>
            <w:tcW w:w="918" w:type="dxa"/>
          </w:tcPr>
          <w:p w14:paraId="6FEE838D" w14:textId="496572B7" w:rsidR="00BD7A41" w:rsidRPr="008C3B84" w:rsidRDefault="00BD7A41" w:rsidP="00BD7A41">
            <w:pPr>
              <w:rPr>
                <w:sz w:val="22"/>
                <w:szCs w:val="22"/>
                <w:lang w:val="en-US"/>
              </w:rPr>
            </w:pPr>
            <w:r>
              <w:rPr>
                <w:sz w:val="22"/>
                <w:szCs w:val="22"/>
                <w:lang w:val="en-US"/>
              </w:rPr>
              <w:t>30</w:t>
            </w:r>
          </w:p>
        </w:tc>
        <w:tc>
          <w:tcPr>
            <w:tcW w:w="1125" w:type="dxa"/>
          </w:tcPr>
          <w:p w14:paraId="2C39B009" w14:textId="53EEA395" w:rsidR="00BD7A41" w:rsidRPr="008C3B84" w:rsidRDefault="00BD7A41" w:rsidP="00BD7A41">
            <w:pPr>
              <w:rPr>
                <w:sz w:val="22"/>
                <w:szCs w:val="22"/>
                <w:lang w:val="en-US"/>
              </w:rPr>
            </w:pPr>
            <w:r>
              <w:rPr>
                <w:sz w:val="22"/>
                <w:szCs w:val="22"/>
                <w:lang w:val="en-US"/>
              </w:rPr>
              <w:t>39</w:t>
            </w:r>
          </w:p>
        </w:tc>
        <w:tc>
          <w:tcPr>
            <w:tcW w:w="8145" w:type="dxa"/>
            <w:gridSpan w:val="2"/>
          </w:tcPr>
          <w:p w14:paraId="3C230DD4" w14:textId="0F685236" w:rsidR="00BD7A41" w:rsidRPr="008C3B84" w:rsidRDefault="00BD7A41" w:rsidP="00BD7A41">
            <w:pPr>
              <w:rPr>
                <w:sz w:val="22"/>
                <w:szCs w:val="22"/>
                <w:lang w:val="en-US"/>
              </w:rPr>
            </w:pPr>
            <w:r>
              <w:rPr>
                <w:sz w:val="22"/>
                <w:szCs w:val="22"/>
                <w:lang w:val="en-US"/>
              </w:rPr>
              <w:t>“heritance” should probably read “inheritance”</w:t>
            </w:r>
          </w:p>
        </w:tc>
      </w:tr>
      <w:tr w:rsidR="00BD7A41" w:rsidRPr="00AD22DE" w14:paraId="0A9E6CE5" w14:textId="77777777" w:rsidTr="00135D96">
        <w:trPr>
          <w:cantSplit/>
          <w:trHeight w:val="233"/>
        </w:trPr>
        <w:tc>
          <w:tcPr>
            <w:tcW w:w="918" w:type="dxa"/>
          </w:tcPr>
          <w:p w14:paraId="675AF138" w14:textId="7AC4314E" w:rsidR="00BD7A41" w:rsidRDefault="00BD7A41" w:rsidP="00BD7A41">
            <w:pPr>
              <w:rPr>
                <w:sz w:val="22"/>
                <w:szCs w:val="22"/>
              </w:rPr>
            </w:pPr>
            <w:r>
              <w:rPr>
                <w:sz w:val="22"/>
                <w:szCs w:val="22"/>
              </w:rPr>
              <w:t>30</w:t>
            </w:r>
          </w:p>
        </w:tc>
        <w:tc>
          <w:tcPr>
            <w:tcW w:w="1125" w:type="dxa"/>
          </w:tcPr>
          <w:p w14:paraId="26E4F0CC" w14:textId="12F131B4" w:rsidR="00BD7A41" w:rsidRDefault="00AF1889" w:rsidP="00BD7A41">
            <w:pPr>
              <w:rPr>
                <w:sz w:val="22"/>
                <w:szCs w:val="22"/>
              </w:rPr>
            </w:pPr>
            <w:r>
              <w:rPr>
                <w:sz w:val="22"/>
                <w:szCs w:val="22"/>
              </w:rPr>
              <w:t>27/4</w:t>
            </w:r>
            <w:r w:rsidR="00BD7A41">
              <w:rPr>
                <w:sz w:val="22"/>
                <w:szCs w:val="22"/>
              </w:rPr>
              <w:t>1</w:t>
            </w:r>
          </w:p>
        </w:tc>
        <w:tc>
          <w:tcPr>
            <w:tcW w:w="8145" w:type="dxa"/>
            <w:gridSpan w:val="2"/>
          </w:tcPr>
          <w:p w14:paraId="37F69AD3" w14:textId="03F4FE9F" w:rsidR="00BD7A41" w:rsidRDefault="00BD7A41" w:rsidP="00BD7A41">
            <w:pPr>
              <w:rPr>
                <w:sz w:val="22"/>
                <w:szCs w:val="22"/>
              </w:rPr>
            </w:pPr>
            <w:r>
              <w:rPr>
                <w:sz w:val="22"/>
                <w:szCs w:val="22"/>
              </w:rPr>
              <w:t xml:space="preserve">Those two headlines consider overlapping issues, as “conservation purposes” and “improving resilience of wild animal and plant populations” can subsume identical lines of research. </w:t>
            </w:r>
          </w:p>
        </w:tc>
      </w:tr>
      <w:tr w:rsidR="00AF1889" w:rsidRPr="00AD22DE" w14:paraId="68727C33" w14:textId="77777777" w:rsidTr="00135D96">
        <w:trPr>
          <w:cantSplit/>
          <w:trHeight w:val="233"/>
        </w:trPr>
        <w:tc>
          <w:tcPr>
            <w:tcW w:w="918" w:type="dxa"/>
          </w:tcPr>
          <w:p w14:paraId="25869592" w14:textId="0B13A99D" w:rsidR="00AF1889" w:rsidRDefault="00AF1889" w:rsidP="00BD7A41">
            <w:pPr>
              <w:rPr>
                <w:sz w:val="22"/>
                <w:szCs w:val="22"/>
              </w:rPr>
            </w:pPr>
            <w:r>
              <w:rPr>
                <w:sz w:val="22"/>
                <w:szCs w:val="22"/>
              </w:rPr>
              <w:t>30</w:t>
            </w:r>
          </w:p>
        </w:tc>
        <w:tc>
          <w:tcPr>
            <w:tcW w:w="1125" w:type="dxa"/>
          </w:tcPr>
          <w:p w14:paraId="3724B66A" w14:textId="6B5CE8D0" w:rsidR="00AF1889" w:rsidRDefault="00AF1889" w:rsidP="00BD7A41">
            <w:pPr>
              <w:rPr>
                <w:sz w:val="22"/>
                <w:szCs w:val="22"/>
              </w:rPr>
            </w:pPr>
            <w:r>
              <w:rPr>
                <w:sz w:val="22"/>
                <w:szCs w:val="22"/>
              </w:rPr>
              <w:t>27/41 f.</w:t>
            </w:r>
          </w:p>
        </w:tc>
        <w:tc>
          <w:tcPr>
            <w:tcW w:w="8145" w:type="dxa"/>
            <w:gridSpan w:val="2"/>
          </w:tcPr>
          <w:p w14:paraId="3CF62D43" w14:textId="00360BEB" w:rsidR="00AF1889" w:rsidRDefault="00AF1889" w:rsidP="00BD7A41">
            <w:pPr>
              <w:rPr>
                <w:sz w:val="22"/>
                <w:szCs w:val="22"/>
              </w:rPr>
            </w:pPr>
            <w:r>
              <w:rPr>
                <w:sz w:val="22"/>
                <w:szCs w:val="22"/>
              </w:rPr>
              <w:t xml:space="preserve">Use of (transmissible) viruses and engineered derivatives has </w:t>
            </w:r>
            <w:r w:rsidR="00255C54">
              <w:rPr>
                <w:sz w:val="22"/>
                <w:szCs w:val="22"/>
              </w:rPr>
              <w:t xml:space="preserve">been discussed for biocontrol of </w:t>
            </w:r>
            <w:proofErr w:type="spellStart"/>
            <w:r w:rsidR="00255C54">
              <w:rPr>
                <w:sz w:val="22"/>
                <w:szCs w:val="22"/>
              </w:rPr>
              <w:t>zoonoses</w:t>
            </w:r>
            <w:proofErr w:type="spellEnd"/>
            <w:r w:rsidR="00255C54">
              <w:rPr>
                <w:sz w:val="22"/>
                <w:szCs w:val="22"/>
              </w:rPr>
              <w:t xml:space="preserve"> and</w:t>
            </w:r>
            <w:r>
              <w:rPr>
                <w:sz w:val="22"/>
                <w:szCs w:val="22"/>
              </w:rPr>
              <w:t xml:space="preserve"> vaccination purposes in wild populations</w:t>
            </w:r>
            <w:r w:rsidR="00255C54">
              <w:rPr>
                <w:sz w:val="22"/>
                <w:szCs w:val="22"/>
              </w:rPr>
              <w:t xml:space="preserve"> </w:t>
            </w:r>
            <w:r w:rsidR="00255C54" w:rsidRPr="00255C54">
              <w:rPr>
                <w:sz w:val="22"/>
                <w:szCs w:val="22"/>
              </w:rPr>
              <w:t>(</w:t>
            </w:r>
            <w:r w:rsidR="00255C54">
              <w:rPr>
                <w:sz w:val="22"/>
                <w:szCs w:val="22"/>
              </w:rPr>
              <w:t>Murphy et al. 2016, Bull et al. 2018)</w:t>
            </w:r>
            <w:r>
              <w:rPr>
                <w:sz w:val="22"/>
                <w:szCs w:val="22"/>
              </w:rPr>
              <w:t xml:space="preserve">. Please consider </w:t>
            </w:r>
            <w:proofErr w:type="gramStart"/>
            <w:r w:rsidR="00255C54">
              <w:rPr>
                <w:sz w:val="22"/>
                <w:szCs w:val="22"/>
              </w:rPr>
              <w:t xml:space="preserve">to </w:t>
            </w:r>
            <w:r>
              <w:rPr>
                <w:sz w:val="22"/>
                <w:szCs w:val="22"/>
              </w:rPr>
              <w:t>check</w:t>
            </w:r>
            <w:proofErr w:type="gramEnd"/>
            <w:r>
              <w:rPr>
                <w:sz w:val="22"/>
                <w:szCs w:val="22"/>
              </w:rPr>
              <w:t xml:space="preserve"> the status of research </w:t>
            </w:r>
            <w:r w:rsidR="00255C54">
              <w:rPr>
                <w:sz w:val="22"/>
                <w:szCs w:val="22"/>
              </w:rPr>
              <w:t>of engineered viruses and eventually</w:t>
            </w:r>
            <w:r>
              <w:rPr>
                <w:sz w:val="22"/>
                <w:szCs w:val="22"/>
              </w:rPr>
              <w:t xml:space="preserve"> amend the respective chapters.</w:t>
            </w:r>
          </w:p>
          <w:p w14:paraId="2C221B2B" w14:textId="2E08036F" w:rsidR="00255C54" w:rsidRPr="00255C54" w:rsidRDefault="00255C54" w:rsidP="00BD7A41">
            <w:pPr>
              <w:rPr>
                <w:sz w:val="18"/>
                <w:szCs w:val="22"/>
              </w:rPr>
            </w:pPr>
            <w:r w:rsidRPr="00255C54">
              <w:rPr>
                <w:sz w:val="18"/>
                <w:szCs w:val="22"/>
              </w:rPr>
              <w:t xml:space="preserve">Bull, James J.; Smithson, Mark W.; </w:t>
            </w:r>
            <w:proofErr w:type="spellStart"/>
            <w:r w:rsidRPr="00255C54">
              <w:rPr>
                <w:sz w:val="18"/>
                <w:szCs w:val="22"/>
              </w:rPr>
              <w:t>Nuismer</w:t>
            </w:r>
            <w:proofErr w:type="spellEnd"/>
            <w:r w:rsidRPr="00255C54">
              <w:rPr>
                <w:sz w:val="18"/>
                <w:szCs w:val="22"/>
              </w:rPr>
              <w:t>, Scott L. (2018): Transmissible Viral Vaccines. In: Trends in microbiology 26 (1), S. 6–15. DOI: 10.1016/j.tim.2017.09.007.</w:t>
            </w:r>
          </w:p>
          <w:p w14:paraId="0EF5A74B" w14:textId="011FAE02" w:rsidR="00255C54" w:rsidRPr="00255C54" w:rsidRDefault="00255C54" w:rsidP="00BD7A41">
            <w:pPr>
              <w:rPr>
                <w:sz w:val="16"/>
                <w:szCs w:val="22"/>
              </w:rPr>
            </w:pPr>
            <w:bookmarkStart w:id="0" w:name="_CTVL001fa51552553d6402eb7b2bf6707105af9"/>
            <w:r w:rsidRPr="00255C54">
              <w:rPr>
                <w:sz w:val="18"/>
                <w:lang w:val="en-US"/>
              </w:rPr>
              <w:t xml:space="preserve">Murphy, Aisling A.; Redwood, Alec J.; Jarvis, Michael A. (2016): Self-disseminating vaccines for emerging infectious diseases. In: </w:t>
            </w:r>
            <w:bookmarkEnd w:id="0"/>
            <w:r w:rsidRPr="00255C54">
              <w:rPr>
                <w:i/>
                <w:sz w:val="18"/>
                <w:lang w:val="en-US"/>
              </w:rPr>
              <w:t xml:space="preserve">Expert review of vaccines </w:t>
            </w:r>
            <w:r w:rsidRPr="00255C54">
              <w:rPr>
                <w:sz w:val="18"/>
                <w:lang w:val="en-US"/>
              </w:rPr>
              <w:t>15 (1), S. 31–39. DOI: 10.1586/14760584.2016.1106942</w:t>
            </w:r>
          </w:p>
          <w:p w14:paraId="1676D913" w14:textId="13C29DEE" w:rsidR="00AF1889" w:rsidRDefault="00AF1889" w:rsidP="00BD7A41">
            <w:pPr>
              <w:rPr>
                <w:sz w:val="22"/>
                <w:szCs w:val="22"/>
              </w:rPr>
            </w:pPr>
          </w:p>
        </w:tc>
      </w:tr>
      <w:tr w:rsidR="00BD7A41" w:rsidRPr="00AD22DE" w14:paraId="7F41CC7E" w14:textId="77777777" w:rsidTr="00135D96">
        <w:trPr>
          <w:cantSplit/>
          <w:trHeight w:val="233"/>
        </w:trPr>
        <w:tc>
          <w:tcPr>
            <w:tcW w:w="918" w:type="dxa"/>
          </w:tcPr>
          <w:p w14:paraId="661D50E8" w14:textId="732091B6" w:rsidR="00BD7A41" w:rsidRPr="00F86F63" w:rsidRDefault="00BD7A41" w:rsidP="00BD7A41">
            <w:pPr>
              <w:rPr>
                <w:sz w:val="22"/>
                <w:szCs w:val="22"/>
              </w:rPr>
            </w:pPr>
            <w:r>
              <w:rPr>
                <w:sz w:val="22"/>
                <w:szCs w:val="22"/>
              </w:rPr>
              <w:t>31</w:t>
            </w:r>
          </w:p>
        </w:tc>
        <w:tc>
          <w:tcPr>
            <w:tcW w:w="1125" w:type="dxa"/>
          </w:tcPr>
          <w:p w14:paraId="0DB5D191" w14:textId="1EC70CB1" w:rsidR="00BD7A41" w:rsidRPr="00F86F63" w:rsidRDefault="00BD7A41" w:rsidP="00BD7A41">
            <w:pPr>
              <w:rPr>
                <w:sz w:val="22"/>
                <w:szCs w:val="22"/>
              </w:rPr>
            </w:pPr>
            <w:r>
              <w:rPr>
                <w:sz w:val="22"/>
                <w:szCs w:val="22"/>
              </w:rPr>
              <w:t>28</w:t>
            </w:r>
          </w:p>
        </w:tc>
        <w:tc>
          <w:tcPr>
            <w:tcW w:w="8145" w:type="dxa"/>
            <w:gridSpan w:val="2"/>
          </w:tcPr>
          <w:p w14:paraId="13354FC4" w14:textId="13B98E64" w:rsidR="00BD7A41" w:rsidRPr="00F86F63" w:rsidRDefault="00BD7A41" w:rsidP="00BD7A41">
            <w:pPr>
              <w:rPr>
                <w:sz w:val="22"/>
                <w:szCs w:val="22"/>
              </w:rPr>
            </w:pPr>
            <w:r>
              <w:rPr>
                <w:sz w:val="22"/>
                <w:szCs w:val="22"/>
              </w:rPr>
              <w:t>Consider replacing “developed” by “genetically modified”</w:t>
            </w:r>
          </w:p>
        </w:tc>
      </w:tr>
      <w:tr w:rsidR="00665311" w:rsidRPr="00AD22DE" w14:paraId="115FB191" w14:textId="77777777" w:rsidTr="00135D96">
        <w:trPr>
          <w:cantSplit/>
          <w:trHeight w:val="233"/>
        </w:trPr>
        <w:tc>
          <w:tcPr>
            <w:tcW w:w="918" w:type="dxa"/>
          </w:tcPr>
          <w:p w14:paraId="28EE2693" w14:textId="1F2BCFAF" w:rsidR="00665311" w:rsidRDefault="00665311" w:rsidP="00BD7A41">
            <w:pPr>
              <w:rPr>
                <w:sz w:val="22"/>
                <w:szCs w:val="22"/>
              </w:rPr>
            </w:pPr>
            <w:r>
              <w:rPr>
                <w:sz w:val="22"/>
                <w:szCs w:val="22"/>
              </w:rPr>
              <w:lastRenderedPageBreak/>
              <w:t>31</w:t>
            </w:r>
          </w:p>
        </w:tc>
        <w:tc>
          <w:tcPr>
            <w:tcW w:w="1125" w:type="dxa"/>
          </w:tcPr>
          <w:p w14:paraId="534AA653" w14:textId="49F7E837" w:rsidR="00665311" w:rsidRDefault="00665311" w:rsidP="00BD7A41">
            <w:pPr>
              <w:rPr>
                <w:sz w:val="22"/>
                <w:szCs w:val="22"/>
              </w:rPr>
            </w:pPr>
            <w:r>
              <w:rPr>
                <w:sz w:val="22"/>
                <w:szCs w:val="22"/>
              </w:rPr>
              <w:t>33</w:t>
            </w:r>
            <w:r w:rsidR="00003264">
              <w:rPr>
                <w:sz w:val="22"/>
                <w:szCs w:val="22"/>
              </w:rPr>
              <w:t xml:space="preserve"> f.</w:t>
            </w:r>
          </w:p>
        </w:tc>
        <w:tc>
          <w:tcPr>
            <w:tcW w:w="8145" w:type="dxa"/>
            <w:gridSpan w:val="2"/>
          </w:tcPr>
          <w:p w14:paraId="1B849FEC" w14:textId="4CFEDB04" w:rsidR="00003264" w:rsidRDefault="00003264" w:rsidP="00003264">
            <w:pPr>
              <w:rPr>
                <w:sz w:val="22"/>
                <w:szCs w:val="22"/>
              </w:rPr>
            </w:pPr>
            <w:r w:rsidRPr="00716FA1">
              <w:rPr>
                <w:sz w:val="22"/>
                <w:szCs w:val="22"/>
              </w:rPr>
              <w:t>General comment on section 3.2.2</w:t>
            </w:r>
          </w:p>
          <w:p w14:paraId="71DB9E95" w14:textId="5F1A97F8" w:rsidR="00665311" w:rsidRDefault="00665311" w:rsidP="00DB16D3">
            <w:pPr>
              <w:rPr>
                <w:sz w:val="22"/>
                <w:szCs w:val="22"/>
              </w:rPr>
            </w:pPr>
            <w:r>
              <w:rPr>
                <w:sz w:val="22"/>
                <w:szCs w:val="22"/>
              </w:rPr>
              <w:t xml:space="preserve">The term “advanced development” should be precisely defined, not only for plants, but for all kinds of applications in this section. </w:t>
            </w:r>
            <w:r w:rsidR="00003264">
              <w:rPr>
                <w:sz w:val="22"/>
                <w:szCs w:val="22"/>
              </w:rPr>
              <w:t>For plants, i</w:t>
            </w:r>
            <w:r>
              <w:rPr>
                <w:sz w:val="22"/>
                <w:szCs w:val="22"/>
              </w:rPr>
              <w:t>t should further be s</w:t>
            </w:r>
            <w:r w:rsidR="00003264">
              <w:rPr>
                <w:sz w:val="22"/>
                <w:szCs w:val="22"/>
              </w:rPr>
              <w:t>pecified if applications in these</w:t>
            </w:r>
            <w:r>
              <w:rPr>
                <w:sz w:val="22"/>
                <w:szCs w:val="22"/>
              </w:rPr>
              <w:t xml:space="preserve"> sections </w:t>
            </w:r>
            <w:r w:rsidR="00003264">
              <w:rPr>
                <w:sz w:val="22"/>
                <w:szCs w:val="22"/>
              </w:rPr>
              <w:t xml:space="preserve">stand for </w:t>
            </w:r>
            <w:r>
              <w:rPr>
                <w:sz w:val="22"/>
                <w:szCs w:val="22"/>
              </w:rPr>
              <w:t>developmental</w:t>
            </w:r>
            <w:r w:rsidR="00003264">
              <w:rPr>
                <w:sz w:val="22"/>
                <w:szCs w:val="22"/>
              </w:rPr>
              <w:t>/market</w:t>
            </w:r>
            <w:r>
              <w:rPr>
                <w:sz w:val="22"/>
                <w:szCs w:val="22"/>
              </w:rPr>
              <w:t xml:space="preserve"> trends or</w:t>
            </w:r>
            <w:r w:rsidR="00003264">
              <w:rPr>
                <w:sz w:val="22"/>
                <w:szCs w:val="22"/>
              </w:rPr>
              <w:t xml:space="preserve"> for</w:t>
            </w:r>
            <w:r>
              <w:rPr>
                <w:sz w:val="22"/>
                <w:szCs w:val="22"/>
              </w:rPr>
              <w:t xml:space="preserve"> examples for</w:t>
            </w:r>
            <w:r w:rsidR="00003264">
              <w:rPr>
                <w:sz w:val="22"/>
                <w:szCs w:val="22"/>
              </w:rPr>
              <w:t xml:space="preserve"> new traits. </w:t>
            </w:r>
            <w:r>
              <w:rPr>
                <w:sz w:val="22"/>
                <w:szCs w:val="22"/>
              </w:rPr>
              <w:t>Currently,</w:t>
            </w:r>
            <w:r w:rsidR="00003264">
              <w:rPr>
                <w:sz w:val="22"/>
                <w:szCs w:val="22"/>
              </w:rPr>
              <w:t xml:space="preserve"> without further explanation</w:t>
            </w:r>
            <w:r>
              <w:rPr>
                <w:sz w:val="22"/>
                <w:szCs w:val="22"/>
              </w:rPr>
              <w:t xml:space="preserve"> the choice of examples such as for genome edited or classical genetically engineered plants</w:t>
            </w:r>
            <w:r w:rsidR="00003264">
              <w:rPr>
                <w:sz w:val="22"/>
                <w:szCs w:val="22"/>
              </w:rPr>
              <w:t xml:space="preserve"> appears arbitrary to a certain extent. Especially, in the context that a major part of plants likely to reach the market in the near future </w:t>
            </w:r>
            <w:r w:rsidR="00CC58DB">
              <w:rPr>
                <w:sz w:val="22"/>
                <w:szCs w:val="22"/>
              </w:rPr>
              <w:t>harbour</w:t>
            </w:r>
            <w:r w:rsidR="00003264">
              <w:rPr>
                <w:sz w:val="22"/>
                <w:szCs w:val="22"/>
              </w:rPr>
              <w:t xml:space="preserve"> traits conferring </w:t>
            </w:r>
            <w:r w:rsidR="00CC58DB">
              <w:rPr>
                <w:sz w:val="22"/>
                <w:szCs w:val="22"/>
              </w:rPr>
              <w:t>insect or herbicide resistance – such as the already marketed canola (</w:t>
            </w:r>
            <w:proofErr w:type="spellStart"/>
            <w:r w:rsidR="00CC58DB">
              <w:rPr>
                <w:sz w:val="22"/>
                <w:szCs w:val="22"/>
              </w:rPr>
              <w:t>Cibus</w:t>
            </w:r>
            <w:proofErr w:type="spellEnd"/>
            <w:r w:rsidR="00CC58DB">
              <w:rPr>
                <w:sz w:val="22"/>
                <w:szCs w:val="22"/>
              </w:rPr>
              <w:t>).</w:t>
            </w:r>
          </w:p>
        </w:tc>
      </w:tr>
      <w:tr w:rsidR="00BD7A41" w:rsidRPr="00AD22DE" w14:paraId="21C2AC39" w14:textId="77777777" w:rsidTr="00135D96">
        <w:trPr>
          <w:cantSplit/>
          <w:trHeight w:val="233"/>
        </w:trPr>
        <w:tc>
          <w:tcPr>
            <w:tcW w:w="918" w:type="dxa"/>
          </w:tcPr>
          <w:p w14:paraId="1A4F0A1E" w14:textId="7830DBFD" w:rsidR="00BD7A41" w:rsidRPr="00F86F63" w:rsidRDefault="00BD7A41" w:rsidP="00BD7A41">
            <w:pPr>
              <w:rPr>
                <w:sz w:val="22"/>
                <w:szCs w:val="22"/>
              </w:rPr>
            </w:pPr>
            <w:r>
              <w:rPr>
                <w:sz w:val="22"/>
                <w:szCs w:val="22"/>
              </w:rPr>
              <w:t>31</w:t>
            </w:r>
          </w:p>
        </w:tc>
        <w:tc>
          <w:tcPr>
            <w:tcW w:w="1125" w:type="dxa"/>
          </w:tcPr>
          <w:p w14:paraId="6543DC9D" w14:textId="5D08AA4F" w:rsidR="00BD7A41" w:rsidRPr="00F86F63" w:rsidRDefault="00BD7A41" w:rsidP="00BD7A41">
            <w:pPr>
              <w:rPr>
                <w:sz w:val="22"/>
                <w:szCs w:val="22"/>
              </w:rPr>
            </w:pPr>
            <w:r>
              <w:rPr>
                <w:sz w:val="22"/>
                <w:szCs w:val="22"/>
              </w:rPr>
              <w:t>36</w:t>
            </w:r>
          </w:p>
        </w:tc>
        <w:tc>
          <w:tcPr>
            <w:tcW w:w="8145" w:type="dxa"/>
            <w:gridSpan w:val="2"/>
          </w:tcPr>
          <w:p w14:paraId="77736A51" w14:textId="0602EF73" w:rsidR="00BD7A41" w:rsidRPr="00F86F63" w:rsidRDefault="00BD7A41" w:rsidP="00BD7A41">
            <w:pPr>
              <w:rPr>
                <w:sz w:val="22"/>
                <w:szCs w:val="22"/>
              </w:rPr>
            </w:pPr>
            <w:r>
              <w:rPr>
                <w:sz w:val="22"/>
                <w:szCs w:val="22"/>
              </w:rPr>
              <w:t>Yield increase can be challenging to determine robustly under relevant conditions. Please consider rephrasing “improve” by “aim to improve”</w:t>
            </w:r>
          </w:p>
        </w:tc>
      </w:tr>
      <w:tr w:rsidR="00247E96" w:rsidRPr="00AD22DE" w14:paraId="188559F6" w14:textId="77777777" w:rsidTr="00135D96">
        <w:trPr>
          <w:cantSplit/>
          <w:trHeight w:val="233"/>
        </w:trPr>
        <w:tc>
          <w:tcPr>
            <w:tcW w:w="918" w:type="dxa"/>
          </w:tcPr>
          <w:p w14:paraId="37CF677D" w14:textId="3000464B" w:rsidR="00247E96" w:rsidRDefault="00247E96" w:rsidP="00BD7A41">
            <w:pPr>
              <w:rPr>
                <w:sz w:val="22"/>
                <w:szCs w:val="22"/>
              </w:rPr>
            </w:pPr>
            <w:r>
              <w:rPr>
                <w:sz w:val="22"/>
                <w:szCs w:val="22"/>
              </w:rPr>
              <w:t>31</w:t>
            </w:r>
          </w:p>
        </w:tc>
        <w:tc>
          <w:tcPr>
            <w:tcW w:w="1125" w:type="dxa"/>
          </w:tcPr>
          <w:p w14:paraId="2AC1EB1F" w14:textId="15957D85" w:rsidR="00247E96" w:rsidRDefault="00247E96" w:rsidP="00BD7A41">
            <w:pPr>
              <w:rPr>
                <w:sz w:val="22"/>
                <w:szCs w:val="22"/>
              </w:rPr>
            </w:pPr>
            <w:r>
              <w:rPr>
                <w:sz w:val="22"/>
                <w:szCs w:val="22"/>
              </w:rPr>
              <w:t>38</w:t>
            </w:r>
          </w:p>
        </w:tc>
        <w:tc>
          <w:tcPr>
            <w:tcW w:w="8145" w:type="dxa"/>
            <w:gridSpan w:val="2"/>
          </w:tcPr>
          <w:p w14:paraId="6C65CD64" w14:textId="1EE470F8" w:rsidR="00247E96" w:rsidRDefault="00247E96" w:rsidP="00153872">
            <w:pPr>
              <w:rPr>
                <w:sz w:val="22"/>
                <w:szCs w:val="22"/>
              </w:rPr>
            </w:pPr>
            <w:r>
              <w:rPr>
                <w:sz w:val="22"/>
                <w:szCs w:val="22"/>
              </w:rPr>
              <w:t xml:space="preserve">Please consider to define the meaning of “advanced development” for (genome edited) </w:t>
            </w:r>
            <w:r w:rsidR="00665311">
              <w:rPr>
                <w:sz w:val="22"/>
                <w:szCs w:val="22"/>
              </w:rPr>
              <w:t xml:space="preserve">farm </w:t>
            </w:r>
            <w:r>
              <w:rPr>
                <w:sz w:val="22"/>
                <w:szCs w:val="22"/>
              </w:rPr>
              <w:t>animals to clarify the developmental status.</w:t>
            </w:r>
          </w:p>
        </w:tc>
      </w:tr>
      <w:tr w:rsidR="00075373" w:rsidRPr="00AD22DE" w14:paraId="6A75E9DE" w14:textId="77777777" w:rsidTr="00135D96">
        <w:trPr>
          <w:cantSplit/>
          <w:trHeight w:val="233"/>
        </w:trPr>
        <w:tc>
          <w:tcPr>
            <w:tcW w:w="918" w:type="dxa"/>
          </w:tcPr>
          <w:p w14:paraId="033074C6" w14:textId="4B180D11" w:rsidR="00075373" w:rsidRDefault="00075373" w:rsidP="00075373">
            <w:pPr>
              <w:rPr>
                <w:sz w:val="22"/>
                <w:szCs w:val="22"/>
              </w:rPr>
            </w:pPr>
            <w:r>
              <w:rPr>
                <w:sz w:val="22"/>
                <w:szCs w:val="22"/>
                <w:lang w:val="en-US"/>
              </w:rPr>
              <w:t>33</w:t>
            </w:r>
          </w:p>
        </w:tc>
        <w:tc>
          <w:tcPr>
            <w:tcW w:w="1125" w:type="dxa"/>
          </w:tcPr>
          <w:p w14:paraId="74FC9024" w14:textId="74BA33EB" w:rsidR="00075373" w:rsidRDefault="00075373" w:rsidP="00075373">
            <w:pPr>
              <w:rPr>
                <w:sz w:val="22"/>
                <w:szCs w:val="22"/>
              </w:rPr>
            </w:pPr>
            <w:r>
              <w:rPr>
                <w:sz w:val="22"/>
                <w:szCs w:val="22"/>
                <w:lang w:val="en-US"/>
              </w:rPr>
              <w:t>17-32</w:t>
            </w:r>
          </w:p>
        </w:tc>
        <w:tc>
          <w:tcPr>
            <w:tcW w:w="8145" w:type="dxa"/>
            <w:gridSpan w:val="2"/>
          </w:tcPr>
          <w:p w14:paraId="1832A879" w14:textId="2666AA0C" w:rsidR="00075373" w:rsidRDefault="00075373" w:rsidP="00075373">
            <w:pPr>
              <w:rPr>
                <w:sz w:val="22"/>
                <w:szCs w:val="22"/>
              </w:rPr>
            </w:pPr>
            <w:r>
              <w:rPr>
                <w:sz w:val="22"/>
                <w:szCs w:val="22"/>
                <w:lang w:val="en-US"/>
              </w:rPr>
              <w:t>HEGAAs are a relevant example for Synthetic Biology in the field of GM Viruses, but please also consider discussing the example of transgenic viruses to combat “citrus greening” as it is both relevant and comparably close to marketing.</w:t>
            </w:r>
          </w:p>
        </w:tc>
      </w:tr>
      <w:tr w:rsidR="00075373" w:rsidRPr="00AD22DE" w14:paraId="6D2E51B6" w14:textId="77777777" w:rsidTr="00135D96">
        <w:trPr>
          <w:cantSplit/>
          <w:trHeight w:val="233"/>
        </w:trPr>
        <w:tc>
          <w:tcPr>
            <w:tcW w:w="918" w:type="dxa"/>
          </w:tcPr>
          <w:p w14:paraId="368CF5AD" w14:textId="2501B3D9" w:rsidR="00075373" w:rsidRPr="002834B0" w:rsidRDefault="00075373" w:rsidP="00075373">
            <w:pPr>
              <w:rPr>
                <w:sz w:val="22"/>
                <w:szCs w:val="22"/>
              </w:rPr>
            </w:pPr>
            <w:r>
              <w:rPr>
                <w:sz w:val="22"/>
                <w:szCs w:val="22"/>
              </w:rPr>
              <w:t>42</w:t>
            </w:r>
          </w:p>
        </w:tc>
        <w:tc>
          <w:tcPr>
            <w:tcW w:w="1125" w:type="dxa"/>
          </w:tcPr>
          <w:p w14:paraId="58B9C271" w14:textId="4D5D418E" w:rsidR="00075373" w:rsidRPr="002834B0" w:rsidRDefault="00075373" w:rsidP="00075373">
            <w:pPr>
              <w:rPr>
                <w:sz w:val="22"/>
                <w:szCs w:val="22"/>
              </w:rPr>
            </w:pPr>
            <w:r>
              <w:rPr>
                <w:sz w:val="22"/>
                <w:szCs w:val="22"/>
              </w:rPr>
              <w:t>17/18</w:t>
            </w:r>
          </w:p>
        </w:tc>
        <w:tc>
          <w:tcPr>
            <w:tcW w:w="8145" w:type="dxa"/>
            <w:gridSpan w:val="2"/>
          </w:tcPr>
          <w:p w14:paraId="696545A9" w14:textId="245258D4" w:rsidR="00075373" w:rsidRPr="002834B0" w:rsidRDefault="00075373" w:rsidP="00075373">
            <w:pPr>
              <w:rPr>
                <w:sz w:val="22"/>
                <w:szCs w:val="22"/>
              </w:rPr>
            </w:pPr>
            <w:r>
              <w:rPr>
                <w:sz w:val="22"/>
                <w:szCs w:val="22"/>
              </w:rPr>
              <w:t xml:space="preserve">Comparing the aim of “suppression gene drives” and “chemical control agents” is misleading as the result can be very different depending on how it would be applied. Suppression drive might be designed to extinct a whole species, which might not be the achievable by chemical control agents.  </w:t>
            </w:r>
          </w:p>
        </w:tc>
      </w:tr>
      <w:tr w:rsidR="00075373" w:rsidRPr="00AD22DE" w14:paraId="74D4C7BB" w14:textId="77777777" w:rsidTr="00135D96">
        <w:trPr>
          <w:cantSplit/>
          <w:trHeight w:val="233"/>
        </w:trPr>
        <w:tc>
          <w:tcPr>
            <w:tcW w:w="918" w:type="dxa"/>
          </w:tcPr>
          <w:p w14:paraId="18E58660" w14:textId="7026C1D1" w:rsidR="00075373" w:rsidRPr="002834B0" w:rsidRDefault="00075373" w:rsidP="00075373">
            <w:pPr>
              <w:rPr>
                <w:sz w:val="22"/>
                <w:szCs w:val="22"/>
              </w:rPr>
            </w:pPr>
            <w:r>
              <w:rPr>
                <w:sz w:val="22"/>
                <w:szCs w:val="22"/>
              </w:rPr>
              <w:t>42</w:t>
            </w:r>
          </w:p>
        </w:tc>
        <w:tc>
          <w:tcPr>
            <w:tcW w:w="1125" w:type="dxa"/>
          </w:tcPr>
          <w:p w14:paraId="3860D609" w14:textId="19E66265" w:rsidR="00075373" w:rsidRPr="002834B0" w:rsidRDefault="00075373" w:rsidP="00075373">
            <w:pPr>
              <w:rPr>
                <w:sz w:val="22"/>
                <w:szCs w:val="22"/>
              </w:rPr>
            </w:pPr>
            <w:r>
              <w:rPr>
                <w:sz w:val="22"/>
                <w:szCs w:val="22"/>
              </w:rPr>
              <w:t>23/24</w:t>
            </w:r>
          </w:p>
        </w:tc>
        <w:tc>
          <w:tcPr>
            <w:tcW w:w="8145" w:type="dxa"/>
            <w:gridSpan w:val="2"/>
          </w:tcPr>
          <w:p w14:paraId="75FFE3D8" w14:textId="353A4E1B" w:rsidR="00075373" w:rsidRPr="002834B0" w:rsidRDefault="00075373" w:rsidP="00075373">
            <w:pPr>
              <w:rPr>
                <w:sz w:val="22"/>
                <w:szCs w:val="22"/>
              </w:rPr>
            </w:pPr>
            <w:r>
              <w:rPr>
                <w:sz w:val="22"/>
                <w:szCs w:val="22"/>
              </w:rPr>
              <w:t xml:space="preserve">The choice of references might be unbalanced here and could include e.g. </w:t>
            </w:r>
            <w:r w:rsidRPr="006832AA">
              <w:rPr>
                <w:sz w:val="22"/>
                <w:szCs w:val="22"/>
              </w:rPr>
              <w:t xml:space="preserve">Critical Scientists Switzerland et al., 2019; </w:t>
            </w:r>
            <w:proofErr w:type="spellStart"/>
            <w:r w:rsidRPr="006832AA">
              <w:rPr>
                <w:sz w:val="22"/>
                <w:szCs w:val="22"/>
              </w:rPr>
              <w:t>Dolezel</w:t>
            </w:r>
            <w:proofErr w:type="spellEnd"/>
            <w:r w:rsidRPr="006832AA">
              <w:rPr>
                <w:sz w:val="22"/>
                <w:szCs w:val="22"/>
              </w:rPr>
              <w:t xml:space="preserve"> et al., 2020</w:t>
            </w:r>
            <w:r>
              <w:rPr>
                <w:sz w:val="22"/>
                <w:szCs w:val="22"/>
              </w:rPr>
              <w:t xml:space="preserve"> from lines 32/33 of the same page.</w:t>
            </w:r>
          </w:p>
        </w:tc>
      </w:tr>
      <w:tr w:rsidR="00075373" w:rsidRPr="00AD22DE" w14:paraId="48C24E2F" w14:textId="77777777" w:rsidTr="00BF0A7D">
        <w:trPr>
          <w:cantSplit/>
          <w:trHeight w:val="156"/>
        </w:trPr>
        <w:tc>
          <w:tcPr>
            <w:tcW w:w="918" w:type="dxa"/>
          </w:tcPr>
          <w:p w14:paraId="61635C8D" w14:textId="0C68FE43" w:rsidR="00075373" w:rsidRPr="002834B0" w:rsidRDefault="00075373" w:rsidP="00075373">
            <w:pPr>
              <w:rPr>
                <w:sz w:val="22"/>
                <w:szCs w:val="22"/>
              </w:rPr>
            </w:pPr>
            <w:r>
              <w:rPr>
                <w:sz w:val="22"/>
                <w:szCs w:val="22"/>
              </w:rPr>
              <w:t>42</w:t>
            </w:r>
          </w:p>
        </w:tc>
        <w:tc>
          <w:tcPr>
            <w:tcW w:w="1125" w:type="dxa"/>
          </w:tcPr>
          <w:p w14:paraId="3BE27D2B" w14:textId="1497EFF0" w:rsidR="00075373" w:rsidRPr="002834B0" w:rsidRDefault="00075373" w:rsidP="00075373">
            <w:pPr>
              <w:rPr>
                <w:sz w:val="22"/>
                <w:szCs w:val="22"/>
              </w:rPr>
            </w:pPr>
            <w:r>
              <w:rPr>
                <w:sz w:val="22"/>
                <w:szCs w:val="22"/>
              </w:rPr>
              <w:t>31-33</w:t>
            </w:r>
          </w:p>
        </w:tc>
        <w:tc>
          <w:tcPr>
            <w:tcW w:w="8145" w:type="dxa"/>
            <w:gridSpan w:val="2"/>
          </w:tcPr>
          <w:p w14:paraId="7AE89C54" w14:textId="52466018" w:rsidR="00075373" w:rsidRPr="002834B0" w:rsidRDefault="00075373" w:rsidP="00075373">
            <w:pPr>
              <w:rPr>
                <w:sz w:val="22"/>
                <w:szCs w:val="22"/>
              </w:rPr>
            </w:pPr>
            <w:r>
              <w:rPr>
                <w:sz w:val="22"/>
                <w:szCs w:val="22"/>
              </w:rPr>
              <w:t xml:space="preserve">Those concerns are also raised for islands, as the escape might pose the risk of spread </w:t>
            </w:r>
          </w:p>
        </w:tc>
      </w:tr>
      <w:tr w:rsidR="00075373" w:rsidRPr="00AD22DE" w14:paraId="780F7A46" w14:textId="77777777" w:rsidTr="00BF0A7D">
        <w:trPr>
          <w:cantSplit/>
          <w:trHeight w:val="156"/>
        </w:trPr>
        <w:tc>
          <w:tcPr>
            <w:tcW w:w="918" w:type="dxa"/>
          </w:tcPr>
          <w:p w14:paraId="15FF66F5" w14:textId="04D2CDEA" w:rsidR="00075373" w:rsidRDefault="00075373" w:rsidP="00075373">
            <w:pPr>
              <w:rPr>
                <w:sz w:val="22"/>
                <w:szCs w:val="22"/>
              </w:rPr>
            </w:pPr>
            <w:r>
              <w:rPr>
                <w:sz w:val="22"/>
                <w:szCs w:val="22"/>
              </w:rPr>
              <w:t>42</w:t>
            </w:r>
          </w:p>
        </w:tc>
        <w:tc>
          <w:tcPr>
            <w:tcW w:w="1125" w:type="dxa"/>
          </w:tcPr>
          <w:p w14:paraId="021D75DC" w14:textId="26322E80" w:rsidR="00075373" w:rsidRDefault="00075373" w:rsidP="00075373">
            <w:pPr>
              <w:rPr>
                <w:sz w:val="22"/>
                <w:szCs w:val="22"/>
              </w:rPr>
            </w:pPr>
            <w:r>
              <w:rPr>
                <w:sz w:val="22"/>
                <w:szCs w:val="22"/>
              </w:rPr>
              <w:t>42/43</w:t>
            </w:r>
          </w:p>
        </w:tc>
        <w:tc>
          <w:tcPr>
            <w:tcW w:w="8145" w:type="dxa"/>
            <w:gridSpan w:val="2"/>
          </w:tcPr>
          <w:p w14:paraId="70C16DC3" w14:textId="6BC1D43C" w:rsidR="00075373" w:rsidRDefault="00075373" w:rsidP="00BD2053">
            <w:pPr>
              <w:rPr>
                <w:sz w:val="22"/>
                <w:szCs w:val="22"/>
              </w:rPr>
            </w:pPr>
            <w:r>
              <w:rPr>
                <w:sz w:val="22"/>
                <w:szCs w:val="22"/>
              </w:rPr>
              <w:t>This is rather a simplification of the possible outcomes. Depending on the gene drive a construct could remain in the population for extended time frames (pulse chase dynamics) (</w:t>
            </w:r>
            <w:proofErr w:type="spellStart"/>
            <w:r w:rsidR="00BD2053">
              <w:rPr>
                <w:sz w:val="22"/>
                <w:szCs w:val="22"/>
              </w:rPr>
              <w:t>Champer</w:t>
            </w:r>
            <w:proofErr w:type="spellEnd"/>
            <w:r w:rsidR="00BD2053">
              <w:rPr>
                <w:sz w:val="22"/>
                <w:szCs w:val="22"/>
              </w:rPr>
              <w:t xml:space="preserve"> et al 2021</w:t>
            </w:r>
            <w:r>
              <w:rPr>
                <w:sz w:val="22"/>
                <w:szCs w:val="22"/>
              </w:rPr>
              <w:t>), self-propagating suppression drives are seen as “highly invasive” (</w:t>
            </w:r>
            <w:proofErr w:type="spellStart"/>
            <w:r>
              <w:rPr>
                <w:sz w:val="22"/>
                <w:szCs w:val="22"/>
              </w:rPr>
              <w:t>Esvelt</w:t>
            </w:r>
            <w:proofErr w:type="spellEnd"/>
            <w:r>
              <w:rPr>
                <w:sz w:val="22"/>
                <w:szCs w:val="22"/>
              </w:rPr>
              <w:t xml:space="preserve"> and </w:t>
            </w:r>
            <w:proofErr w:type="spellStart"/>
            <w:r>
              <w:rPr>
                <w:sz w:val="22"/>
                <w:szCs w:val="22"/>
              </w:rPr>
              <w:t>Gemmell</w:t>
            </w:r>
            <w:proofErr w:type="spellEnd"/>
            <w:r>
              <w:rPr>
                <w:sz w:val="22"/>
                <w:szCs w:val="22"/>
              </w:rPr>
              <w:t xml:space="preserve"> 2017)</w:t>
            </w:r>
          </w:p>
          <w:p w14:paraId="1014ECFD" w14:textId="77777777" w:rsidR="00BD2053" w:rsidRDefault="00BD2053" w:rsidP="00BD2053">
            <w:pPr>
              <w:rPr>
                <w:sz w:val="18"/>
                <w:lang w:val="en-US"/>
              </w:rPr>
            </w:pPr>
          </w:p>
          <w:p w14:paraId="3F3F3CE2" w14:textId="0A22952F" w:rsidR="00BD2053" w:rsidRDefault="00BD2053" w:rsidP="00BD2053">
            <w:pPr>
              <w:rPr>
                <w:sz w:val="22"/>
                <w:szCs w:val="22"/>
              </w:rPr>
            </w:pPr>
            <w:r w:rsidRPr="00BD2053">
              <w:rPr>
                <w:sz w:val="18"/>
                <w:lang w:val="en-US"/>
              </w:rPr>
              <w:t xml:space="preserve">J </w:t>
            </w:r>
            <w:proofErr w:type="spellStart"/>
            <w:r w:rsidRPr="00BD2053">
              <w:rPr>
                <w:sz w:val="18"/>
                <w:lang w:val="en-US"/>
              </w:rPr>
              <w:t>Champer</w:t>
            </w:r>
            <w:proofErr w:type="spellEnd"/>
            <w:r w:rsidRPr="00BD2053">
              <w:rPr>
                <w:sz w:val="18"/>
                <w:lang w:val="en-US"/>
              </w:rPr>
              <w:t xml:space="preserve">, I Kim, SE </w:t>
            </w:r>
            <w:proofErr w:type="spellStart"/>
            <w:r w:rsidRPr="00BD2053">
              <w:rPr>
                <w:sz w:val="18"/>
                <w:lang w:val="en-US"/>
              </w:rPr>
              <w:t>Champer</w:t>
            </w:r>
            <w:proofErr w:type="spellEnd"/>
            <w:r w:rsidRPr="00BD2053">
              <w:rPr>
                <w:sz w:val="18"/>
                <w:lang w:val="en-US"/>
              </w:rPr>
              <w:t>, AG Clark, PW Messer (2021). Suppression gene drive in continuous space can result in unstable persistence of both drive and wild-type alleles. Molecular Ecology. 30:1086</w:t>
            </w:r>
          </w:p>
        </w:tc>
      </w:tr>
      <w:tr w:rsidR="00075373" w:rsidRPr="00AD22DE" w14:paraId="346CE6F4" w14:textId="77777777" w:rsidTr="00BF0A7D">
        <w:trPr>
          <w:cantSplit/>
          <w:trHeight w:val="156"/>
        </w:trPr>
        <w:tc>
          <w:tcPr>
            <w:tcW w:w="918" w:type="dxa"/>
          </w:tcPr>
          <w:p w14:paraId="663BC879" w14:textId="2A512A42" w:rsidR="00075373" w:rsidRDefault="00075373" w:rsidP="00075373">
            <w:pPr>
              <w:rPr>
                <w:sz w:val="22"/>
                <w:szCs w:val="22"/>
              </w:rPr>
            </w:pPr>
            <w:r>
              <w:rPr>
                <w:sz w:val="22"/>
                <w:szCs w:val="22"/>
              </w:rPr>
              <w:t>44</w:t>
            </w:r>
          </w:p>
        </w:tc>
        <w:tc>
          <w:tcPr>
            <w:tcW w:w="1125" w:type="dxa"/>
          </w:tcPr>
          <w:p w14:paraId="1E86A48C" w14:textId="79EF85EE" w:rsidR="00075373" w:rsidRDefault="00075373" w:rsidP="00075373">
            <w:pPr>
              <w:rPr>
                <w:sz w:val="22"/>
                <w:szCs w:val="22"/>
              </w:rPr>
            </w:pPr>
            <w:r>
              <w:rPr>
                <w:sz w:val="22"/>
                <w:szCs w:val="22"/>
              </w:rPr>
              <w:t>2-4</w:t>
            </w:r>
          </w:p>
        </w:tc>
        <w:tc>
          <w:tcPr>
            <w:tcW w:w="8145" w:type="dxa"/>
            <w:gridSpan w:val="2"/>
          </w:tcPr>
          <w:p w14:paraId="2E63597D" w14:textId="5B3140BD" w:rsidR="00075373" w:rsidRDefault="00075373" w:rsidP="00075373">
            <w:pPr>
              <w:rPr>
                <w:sz w:val="22"/>
                <w:szCs w:val="22"/>
              </w:rPr>
            </w:pPr>
            <w:r>
              <w:rPr>
                <w:sz w:val="22"/>
                <w:szCs w:val="22"/>
              </w:rPr>
              <w:t xml:space="preserve">This is a theoretical assumption. The synthetic gene drive could, depending on the design, have negative unintended impacts on the target population leading to population crash or even loss of species. </w:t>
            </w:r>
          </w:p>
        </w:tc>
      </w:tr>
      <w:tr w:rsidR="00075373" w:rsidRPr="00AD22DE" w14:paraId="2AA9521D" w14:textId="77777777" w:rsidTr="00135D96">
        <w:trPr>
          <w:cantSplit/>
          <w:trHeight w:val="233"/>
        </w:trPr>
        <w:tc>
          <w:tcPr>
            <w:tcW w:w="918" w:type="dxa"/>
          </w:tcPr>
          <w:p w14:paraId="345B60A8" w14:textId="64F11E62" w:rsidR="00075373" w:rsidRPr="002834B0" w:rsidRDefault="00075373" w:rsidP="00075373">
            <w:pPr>
              <w:rPr>
                <w:sz w:val="22"/>
                <w:szCs w:val="22"/>
              </w:rPr>
            </w:pPr>
            <w:r>
              <w:rPr>
                <w:sz w:val="22"/>
                <w:szCs w:val="22"/>
              </w:rPr>
              <w:t>45</w:t>
            </w:r>
          </w:p>
        </w:tc>
        <w:tc>
          <w:tcPr>
            <w:tcW w:w="1125" w:type="dxa"/>
          </w:tcPr>
          <w:p w14:paraId="3097D5A3" w14:textId="11277690" w:rsidR="00075373" w:rsidRPr="002834B0" w:rsidRDefault="00075373" w:rsidP="00075373">
            <w:pPr>
              <w:rPr>
                <w:sz w:val="22"/>
                <w:szCs w:val="22"/>
              </w:rPr>
            </w:pPr>
            <w:r>
              <w:rPr>
                <w:sz w:val="22"/>
                <w:szCs w:val="22"/>
              </w:rPr>
              <w:t>5-6</w:t>
            </w:r>
          </w:p>
        </w:tc>
        <w:tc>
          <w:tcPr>
            <w:tcW w:w="8145" w:type="dxa"/>
            <w:gridSpan w:val="2"/>
          </w:tcPr>
          <w:p w14:paraId="1C458ED0" w14:textId="3CCE9836" w:rsidR="00075373" w:rsidRDefault="00075373" w:rsidP="00075373">
            <w:pPr>
              <w:rPr>
                <w:sz w:val="22"/>
                <w:szCs w:val="22"/>
              </w:rPr>
            </w:pPr>
            <w:r>
              <w:rPr>
                <w:sz w:val="22"/>
                <w:szCs w:val="22"/>
              </w:rPr>
              <w:t>This is not very precise, as the depth of intervention is clearly increased with genome editing. Off target effects are not considered to be independent of the target sequence in all cases</w:t>
            </w:r>
            <w:r w:rsidR="00153872">
              <w:rPr>
                <w:sz w:val="22"/>
                <w:szCs w:val="22"/>
              </w:rPr>
              <w:t xml:space="preserve"> for genome editing</w:t>
            </w:r>
            <w:r>
              <w:rPr>
                <w:sz w:val="22"/>
                <w:szCs w:val="22"/>
              </w:rPr>
              <w:t>. That means that even though a lower number of off-targets might occur, those could accumulate in sequences related to the target sequence, which could e.g. influence multiple genes belonging to the same gene family.</w:t>
            </w:r>
          </w:p>
          <w:p w14:paraId="3863174B" w14:textId="77777777" w:rsidR="00153872" w:rsidRDefault="00075373" w:rsidP="00075373">
            <w:pPr>
              <w:rPr>
                <w:sz w:val="22"/>
                <w:szCs w:val="22"/>
              </w:rPr>
            </w:pPr>
            <w:r>
              <w:rPr>
                <w:sz w:val="22"/>
                <w:szCs w:val="22"/>
              </w:rPr>
              <w:t>The comparison of genome editing and conventional plant breeding for risk assessment is not appropriate, as the number of unintended changes cannot be a proxy for risks that might be associated</w:t>
            </w:r>
            <w:r w:rsidR="00153872">
              <w:rPr>
                <w:sz w:val="22"/>
                <w:szCs w:val="22"/>
              </w:rPr>
              <w:t xml:space="preserve"> (</w:t>
            </w:r>
            <w:proofErr w:type="spellStart"/>
            <w:r w:rsidR="00153872">
              <w:rPr>
                <w:sz w:val="22"/>
                <w:szCs w:val="22"/>
              </w:rPr>
              <w:t>Eckerstorfer</w:t>
            </w:r>
            <w:proofErr w:type="spellEnd"/>
            <w:r w:rsidR="00153872">
              <w:rPr>
                <w:sz w:val="22"/>
                <w:szCs w:val="22"/>
              </w:rPr>
              <w:t xml:space="preserve"> et al. 2019)</w:t>
            </w:r>
            <w:r>
              <w:rPr>
                <w:sz w:val="22"/>
                <w:szCs w:val="22"/>
              </w:rPr>
              <w:t>.</w:t>
            </w:r>
          </w:p>
          <w:p w14:paraId="4BEBA86E" w14:textId="6EFC250C" w:rsidR="00075373" w:rsidRPr="002834B0" w:rsidRDefault="00153872" w:rsidP="00153872">
            <w:pPr>
              <w:rPr>
                <w:sz w:val="22"/>
                <w:szCs w:val="22"/>
              </w:rPr>
            </w:pPr>
            <w:proofErr w:type="spellStart"/>
            <w:r w:rsidRPr="00AB3148">
              <w:rPr>
                <w:sz w:val="18"/>
                <w:szCs w:val="22"/>
                <w:lang w:val="en-US"/>
              </w:rPr>
              <w:t>Eckerstorfer</w:t>
            </w:r>
            <w:proofErr w:type="spellEnd"/>
            <w:r w:rsidRPr="00AB3148">
              <w:rPr>
                <w:sz w:val="18"/>
                <w:szCs w:val="22"/>
                <w:lang w:val="en-US"/>
              </w:rPr>
              <w:t xml:space="preserve">, Michael F.; </w:t>
            </w:r>
            <w:proofErr w:type="spellStart"/>
            <w:r w:rsidRPr="00AB3148">
              <w:rPr>
                <w:sz w:val="18"/>
                <w:szCs w:val="22"/>
                <w:lang w:val="en-US"/>
              </w:rPr>
              <w:t>Heissenberger</w:t>
            </w:r>
            <w:proofErr w:type="spellEnd"/>
            <w:r w:rsidRPr="00AB3148">
              <w:rPr>
                <w:sz w:val="18"/>
                <w:szCs w:val="22"/>
                <w:lang w:val="en-US"/>
              </w:rPr>
              <w:t xml:space="preserve">, Andreas; </w:t>
            </w:r>
            <w:proofErr w:type="spellStart"/>
            <w:r w:rsidRPr="00AB3148">
              <w:rPr>
                <w:sz w:val="18"/>
                <w:szCs w:val="22"/>
                <w:lang w:val="en-US"/>
              </w:rPr>
              <w:t>Reichenbecher</w:t>
            </w:r>
            <w:proofErr w:type="spellEnd"/>
            <w:r w:rsidRPr="00AB3148">
              <w:rPr>
                <w:sz w:val="18"/>
                <w:szCs w:val="22"/>
                <w:lang w:val="en-US"/>
              </w:rPr>
              <w:t xml:space="preserve">, Wolfram; </w:t>
            </w:r>
            <w:proofErr w:type="spellStart"/>
            <w:r w:rsidRPr="00AB3148">
              <w:rPr>
                <w:sz w:val="18"/>
                <w:szCs w:val="22"/>
                <w:lang w:val="en-US"/>
              </w:rPr>
              <w:t>Steinbrecher</w:t>
            </w:r>
            <w:proofErr w:type="spellEnd"/>
            <w:r w:rsidRPr="00AB3148">
              <w:rPr>
                <w:sz w:val="18"/>
                <w:szCs w:val="22"/>
                <w:lang w:val="en-US"/>
              </w:rPr>
              <w:t xml:space="preserve">, </w:t>
            </w:r>
            <w:proofErr w:type="spellStart"/>
            <w:r w:rsidRPr="00AB3148">
              <w:rPr>
                <w:sz w:val="18"/>
                <w:szCs w:val="22"/>
                <w:lang w:val="en-US"/>
              </w:rPr>
              <w:t>Ricarda</w:t>
            </w:r>
            <w:proofErr w:type="spellEnd"/>
            <w:r w:rsidRPr="00AB3148">
              <w:rPr>
                <w:sz w:val="18"/>
                <w:szCs w:val="22"/>
                <w:lang w:val="en-US"/>
              </w:rPr>
              <w:t xml:space="preserve"> A.; </w:t>
            </w:r>
            <w:proofErr w:type="spellStart"/>
            <w:r w:rsidRPr="00AB3148">
              <w:rPr>
                <w:sz w:val="18"/>
                <w:szCs w:val="22"/>
                <w:lang w:val="en-US"/>
              </w:rPr>
              <w:t>Waßmann</w:t>
            </w:r>
            <w:proofErr w:type="spellEnd"/>
            <w:r w:rsidRPr="00AB3148">
              <w:rPr>
                <w:sz w:val="18"/>
                <w:szCs w:val="22"/>
                <w:lang w:val="en-US"/>
              </w:rPr>
              <w:t>, Friedrich (2019): An EU Perspective on Biosafety Considerations for Plants Developed by Genome Editing and Other New Genetic Modification Techniques (</w:t>
            </w:r>
            <w:proofErr w:type="spellStart"/>
            <w:r w:rsidRPr="00AB3148">
              <w:rPr>
                <w:sz w:val="18"/>
                <w:szCs w:val="22"/>
                <w:lang w:val="en-US"/>
              </w:rPr>
              <w:t>nGMs</w:t>
            </w:r>
            <w:proofErr w:type="spellEnd"/>
            <w:r w:rsidRPr="00AB3148">
              <w:rPr>
                <w:sz w:val="18"/>
                <w:szCs w:val="22"/>
                <w:lang w:val="en-US"/>
              </w:rPr>
              <w:t>). In: Frontiers in bioengineering and biotechnology 7, S. 319. DOI: 10.3389/fbioe.2019.00031</w:t>
            </w:r>
          </w:p>
        </w:tc>
      </w:tr>
      <w:tr w:rsidR="00075373" w:rsidRPr="00AD22DE" w14:paraId="3257EF88" w14:textId="77777777" w:rsidTr="00135D96">
        <w:trPr>
          <w:cantSplit/>
          <w:trHeight w:val="233"/>
        </w:trPr>
        <w:tc>
          <w:tcPr>
            <w:tcW w:w="918" w:type="dxa"/>
          </w:tcPr>
          <w:p w14:paraId="39202388" w14:textId="41853E5E" w:rsidR="00075373" w:rsidRPr="002834B0" w:rsidRDefault="00075373" w:rsidP="00075373">
            <w:pPr>
              <w:rPr>
                <w:sz w:val="22"/>
                <w:szCs w:val="22"/>
              </w:rPr>
            </w:pPr>
            <w:r>
              <w:rPr>
                <w:sz w:val="22"/>
                <w:szCs w:val="22"/>
              </w:rPr>
              <w:t>46</w:t>
            </w:r>
          </w:p>
        </w:tc>
        <w:tc>
          <w:tcPr>
            <w:tcW w:w="1125" w:type="dxa"/>
          </w:tcPr>
          <w:p w14:paraId="20FFFA57" w14:textId="2FB67790" w:rsidR="00075373" w:rsidRPr="002834B0" w:rsidRDefault="00075373" w:rsidP="00075373">
            <w:pPr>
              <w:rPr>
                <w:sz w:val="22"/>
                <w:szCs w:val="22"/>
              </w:rPr>
            </w:pPr>
            <w:r>
              <w:rPr>
                <w:sz w:val="22"/>
                <w:szCs w:val="22"/>
              </w:rPr>
              <w:t>10</w:t>
            </w:r>
          </w:p>
        </w:tc>
        <w:tc>
          <w:tcPr>
            <w:tcW w:w="8145" w:type="dxa"/>
            <w:gridSpan w:val="2"/>
          </w:tcPr>
          <w:p w14:paraId="17339E98" w14:textId="46B9067C" w:rsidR="00075373" w:rsidRPr="002834B0" w:rsidRDefault="00075373" w:rsidP="00075373">
            <w:pPr>
              <w:rPr>
                <w:sz w:val="22"/>
                <w:szCs w:val="22"/>
              </w:rPr>
            </w:pPr>
            <w:r>
              <w:rPr>
                <w:sz w:val="22"/>
                <w:szCs w:val="22"/>
              </w:rPr>
              <w:t>“</w:t>
            </w:r>
            <w:proofErr w:type="gramStart"/>
            <w:r>
              <w:rPr>
                <w:sz w:val="22"/>
                <w:szCs w:val="22"/>
              </w:rPr>
              <w:t>service</w:t>
            </w:r>
            <w:proofErr w:type="gramEnd"/>
            <w:r>
              <w:rPr>
                <w:sz w:val="22"/>
                <w:szCs w:val="22"/>
              </w:rPr>
              <w:t xml:space="preserve"> provided”: CBD is committed to protect biodiversity as a whole. The concept of ecosystem services is inappropriate in this regard. </w:t>
            </w:r>
          </w:p>
        </w:tc>
      </w:tr>
      <w:tr w:rsidR="00075373" w:rsidRPr="00AD22DE" w14:paraId="450C093B" w14:textId="77777777" w:rsidTr="00135D96">
        <w:trPr>
          <w:cantSplit/>
          <w:trHeight w:val="233"/>
        </w:trPr>
        <w:tc>
          <w:tcPr>
            <w:tcW w:w="918" w:type="dxa"/>
          </w:tcPr>
          <w:p w14:paraId="5E83E2A9" w14:textId="79CAF213" w:rsidR="00075373" w:rsidRPr="002834B0" w:rsidRDefault="00075373" w:rsidP="00075373">
            <w:pPr>
              <w:rPr>
                <w:sz w:val="22"/>
                <w:szCs w:val="22"/>
              </w:rPr>
            </w:pPr>
            <w:r>
              <w:rPr>
                <w:sz w:val="22"/>
                <w:szCs w:val="22"/>
              </w:rPr>
              <w:t>50</w:t>
            </w:r>
          </w:p>
        </w:tc>
        <w:tc>
          <w:tcPr>
            <w:tcW w:w="1125" w:type="dxa"/>
          </w:tcPr>
          <w:p w14:paraId="049B5FBD" w14:textId="79B5B457" w:rsidR="00075373" w:rsidRPr="002834B0" w:rsidRDefault="00075373" w:rsidP="00075373">
            <w:pPr>
              <w:rPr>
                <w:sz w:val="22"/>
                <w:szCs w:val="22"/>
              </w:rPr>
            </w:pPr>
            <w:r>
              <w:rPr>
                <w:sz w:val="22"/>
                <w:szCs w:val="22"/>
              </w:rPr>
              <w:t>40</w:t>
            </w:r>
          </w:p>
        </w:tc>
        <w:tc>
          <w:tcPr>
            <w:tcW w:w="8145" w:type="dxa"/>
            <w:gridSpan w:val="2"/>
          </w:tcPr>
          <w:p w14:paraId="57B4902E" w14:textId="502A504D" w:rsidR="00075373" w:rsidRPr="002834B0" w:rsidRDefault="00075373" w:rsidP="00075373">
            <w:pPr>
              <w:rPr>
                <w:sz w:val="22"/>
                <w:szCs w:val="22"/>
              </w:rPr>
            </w:pPr>
            <w:r>
              <w:rPr>
                <w:sz w:val="22"/>
                <w:szCs w:val="22"/>
              </w:rPr>
              <w:t>It would lead to an “ engineered living modified gene drive mosquito”</w:t>
            </w:r>
          </w:p>
        </w:tc>
      </w:tr>
      <w:tr w:rsidR="00075373" w:rsidRPr="00AD22DE" w14:paraId="35385185" w14:textId="77777777" w:rsidTr="00135D96">
        <w:trPr>
          <w:cantSplit/>
          <w:trHeight w:val="233"/>
        </w:trPr>
        <w:tc>
          <w:tcPr>
            <w:tcW w:w="918" w:type="dxa"/>
          </w:tcPr>
          <w:p w14:paraId="538AEAC3" w14:textId="2477CB0F" w:rsidR="00075373" w:rsidRPr="002834B0" w:rsidRDefault="00075373" w:rsidP="00075373">
            <w:pPr>
              <w:rPr>
                <w:sz w:val="22"/>
                <w:szCs w:val="22"/>
              </w:rPr>
            </w:pPr>
            <w:r>
              <w:rPr>
                <w:sz w:val="22"/>
                <w:szCs w:val="22"/>
              </w:rPr>
              <w:t>54</w:t>
            </w:r>
          </w:p>
        </w:tc>
        <w:tc>
          <w:tcPr>
            <w:tcW w:w="1125" w:type="dxa"/>
          </w:tcPr>
          <w:p w14:paraId="135D162F" w14:textId="6992168B" w:rsidR="00075373" w:rsidRPr="002834B0" w:rsidRDefault="00075373" w:rsidP="00075373">
            <w:pPr>
              <w:rPr>
                <w:sz w:val="22"/>
                <w:szCs w:val="22"/>
              </w:rPr>
            </w:pPr>
            <w:r>
              <w:rPr>
                <w:sz w:val="22"/>
                <w:szCs w:val="22"/>
              </w:rPr>
              <w:t>13-25</w:t>
            </w:r>
          </w:p>
        </w:tc>
        <w:tc>
          <w:tcPr>
            <w:tcW w:w="8145" w:type="dxa"/>
            <w:gridSpan w:val="2"/>
          </w:tcPr>
          <w:p w14:paraId="7528B1C2" w14:textId="2F679F7E" w:rsidR="00075373" w:rsidRPr="002834B0" w:rsidRDefault="00075373" w:rsidP="00075373">
            <w:pPr>
              <w:rPr>
                <w:sz w:val="22"/>
                <w:szCs w:val="22"/>
              </w:rPr>
            </w:pPr>
            <w:r>
              <w:rPr>
                <w:sz w:val="22"/>
                <w:szCs w:val="22"/>
              </w:rPr>
              <w:t xml:space="preserve">It should be noted here, that </w:t>
            </w:r>
            <w:proofErr w:type="spellStart"/>
            <w:r>
              <w:rPr>
                <w:sz w:val="22"/>
                <w:szCs w:val="22"/>
              </w:rPr>
              <w:t>synbio</w:t>
            </w:r>
            <w:proofErr w:type="spellEnd"/>
            <w:r>
              <w:rPr>
                <w:sz w:val="22"/>
                <w:szCs w:val="22"/>
              </w:rPr>
              <w:t xml:space="preserve"> applications for nature conservation might not achieve the intended goal, as they would interact in complex ecosystems, and also that those applications do not correct the initial problem but instead aim to mitigate the consequences (e.g. of climate change).</w:t>
            </w:r>
          </w:p>
        </w:tc>
      </w:tr>
      <w:tr w:rsidR="00075373" w:rsidRPr="00AD22DE" w14:paraId="25AA6238" w14:textId="77777777" w:rsidTr="00135D96">
        <w:trPr>
          <w:cantSplit/>
          <w:trHeight w:val="233"/>
        </w:trPr>
        <w:tc>
          <w:tcPr>
            <w:tcW w:w="918" w:type="dxa"/>
          </w:tcPr>
          <w:p w14:paraId="512013B6" w14:textId="1486C634" w:rsidR="00075373" w:rsidRDefault="00075373" w:rsidP="00075373">
            <w:pPr>
              <w:rPr>
                <w:sz w:val="22"/>
                <w:szCs w:val="22"/>
              </w:rPr>
            </w:pPr>
            <w:r>
              <w:rPr>
                <w:sz w:val="22"/>
                <w:szCs w:val="22"/>
              </w:rPr>
              <w:lastRenderedPageBreak/>
              <w:t>56</w:t>
            </w:r>
          </w:p>
        </w:tc>
        <w:tc>
          <w:tcPr>
            <w:tcW w:w="1125" w:type="dxa"/>
          </w:tcPr>
          <w:p w14:paraId="56A0FE55" w14:textId="116E73CA" w:rsidR="00075373" w:rsidRDefault="00075373" w:rsidP="00075373">
            <w:pPr>
              <w:rPr>
                <w:sz w:val="22"/>
                <w:szCs w:val="22"/>
              </w:rPr>
            </w:pPr>
            <w:r>
              <w:rPr>
                <w:sz w:val="22"/>
                <w:szCs w:val="22"/>
              </w:rPr>
              <w:t>42-44</w:t>
            </w:r>
          </w:p>
        </w:tc>
        <w:tc>
          <w:tcPr>
            <w:tcW w:w="8145" w:type="dxa"/>
            <w:gridSpan w:val="2"/>
          </w:tcPr>
          <w:p w14:paraId="7E852C09" w14:textId="77777777" w:rsidR="00075373" w:rsidRPr="000C6332" w:rsidRDefault="00075373" w:rsidP="00075373">
            <w:pPr>
              <w:rPr>
                <w:sz w:val="22"/>
                <w:szCs w:val="22"/>
              </w:rPr>
            </w:pPr>
            <w:r w:rsidRPr="000C6332">
              <w:rPr>
                <w:sz w:val="22"/>
                <w:szCs w:val="22"/>
              </w:rPr>
              <w:t>“The section does not intend to be a comprehensive list or guide of issues to be considered under any specific assessment, as every potential analysis will have to be done on a case-by-case basis and in accordance with national and international regulations.”</w:t>
            </w:r>
          </w:p>
          <w:p w14:paraId="7949F78A" w14:textId="26DA2B55" w:rsidR="000C6332" w:rsidRPr="000C6332" w:rsidRDefault="000C6332" w:rsidP="000C6332">
            <w:pPr>
              <w:rPr>
                <w:sz w:val="22"/>
                <w:szCs w:val="22"/>
              </w:rPr>
            </w:pPr>
            <w:r w:rsidRPr="000C6332">
              <w:rPr>
                <w:sz w:val="22"/>
                <w:szCs w:val="22"/>
              </w:rPr>
              <w:t xml:space="preserve">As this sentence contains language from the Cartagena Protocol it should be amended by reminding of the precautionary approach, by including </w:t>
            </w:r>
            <w:proofErr w:type="gramStart"/>
            <w:r w:rsidRPr="000C6332">
              <w:rPr>
                <w:sz w:val="22"/>
                <w:szCs w:val="22"/>
              </w:rPr>
              <w:t>“</w:t>
            </w:r>
            <w:r w:rsidR="00653FE3">
              <w:rPr>
                <w:sz w:val="22"/>
                <w:szCs w:val="22"/>
              </w:rPr>
              <w:t xml:space="preserve"> and</w:t>
            </w:r>
            <w:proofErr w:type="gramEnd"/>
            <w:r w:rsidR="00653FE3">
              <w:rPr>
                <w:sz w:val="22"/>
                <w:szCs w:val="22"/>
              </w:rPr>
              <w:t xml:space="preserve"> </w:t>
            </w:r>
            <w:r>
              <w:rPr>
                <w:sz w:val="22"/>
                <w:szCs w:val="22"/>
              </w:rPr>
              <w:t>taking into account the</w:t>
            </w:r>
            <w:r w:rsidRPr="000C6332">
              <w:rPr>
                <w:sz w:val="22"/>
                <w:szCs w:val="22"/>
              </w:rPr>
              <w:t xml:space="preserve"> precautionary approach” </w:t>
            </w:r>
            <w:r>
              <w:rPr>
                <w:sz w:val="22"/>
                <w:szCs w:val="22"/>
              </w:rPr>
              <w:t>after</w:t>
            </w:r>
            <w:r w:rsidRPr="000C6332">
              <w:rPr>
                <w:sz w:val="22"/>
                <w:szCs w:val="22"/>
              </w:rPr>
              <w:t xml:space="preserve"> “</w:t>
            </w:r>
            <w:r>
              <w:rPr>
                <w:sz w:val="22"/>
                <w:szCs w:val="22"/>
              </w:rPr>
              <w:t>international regulations</w:t>
            </w:r>
            <w:r w:rsidRPr="000C6332">
              <w:rPr>
                <w:sz w:val="22"/>
                <w:szCs w:val="22"/>
              </w:rPr>
              <w:t>”.</w:t>
            </w:r>
          </w:p>
        </w:tc>
      </w:tr>
      <w:tr w:rsidR="00075373" w:rsidRPr="00AD22DE" w14:paraId="7E5F9C0B" w14:textId="77777777" w:rsidTr="00135D96">
        <w:trPr>
          <w:cantSplit/>
          <w:trHeight w:val="233"/>
        </w:trPr>
        <w:tc>
          <w:tcPr>
            <w:tcW w:w="918" w:type="dxa"/>
          </w:tcPr>
          <w:p w14:paraId="2315DE79" w14:textId="34F23B92" w:rsidR="00075373" w:rsidRPr="002834B0" w:rsidRDefault="00075373" w:rsidP="00075373">
            <w:pPr>
              <w:rPr>
                <w:sz w:val="22"/>
                <w:szCs w:val="22"/>
              </w:rPr>
            </w:pPr>
            <w:r>
              <w:rPr>
                <w:sz w:val="22"/>
                <w:szCs w:val="22"/>
              </w:rPr>
              <w:t>57</w:t>
            </w:r>
          </w:p>
        </w:tc>
        <w:tc>
          <w:tcPr>
            <w:tcW w:w="1125" w:type="dxa"/>
          </w:tcPr>
          <w:p w14:paraId="190480E8" w14:textId="4BE42755" w:rsidR="00075373" w:rsidRPr="002834B0" w:rsidRDefault="00075373" w:rsidP="00075373">
            <w:pPr>
              <w:rPr>
                <w:sz w:val="22"/>
                <w:szCs w:val="22"/>
              </w:rPr>
            </w:pPr>
            <w:r>
              <w:rPr>
                <w:sz w:val="22"/>
                <w:szCs w:val="22"/>
              </w:rPr>
              <w:t>48</w:t>
            </w:r>
          </w:p>
        </w:tc>
        <w:tc>
          <w:tcPr>
            <w:tcW w:w="8145" w:type="dxa"/>
            <w:gridSpan w:val="2"/>
          </w:tcPr>
          <w:p w14:paraId="5CD1F98E" w14:textId="7865B5E3" w:rsidR="00075373" w:rsidRPr="002834B0" w:rsidRDefault="00075373" w:rsidP="00075373">
            <w:pPr>
              <w:rPr>
                <w:sz w:val="22"/>
                <w:szCs w:val="22"/>
              </w:rPr>
            </w:pPr>
            <w:r>
              <w:rPr>
                <w:sz w:val="22"/>
                <w:szCs w:val="22"/>
              </w:rPr>
              <w:t>The term “benefits” is inappropriate here and should be deleted, as this section is dedicated to biosafety. Relevant for the CBD is in this case the Cartagena Protocol on Biosafety which solely intends to avoid “adverse effects on the conservation and sustainable use of biological diversity” (CP Art. 1).</w:t>
            </w:r>
          </w:p>
        </w:tc>
      </w:tr>
      <w:tr w:rsidR="00075373" w:rsidRPr="00AD22DE" w14:paraId="2AFA89D7" w14:textId="77777777" w:rsidTr="00135D96">
        <w:trPr>
          <w:cantSplit/>
          <w:trHeight w:val="233"/>
        </w:trPr>
        <w:tc>
          <w:tcPr>
            <w:tcW w:w="918" w:type="dxa"/>
          </w:tcPr>
          <w:p w14:paraId="1AA9FE7A" w14:textId="6886B8E5" w:rsidR="00075373" w:rsidRPr="002834B0" w:rsidRDefault="00075373" w:rsidP="00075373">
            <w:pPr>
              <w:rPr>
                <w:sz w:val="22"/>
                <w:szCs w:val="22"/>
              </w:rPr>
            </w:pPr>
            <w:r>
              <w:rPr>
                <w:sz w:val="22"/>
                <w:szCs w:val="22"/>
              </w:rPr>
              <w:t>58</w:t>
            </w:r>
          </w:p>
        </w:tc>
        <w:tc>
          <w:tcPr>
            <w:tcW w:w="1125" w:type="dxa"/>
          </w:tcPr>
          <w:p w14:paraId="06945522" w14:textId="13702773" w:rsidR="00075373" w:rsidRPr="002834B0" w:rsidRDefault="00075373" w:rsidP="00075373">
            <w:pPr>
              <w:rPr>
                <w:sz w:val="22"/>
                <w:szCs w:val="22"/>
              </w:rPr>
            </w:pPr>
            <w:r>
              <w:rPr>
                <w:sz w:val="22"/>
                <w:szCs w:val="22"/>
              </w:rPr>
              <w:t>38-39</w:t>
            </w:r>
          </w:p>
        </w:tc>
        <w:tc>
          <w:tcPr>
            <w:tcW w:w="8145" w:type="dxa"/>
            <w:gridSpan w:val="2"/>
          </w:tcPr>
          <w:p w14:paraId="601C3730" w14:textId="5EE8F9DD" w:rsidR="00AB3148" w:rsidRDefault="00075373" w:rsidP="00AB3148">
            <w:pPr>
              <w:rPr>
                <w:sz w:val="22"/>
                <w:szCs w:val="22"/>
              </w:rPr>
            </w:pPr>
            <w:r>
              <w:rPr>
                <w:sz w:val="22"/>
                <w:szCs w:val="22"/>
              </w:rPr>
              <w:t xml:space="preserve">The intention of this sentence is unclear. Does it refer to natural gene drives? If those are limited in time and </w:t>
            </w:r>
            <w:r w:rsidR="00AB3148">
              <w:rPr>
                <w:sz w:val="22"/>
                <w:szCs w:val="22"/>
              </w:rPr>
              <w:t>space, which</w:t>
            </w:r>
            <w:r>
              <w:rPr>
                <w:sz w:val="22"/>
                <w:szCs w:val="22"/>
              </w:rPr>
              <w:t xml:space="preserve"> might be an artefact and does not reflect the full scope of possibilities from natural gene drives, as successful and thus inactive natural gene drives are hard to </w:t>
            </w:r>
            <w:r w:rsidR="00AB3148">
              <w:rPr>
                <w:sz w:val="22"/>
                <w:szCs w:val="22"/>
              </w:rPr>
              <w:t>identify and study</w:t>
            </w:r>
            <w:r>
              <w:rPr>
                <w:sz w:val="22"/>
                <w:szCs w:val="22"/>
              </w:rPr>
              <w:t>. It is unclear if and how many species went extinct by</w:t>
            </w:r>
            <w:r w:rsidR="00AB3148">
              <w:rPr>
                <w:sz w:val="22"/>
                <w:szCs w:val="22"/>
              </w:rPr>
              <w:t xml:space="preserve"> natu</w:t>
            </w:r>
            <w:bookmarkStart w:id="1" w:name="_GoBack"/>
            <w:bookmarkEnd w:id="1"/>
            <w:r w:rsidR="00AB3148">
              <w:rPr>
                <w:sz w:val="22"/>
                <w:szCs w:val="22"/>
              </w:rPr>
              <w:t>ral</w:t>
            </w:r>
            <w:r>
              <w:rPr>
                <w:sz w:val="22"/>
                <w:szCs w:val="22"/>
              </w:rPr>
              <w:t xml:space="preserve"> gene drives</w:t>
            </w:r>
            <w:r w:rsidR="00AB3148">
              <w:rPr>
                <w:sz w:val="22"/>
                <w:szCs w:val="22"/>
              </w:rPr>
              <w:t>, also known as selfish genes or selfish elements (Giese et al. 2019)</w:t>
            </w:r>
            <w:r>
              <w:rPr>
                <w:sz w:val="22"/>
                <w:szCs w:val="22"/>
              </w:rPr>
              <w:t>.</w:t>
            </w:r>
          </w:p>
          <w:p w14:paraId="630458B1" w14:textId="77777777" w:rsidR="00AB3148" w:rsidRDefault="00AB3148" w:rsidP="00AB3148">
            <w:pPr>
              <w:rPr>
                <w:sz w:val="22"/>
                <w:szCs w:val="22"/>
              </w:rPr>
            </w:pPr>
          </w:p>
          <w:p w14:paraId="03929F6B" w14:textId="71740EBE" w:rsidR="00075373" w:rsidRPr="002834B0" w:rsidRDefault="00AB3148" w:rsidP="00AB3148">
            <w:pPr>
              <w:rPr>
                <w:sz w:val="22"/>
                <w:szCs w:val="22"/>
              </w:rPr>
            </w:pPr>
            <w:proofErr w:type="spellStart"/>
            <w:r w:rsidRPr="00EE58E7">
              <w:rPr>
                <w:sz w:val="18"/>
                <w:szCs w:val="22"/>
                <w:lang w:val="fr-FR"/>
              </w:rPr>
              <w:t>Giese</w:t>
            </w:r>
            <w:proofErr w:type="spellEnd"/>
            <w:r w:rsidRPr="00EE58E7">
              <w:rPr>
                <w:sz w:val="18"/>
                <w:szCs w:val="22"/>
                <w:lang w:val="fr-FR"/>
              </w:rPr>
              <w:t xml:space="preserve">, Bernd; </w:t>
            </w:r>
            <w:proofErr w:type="spellStart"/>
            <w:r w:rsidRPr="00EE58E7">
              <w:rPr>
                <w:sz w:val="18"/>
                <w:szCs w:val="22"/>
                <w:lang w:val="fr-FR"/>
              </w:rPr>
              <w:t>Frieß</w:t>
            </w:r>
            <w:proofErr w:type="spellEnd"/>
            <w:r w:rsidRPr="00EE58E7">
              <w:rPr>
                <w:sz w:val="18"/>
                <w:szCs w:val="22"/>
                <w:lang w:val="fr-FR"/>
              </w:rPr>
              <w:t xml:space="preserve">, Johannes L.; Barton, Nicholas H.; Messer, </w:t>
            </w:r>
            <w:proofErr w:type="spellStart"/>
            <w:r w:rsidRPr="00EE58E7">
              <w:rPr>
                <w:sz w:val="18"/>
                <w:szCs w:val="22"/>
                <w:lang w:val="fr-FR"/>
              </w:rPr>
              <w:t>Philipp</w:t>
            </w:r>
            <w:proofErr w:type="spellEnd"/>
            <w:r w:rsidRPr="00EE58E7">
              <w:rPr>
                <w:sz w:val="18"/>
                <w:szCs w:val="22"/>
                <w:lang w:val="fr-FR"/>
              </w:rPr>
              <w:t xml:space="preserve"> W.; Débarre, Florence; </w:t>
            </w:r>
            <w:proofErr w:type="spellStart"/>
            <w:r w:rsidRPr="00EE58E7">
              <w:rPr>
                <w:sz w:val="18"/>
                <w:szCs w:val="22"/>
                <w:lang w:val="fr-FR"/>
              </w:rPr>
              <w:t>Schetelig</w:t>
            </w:r>
            <w:proofErr w:type="spellEnd"/>
            <w:r w:rsidRPr="00EE58E7">
              <w:rPr>
                <w:sz w:val="18"/>
                <w:szCs w:val="22"/>
                <w:lang w:val="fr-FR"/>
              </w:rPr>
              <w:t xml:space="preserve">, Marc F. et al. </w:t>
            </w:r>
            <w:r w:rsidRPr="00AB3148">
              <w:rPr>
                <w:sz w:val="18"/>
                <w:szCs w:val="22"/>
                <w:lang w:val="en-US"/>
              </w:rPr>
              <w:t xml:space="preserve">(2019): Gene Drives: Dynamics and Regulatory Matters-A Report from the Workshop "Evaluation of Spatial and Temporal Control of Gene Drives," April 4-5, 2019, Vienna. In: </w:t>
            </w:r>
            <w:proofErr w:type="spellStart"/>
            <w:proofErr w:type="gramStart"/>
            <w:r w:rsidRPr="00AB3148">
              <w:rPr>
                <w:sz w:val="18"/>
                <w:szCs w:val="22"/>
                <w:lang w:val="en-US"/>
              </w:rPr>
              <w:t>BioEssays</w:t>
            </w:r>
            <w:proofErr w:type="spellEnd"/>
            <w:r w:rsidRPr="00AB3148">
              <w:rPr>
                <w:sz w:val="18"/>
                <w:szCs w:val="22"/>
                <w:lang w:val="en-US"/>
              </w:rPr>
              <w:t xml:space="preserve"> :</w:t>
            </w:r>
            <w:proofErr w:type="gramEnd"/>
            <w:r w:rsidRPr="00AB3148">
              <w:rPr>
                <w:sz w:val="18"/>
                <w:szCs w:val="22"/>
                <w:lang w:val="en-US"/>
              </w:rPr>
              <w:t xml:space="preserve"> news and reviews in molecular, cellular and developmental biology, e1900151. DOI: 10.1002/bies.201900151.</w:t>
            </w:r>
            <w:r w:rsidR="00075373">
              <w:rPr>
                <w:sz w:val="22"/>
                <w:szCs w:val="22"/>
              </w:rPr>
              <w:t xml:space="preserve"> </w:t>
            </w:r>
          </w:p>
        </w:tc>
      </w:tr>
      <w:tr w:rsidR="00075373" w:rsidRPr="00AD22DE" w14:paraId="1D82473A" w14:textId="77777777" w:rsidTr="00291C45">
        <w:trPr>
          <w:cantSplit/>
          <w:trHeight w:val="233"/>
        </w:trPr>
        <w:tc>
          <w:tcPr>
            <w:tcW w:w="918" w:type="dxa"/>
          </w:tcPr>
          <w:p w14:paraId="4E9339C1" w14:textId="29F33667" w:rsidR="00075373" w:rsidRPr="002834B0" w:rsidRDefault="00075373" w:rsidP="00075373">
            <w:pPr>
              <w:rPr>
                <w:sz w:val="22"/>
                <w:szCs w:val="22"/>
              </w:rPr>
            </w:pPr>
            <w:r>
              <w:rPr>
                <w:sz w:val="22"/>
                <w:szCs w:val="22"/>
              </w:rPr>
              <w:t>59</w:t>
            </w:r>
          </w:p>
        </w:tc>
        <w:tc>
          <w:tcPr>
            <w:tcW w:w="1125" w:type="dxa"/>
          </w:tcPr>
          <w:p w14:paraId="011B8406" w14:textId="727AE3B2" w:rsidR="00075373" w:rsidRPr="002834B0" w:rsidRDefault="00075373" w:rsidP="00075373">
            <w:pPr>
              <w:rPr>
                <w:sz w:val="22"/>
                <w:szCs w:val="22"/>
              </w:rPr>
            </w:pPr>
            <w:r>
              <w:rPr>
                <w:sz w:val="22"/>
                <w:szCs w:val="22"/>
              </w:rPr>
              <w:t>15-16</w:t>
            </w:r>
          </w:p>
        </w:tc>
        <w:tc>
          <w:tcPr>
            <w:tcW w:w="8145" w:type="dxa"/>
            <w:gridSpan w:val="2"/>
            <w:shd w:val="clear" w:color="auto" w:fill="auto"/>
          </w:tcPr>
          <w:p w14:paraId="17A484AB" w14:textId="5FEC33E8" w:rsidR="00075373" w:rsidRPr="002834B0" w:rsidRDefault="00075373" w:rsidP="00291C45">
            <w:pPr>
              <w:rPr>
                <w:sz w:val="22"/>
                <w:szCs w:val="22"/>
              </w:rPr>
            </w:pPr>
            <w:r w:rsidRPr="00291C45">
              <w:rPr>
                <w:sz w:val="22"/>
                <w:szCs w:val="22"/>
              </w:rPr>
              <w:t xml:space="preserve">” For example, a “risk assessment light” could be implemented for cases with </w:t>
            </w:r>
            <w:proofErr w:type="gramStart"/>
            <w:r w:rsidRPr="00291C45">
              <w:rPr>
                <w:sz w:val="22"/>
                <w:szCs w:val="22"/>
              </w:rPr>
              <w:t>minimal  changes</w:t>
            </w:r>
            <w:proofErr w:type="gramEnd"/>
            <w:r w:rsidRPr="00291C45">
              <w:rPr>
                <w:sz w:val="22"/>
                <w:szCs w:val="22"/>
              </w:rPr>
              <w:t xml:space="preserve"> and familiarity with the particular trait or plant of use (</w:t>
            </w:r>
            <w:proofErr w:type="spellStart"/>
            <w:r w:rsidRPr="00291C45">
              <w:rPr>
                <w:sz w:val="22"/>
                <w:szCs w:val="22"/>
              </w:rPr>
              <w:t>Eckerstorfer</w:t>
            </w:r>
            <w:proofErr w:type="spellEnd"/>
            <w:r w:rsidRPr="00291C45">
              <w:rPr>
                <w:sz w:val="22"/>
                <w:szCs w:val="22"/>
              </w:rPr>
              <w:t xml:space="preserve">, </w:t>
            </w:r>
            <w:proofErr w:type="spellStart"/>
            <w:r w:rsidRPr="00291C45">
              <w:rPr>
                <w:sz w:val="22"/>
                <w:szCs w:val="22"/>
              </w:rPr>
              <w:t>Dolezel</w:t>
            </w:r>
            <w:proofErr w:type="spellEnd"/>
            <w:r w:rsidRPr="00291C45">
              <w:rPr>
                <w:sz w:val="22"/>
                <w:szCs w:val="22"/>
              </w:rPr>
              <w:t xml:space="preserve">, et al., 2019;Schiemann </w:t>
            </w:r>
            <w:proofErr w:type="spellStart"/>
            <w:r w:rsidRPr="00291C45">
              <w:rPr>
                <w:sz w:val="22"/>
                <w:szCs w:val="22"/>
              </w:rPr>
              <w:t>etal</w:t>
            </w:r>
            <w:proofErr w:type="spellEnd"/>
            <w:r w:rsidRPr="00291C45">
              <w:rPr>
                <w:sz w:val="22"/>
                <w:szCs w:val="22"/>
              </w:rPr>
              <w:t>. “</w:t>
            </w:r>
            <w:r w:rsidR="00291C45">
              <w:rPr>
                <w:sz w:val="22"/>
                <w:szCs w:val="22"/>
              </w:rPr>
              <w:t xml:space="preserve"> I do not see this statement fully supported by </w:t>
            </w:r>
            <w:proofErr w:type="spellStart"/>
            <w:r w:rsidR="00291C45">
              <w:rPr>
                <w:sz w:val="22"/>
                <w:szCs w:val="22"/>
              </w:rPr>
              <w:t>Eckerstorfer</w:t>
            </w:r>
            <w:proofErr w:type="spellEnd"/>
            <w:r w:rsidR="00291C45">
              <w:rPr>
                <w:sz w:val="22"/>
                <w:szCs w:val="22"/>
              </w:rPr>
              <w:t xml:space="preserve"> et al 2019, as this publication rather intents to warn against assuming the safety of </w:t>
            </w:r>
            <w:proofErr w:type="spellStart"/>
            <w:r w:rsidR="00291C45">
              <w:rPr>
                <w:sz w:val="22"/>
                <w:szCs w:val="22"/>
              </w:rPr>
              <w:t>nGM</w:t>
            </w:r>
            <w:proofErr w:type="spellEnd"/>
            <w:r w:rsidR="00291C45">
              <w:rPr>
                <w:sz w:val="22"/>
                <w:szCs w:val="22"/>
              </w:rPr>
              <w:t xml:space="preserve"> plants without the appropriate data from a sound risk assessment. Please consider identifying a more appropriate reference.</w:t>
            </w:r>
          </w:p>
        </w:tc>
      </w:tr>
      <w:tr w:rsidR="00075373" w:rsidRPr="00AD22DE" w14:paraId="6A705346" w14:textId="77777777" w:rsidTr="00135D96">
        <w:trPr>
          <w:cantSplit/>
          <w:trHeight w:val="233"/>
        </w:trPr>
        <w:tc>
          <w:tcPr>
            <w:tcW w:w="918" w:type="dxa"/>
          </w:tcPr>
          <w:p w14:paraId="0AC1232F" w14:textId="723798B7" w:rsidR="00075373" w:rsidRPr="002834B0" w:rsidRDefault="00075373" w:rsidP="00075373">
            <w:pPr>
              <w:rPr>
                <w:sz w:val="22"/>
                <w:szCs w:val="22"/>
              </w:rPr>
            </w:pPr>
            <w:r>
              <w:rPr>
                <w:sz w:val="22"/>
                <w:szCs w:val="22"/>
              </w:rPr>
              <w:t>59</w:t>
            </w:r>
          </w:p>
        </w:tc>
        <w:tc>
          <w:tcPr>
            <w:tcW w:w="1125" w:type="dxa"/>
          </w:tcPr>
          <w:p w14:paraId="2E6F84D6" w14:textId="59EAA116" w:rsidR="00075373" w:rsidRPr="002834B0" w:rsidRDefault="00075373" w:rsidP="00075373">
            <w:pPr>
              <w:rPr>
                <w:sz w:val="22"/>
                <w:szCs w:val="22"/>
              </w:rPr>
            </w:pPr>
            <w:r>
              <w:rPr>
                <w:sz w:val="22"/>
                <w:szCs w:val="22"/>
              </w:rPr>
              <w:t>42</w:t>
            </w:r>
          </w:p>
        </w:tc>
        <w:tc>
          <w:tcPr>
            <w:tcW w:w="8145" w:type="dxa"/>
            <w:gridSpan w:val="2"/>
          </w:tcPr>
          <w:p w14:paraId="23560FCC" w14:textId="0FB72667" w:rsidR="00075373" w:rsidRDefault="00075373" w:rsidP="00075373">
            <w:pPr>
              <w:rPr>
                <w:sz w:val="22"/>
                <w:szCs w:val="22"/>
              </w:rPr>
            </w:pPr>
            <w:r>
              <w:rPr>
                <w:sz w:val="22"/>
                <w:szCs w:val="22"/>
              </w:rPr>
              <w:t xml:space="preserve">This section on animals would benefit from a view to the regulation in the US, where plants and animals are not regulated in an analogous way. The retention of transgenic DNA in genome edited cattle (Norris et al 2020) in this context is another example of why all genome edited LMOs require robust risk assessment </w:t>
            </w:r>
          </w:p>
          <w:p w14:paraId="0747D984" w14:textId="4923CFD7" w:rsidR="00075373" w:rsidRPr="002834B0" w:rsidRDefault="00075373" w:rsidP="00075373">
            <w:pPr>
              <w:rPr>
                <w:sz w:val="22"/>
                <w:szCs w:val="22"/>
              </w:rPr>
            </w:pPr>
            <w:r w:rsidRPr="00161EAF">
              <w:rPr>
                <w:sz w:val="18"/>
                <w:szCs w:val="22"/>
                <w:lang w:val="en-US"/>
              </w:rPr>
              <w:t xml:space="preserve">Norris, A.L., Lee, S.S., </w:t>
            </w:r>
            <w:proofErr w:type="spellStart"/>
            <w:r w:rsidRPr="00161EAF">
              <w:rPr>
                <w:sz w:val="18"/>
                <w:szCs w:val="22"/>
                <w:lang w:val="en-US"/>
              </w:rPr>
              <w:t>Greenlees</w:t>
            </w:r>
            <w:proofErr w:type="spellEnd"/>
            <w:r w:rsidRPr="00161EAF">
              <w:rPr>
                <w:sz w:val="18"/>
                <w:szCs w:val="22"/>
                <w:lang w:val="en-US"/>
              </w:rPr>
              <w:t xml:space="preserve">, K.J. et al. Template plasmid integration in germline genome-edited cattle. Nat </w:t>
            </w:r>
            <w:proofErr w:type="spellStart"/>
            <w:r w:rsidRPr="00161EAF">
              <w:rPr>
                <w:sz w:val="18"/>
                <w:szCs w:val="22"/>
                <w:lang w:val="en-US"/>
              </w:rPr>
              <w:t>Biotechnol</w:t>
            </w:r>
            <w:proofErr w:type="spellEnd"/>
            <w:r w:rsidRPr="00161EAF">
              <w:rPr>
                <w:sz w:val="18"/>
                <w:szCs w:val="22"/>
                <w:lang w:val="en-US"/>
              </w:rPr>
              <w:t xml:space="preserve"> 38, 163–164 (2020). https://doi.org/10.1038/s41587-019-0394-6</w:t>
            </w:r>
          </w:p>
        </w:tc>
      </w:tr>
      <w:tr w:rsidR="00075373" w:rsidRPr="00AD22DE" w14:paraId="4F68506A" w14:textId="77777777" w:rsidTr="00135D96">
        <w:trPr>
          <w:cantSplit/>
          <w:trHeight w:val="233"/>
        </w:trPr>
        <w:tc>
          <w:tcPr>
            <w:tcW w:w="918" w:type="dxa"/>
          </w:tcPr>
          <w:p w14:paraId="33E6E296" w14:textId="6FE1DB68" w:rsidR="00075373" w:rsidRPr="002834B0" w:rsidRDefault="00075373" w:rsidP="00075373">
            <w:pPr>
              <w:rPr>
                <w:sz w:val="22"/>
                <w:szCs w:val="22"/>
              </w:rPr>
            </w:pPr>
            <w:r>
              <w:rPr>
                <w:sz w:val="22"/>
                <w:szCs w:val="22"/>
              </w:rPr>
              <w:t>61</w:t>
            </w:r>
          </w:p>
        </w:tc>
        <w:tc>
          <w:tcPr>
            <w:tcW w:w="1125" w:type="dxa"/>
          </w:tcPr>
          <w:p w14:paraId="3B8F5CA6" w14:textId="343816FE" w:rsidR="00075373" w:rsidRPr="002834B0" w:rsidRDefault="00075373" w:rsidP="00075373">
            <w:pPr>
              <w:rPr>
                <w:sz w:val="22"/>
                <w:szCs w:val="22"/>
              </w:rPr>
            </w:pPr>
            <w:r>
              <w:rPr>
                <w:sz w:val="22"/>
                <w:szCs w:val="22"/>
              </w:rPr>
              <w:t>7</w:t>
            </w:r>
          </w:p>
        </w:tc>
        <w:tc>
          <w:tcPr>
            <w:tcW w:w="8145" w:type="dxa"/>
            <w:gridSpan w:val="2"/>
          </w:tcPr>
          <w:p w14:paraId="05E22313" w14:textId="27778056" w:rsidR="00075373" w:rsidRPr="00F150A4" w:rsidRDefault="00075373" w:rsidP="00075373">
            <w:pPr>
              <w:rPr>
                <w:sz w:val="22"/>
                <w:szCs w:val="22"/>
                <w:lang w:val="en-US"/>
              </w:rPr>
            </w:pPr>
            <w:r w:rsidRPr="00F150A4">
              <w:rPr>
                <w:sz w:val="22"/>
                <w:szCs w:val="22"/>
                <w:lang w:val="en-US"/>
              </w:rPr>
              <w:t>Please consider to delete „if deemed to be relevant</w:t>
            </w:r>
            <w:proofErr w:type="gramStart"/>
            <w:r w:rsidRPr="00F150A4">
              <w:rPr>
                <w:sz w:val="22"/>
                <w:szCs w:val="22"/>
                <w:lang w:val="en-US"/>
              </w:rPr>
              <w:t>“</w:t>
            </w:r>
            <w:r>
              <w:rPr>
                <w:sz w:val="22"/>
                <w:szCs w:val="22"/>
                <w:lang w:val="en-US"/>
              </w:rPr>
              <w:t xml:space="preserve"> as</w:t>
            </w:r>
            <w:proofErr w:type="gramEnd"/>
            <w:r>
              <w:rPr>
                <w:sz w:val="22"/>
                <w:szCs w:val="22"/>
                <w:lang w:val="en-US"/>
              </w:rPr>
              <w:t xml:space="preserve"> issues concerning the stability of formulated RNA or the lack of reference genomes for bioinformatics off-target research are most likely of high relevance for biosafety assessment.</w:t>
            </w:r>
          </w:p>
        </w:tc>
      </w:tr>
      <w:tr w:rsidR="00075373" w:rsidRPr="00AD22DE" w14:paraId="428A95A4" w14:textId="77777777" w:rsidTr="00135D96">
        <w:trPr>
          <w:cantSplit/>
          <w:trHeight w:val="233"/>
        </w:trPr>
        <w:tc>
          <w:tcPr>
            <w:tcW w:w="918" w:type="dxa"/>
          </w:tcPr>
          <w:p w14:paraId="67F98BE5" w14:textId="599B7E75" w:rsidR="00075373" w:rsidRPr="00D73109" w:rsidRDefault="00075373" w:rsidP="00075373">
            <w:pPr>
              <w:rPr>
                <w:sz w:val="22"/>
                <w:szCs w:val="22"/>
              </w:rPr>
            </w:pPr>
            <w:r>
              <w:rPr>
                <w:sz w:val="22"/>
                <w:szCs w:val="22"/>
              </w:rPr>
              <w:t>65</w:t>
            </w:r>
          </w:p>
        </w:tc>
        <w:tc>
          <w:tcPr>
            <w:tcW w:w="1125" w:type="dxa"/>
          </w:tcPr>
          <w:p w14:paraId="6B78C7D9" w14:textId="215B432D" w:rsidR="00075373" w:rsidRPr="00CB183B" w:rsidRDefault="00075373" w:rsidP="00075373">
            <w:pPr>
              <w:rPr>
                <w:sz w:val="22"/>
                <w:szCs w:val="22"/>
                <w:highlight w:val="yellow"/>
              </w:rPr>
            </w:pPr>
            <w:r w:rsidRPr="00D0718F">
              <w:rPr>
                <w:sz w:val="22"/>
                <w:szCs w:val="22"/>
              </w:rPr>
              <w:t>36-37</w:t>
            </w:r>
          </w:p>
        </w:tc>
        <w:tc>
          <w:tcPr>
            <w:tcW w:w="8145" w:type="dxa"/>
            <w:gridSpan w:val="2"/>
          </w:tcPr>
          <w:p w14:paraId="1397D31C" w14:textId="2AC66FD3" w:rsidR="00075373" w:rsidRPr="00E93A58" w:rsidRDefault="00075373" w:rsidP="00AB3148">
            <w:pPr>
              <w:rPr>
                <w:sz w:val="22"/>
                <w:szCs w:val="22"/>
              </w:rPr>
            </w:pPr>
            <w:r>
              <w:rPr>
                <w:sz w:val="22"/>
                <w:szCs w:val="22"/>
              </w:rPr>
              <w:t>It should state “potential benefits”. Also it should be made clear that this is explicitly not in the scope of CBD.</w:t>
            </w:r>
          </w:p>
        </w:tc>
      </w:tr>
      <w:tr w:rsidR="00075373" w:rsidRPr="00AD22DE" w14:paraId="33D9E7F6" w14:textId="77777777" w:rsidTr="00135D96">
        <w:trPr>
          <w:cantSplit/>
          <w:trHeight w:val="233"/>
        </w:trPr>
        <w:tc>
          <w:tcPr>
            <w:tcW w:w="918" w:type="dxa"/>
          </w:tcPr>
          <w:p w14:paraId="4958AD7A" w14:textId="49A48895" w:rsidR="00075373" w:rsidRPr="00D73109" w:rsidRDefault="00075373" w:rsidP="00075373">
            <w:pPr>
              <w:rPr>
                <w:sz w:val="22"/>
                <w:szCs w:val="22"/>
              </w:rPr>
            </w:pPr>
            <w:r>
              <w:rPr>
                <w:sz w:val="22"/>
                <w:szCs w:val="22"/>
              </w:rPr>
              <w:t>67</w:t>
            </w:r>
          </w:p>
        </w:tc>
        <w:tc>
          <w:tcPr>
            <w:tcW w:w="1125" w:type="dxa"/>
          </w:tcPr>
          <w:p w14:paraId="6A040007" w14:textId="48188928" w:rsidR="00075373" w:rsidRPr="0032717B" w:rsidRDefault="00075373" w:rsidP="00075373">
            <w:pPr>
              <w:rPr>
                <w:sz w:val="22"/>
                <w:szCs w:val="22"/>
              </w:rPr>
            </w:pPr>
            <w:r w:rsidRPr="0032717B">
              <w:rPr>
                <w:sz w:val="22"/>
                <w:szCs w:val="22"/>
              </w:rPr>
              <w:t>36-38</w:t>
            </w:r>
          </w:p>
        </w:tc>
        <w:tc>
          <w:tcPr>
            <w:tcW w:w="8145" w:type="dxa"/>
            <w:gridSpan w:val="2"/>
          </w:tcPr>
          <w:p w14:paraId="3681FD29" w14:textId="4B16E28E" w:rsidR="00075373" w:rsidRPr="00E93A58" w:rsidRDefault="00075373" w:rsidP="00816C40">
            <w:pPr>
              <w:rPr>
                <w:sz w:val="22"/>
                <w:szCs w:val="22"/>
              </w:rPr>
            </w:pPr>
            <w:r w:rsidRPr="00816C40">
              <w:rPr>
                <w:sz w:val="22"/>
                <w:szCs w:val="22"/>
              </w:rPr>
              <w:t>“</w:t>
            </w:r>
            <w:proofErr w:type="gramStart"/>
            <w:r w:rsidRPr="00816C40">
              <w:rPr>
                <w:sz w:val="22"/>
                <w:szCs w:val="22"/>
              </w:rPr>
              <w:t>others</w:t>
            </w:r>
            <w:proofErr w:type="gramEnd"/>
            <w:r w:rsidRPr="00816C40">
              <w:rPr>
                <w:sz w:val="22"/>
                <w:szCs w:val="22"/>
              </w:rPr>
              <w:t xml:space="preserve"> emphasise the potential benefits of gene drive applications and encourage further development and continued laboratory research (</w:t>
            </w:r>
            <w:proofErr w:type="spellStart"/>
            <w:r w:rsidRPr="00816C40">
              <w:rPr>
                <w:sz w:val="22"/>
                <w:szCs w:val="22"/>
              </w:rPr>
              <w:t>Dolezel</w:t>
            </w:r>
            <w:proofErr w:type="spellEnd"/>
            <w:r w:rsidRPr="00816C40">
              <w:rPr>
                <w:sz w:val="22"/>
                <w:szCs w:val="22"/>
              </w:rPr>
              <w:t xml:space="preserve"> et al., 2020).”</w:t>
            </w:r>
            <w:r w:rsidR="00816C40">
              <w:rPr>
                <w:sz w:val="22"/>
                <w:szCs w:val="22"/>
              </w:rPr>
              <w:t xml:space="preserve"> This statement is a direct quote from the report. In the way the sentence is written here, it suggests the authors of </w:t>
            </w:r>
            <w:proofErr w:type="spellStart"/>
            <w:r w:rsidR="00816C40">
              <w:rPr>
                <w:sz w:val="22"/>
                <w:szCs w:val="22"/>
              </w:rPr>
              <w:t>Dolezel</w:t>
            </w:r>
            <w:proofErr w:type="spellEnd"/>
            <w:r w:rsidR="00816C40">
              <w:rPr>
                <w:sz w:val="22"/>
                <w:szCs w:val="22"/>
              </w:rPr>
              <w:t xml:space="preserve"> et al. (2020) are “others” and of this opinion, which is not the case. Consider identifying a direct source for the statement or at least mark the sentence with quotation marks for good scientific practice.</w:t>
            </w:r>
          </w:p>
        </w:tc>
      </w:tr>
      <w:tr w:rsidR="00075373" w:rsidRPr="00AD22DE" w14:paraId="73507B82" w14:textId="77777777" w:rsidTr="00135D96">
        <w:trPr>
          <w:cantSplit/>
          <w:trHeight w:val="233"/>
        </w:trPr>
        <w:tc>
          <w:tcPr>
            <w:tcW w:w="918" w:type="dxa"/>
          </w:tcPr>
          <w:p w14:paraId="4A6370B2" w14:textId="719F1C44" w:rsidR="00075373" w:rsidRPr="00CB183B" w:rsidRDefault="00075373" w:rsidP="00075373">
            <w:pPr>
              <w:rPr>
                <w:sz w:val="22"/>
                <w:szCs w:val="22"/>
                <w:highlight w:val="yellow"/>
              </w:rPr>
            </w:pPr>
            <w:r w:rsidRPr="00D73109">
              <w:rPr>
                <w:sz w:val="22"/>
                <w:szCs w:val="22"/>
              </w:rPr>
              <w:t>67 f.</w:t>
            </w:r>
          </w:p>
        </w:tc>
        <w:tc>
          <w:tcPr>
            <w:tcW w:w="1125" w:type="dxa"/>
          </w:tcPr>
          <w:p w14:paraId="63E74556" w14:textId="77777777" w:rsidR="00075373" w:rsidRPr="00CB183B" w:rsidRDefault="00075373" w:rsidP="00075373">
            <w:pPr>
              <w:rPr>
                <w:sz w:val="22"/>
                <w:szCs w:val="22"/>
                <w:highlight w:val="yellow"/>
              </w:rPr>
            </w:pPr>
          </w:p>
        </w:tc>
        <w:tc>
          <w:tcPr>
            <w:tcW w:w="8145" w:type="dxa"/>
            <w:gridSpan w:val="2"/>
          </w:tcPr>
          <w:p w14:paraId="396C85E8" w14:textId="2C072C51" w:rsidR="00075373" w:rsidRDefault="00075373" w:rsidP="00075373">
            <w:pPr>
              <w:rPr>
                <w:sz w:val="22"/>
                <w:szCs w:val="22"/>
              </w:rPr>
            </w:pPr>
            <w:r w:rsidRPr="00E93A58">
              <w:rPr>
                <w:sz w:val="22"/>
                <w:szCs w:val="22"/>
              </w:rPr>
              <w:t>This section</w:t>
            </w:r>
            <w:r w:rsidR="00056ECF">
              <w:rPr>
                <w:sz w:val="22"/>
                <w:szCs w:val="22"/>
              </w:rPr>
              <w:t xml:space="preserve"> c</w:t>
            </w:r>
            <w:r w:rsidRPr="00E93A58">
              <w:rPr>
                <w:sz w:val="22"/>
                <w:szCs w:val="22"/>
              </w:rPr>
              <w:t>ould additionally discuss which regulatory classif</w:t>
            </w:r>
            <w:r>
              <w:rPr>
                <w:sz w:val="22"/>
                <w:szCs w:val="22"/>
              </w:rPr>
              <w:t>ications may be relevant to e</w:t>
            </w:r>
            <w:r w:rsidRPr="00C439B3">
              <w:rPr>
                <w:sz w:val="22"/>
                <w:szCs w:val="22"/>
              </w:rPr>
              <w:t>p</w:t>
            </w:r>
            <w:r>
              <w:rPr>
                <w:sz w:val="22"/>
                <w:szCs w:val="22"/>
              </w:rPr>
              <w:t>igenetically modified organisms. These</w:t>
            </w:r>
            <w:r w:rsidRPr="00C439B3">
              <w:rPr>
                <w:sz w:val="22"/>
                <w:szCs w:val="22"/>
              </w:rPr>
              <w:t xml:space="preserve"> may arise intentionally </w:t>
            </w:r>
            <w:r>
              <w:rPr>
                <w:sz w:val="22"/>
                <w:szCs w:val="22"/>
              </w:rPr>
              <w:t xml:space="preserve">(e.g. by </w:t>
            </w:r>
            <w:proofErr w:type="spellStart"/>
            <w:r>
              <w:rPr>
                <w:sz w:val="22"/>
                <w:szCs w:val="22"/>
              </w:rPr>
              <w:t>RdDm</w:t>
            </w:r>
            <w:proofErr w:type="spellEnd"/>
            <w:r>
              <w:rPr>
                <w:sz w:val="22"/>
                <w:szCs w:val="22"/>
              </w:rPr>
              <w:t xml:space="preserve">) </w:t>
            </w:r>
            <w:r w:rsidRPr="00C439B3">
              <w:rPr>
                <w:sz w:val="22"/>
                <w:szCs w:val="22"/>
              </w:rPr>
              <w:t>or unintenti</w:t>
            </w:r>
            <w:r>
              <w:rPr>
                <w:sz w:val="22"/>
                <w:szCs w:val="22"/>
              </w:rPr>
              <w:t>onally from the application of RNAi techniques (</w:t>
            </w:r>
            <w:proofErr w:type="spellStart"/>
            <w:r>
              <w:rPr>
                <w:sz w:val="22"/>
                <w:szCs w:val="22"/>
              </w:rPr>
              <w:t>Dalakouras</w:t>
            </w:r>
            <w:proofErr w:type="spellEnd"/>
            <w:r>
              <w:rPr>
                <w:sz w:val="22"/>
                <w:szCs w:val="22"/>
              </w:rPr>
              <w:t xml:space="preserve"> and </w:t>
            </w:r>
            <w:proofErr w:type="spellStart"/>
            <w:r>
              <w:rPr>
                <w:sz w:val="22"/>
                <w:szCs w:val="22"/>
              </w:rPr>
              <w:t>Papadopoulou</w:t>
            </w:r>
            <w:proofErr w:type="spellEnd"/>
            <w:r>
              <w:rPr>
                <w:sz w:val="22"/>
                <w:szCs w:val="22"/>
              </w:rPr>
              <w:t>, 2020).</w:t>
            </w:r>
          </w:p>
          <w:p w14:paraId="3A5BEAEE" w14:textId="19BCB1A5" w:rsidR="00075373" w:rsidRDefault="00075373" w:rsidP="00AB3148">
            <w:pPr>
              <w:rPr>
                <w:sz w:val="22"/>
                <w:szCs w:val="22"/>
                <w:highlight w:val="yellow"/>
              </w:rPr>
            </w:pPr>
            <w:proofErr w:type="spellStart"/>
            <w:r w:rsidRPr="00C439B3">
              <w:rPr>
                <w:sz w:val="18"/>
                <w:szCs w:val="22"/>
                <w:lang w:val="en-US"/>
              </w:rPr>
              <w:t>Dalakouras</w:t>
            </w:r>
            <w:proofErr w:type="spellEnd"/>
            <w:r w:rsidRPr="00C439B3">
              <w:rPr>
                <w:sz w:val="18"/>
                <w:szCs w:val="22"/>
                <w:lang w:val="en-US"/>
              </w:rPr>
              <w:t xml:space="preserve">, Athanasios; </w:t>
            </w:r>
            <w:proofErr w:type="spellStart"/>
            <w:r w:rsidRPr="00C439B3">
              <w:rPr>
                <w:sz w:val="18"/>
                <w:szCs w:val="22"/>
                <w:lang w:val="en-US"/>
              </w:rPr>
              <w:t>Papadopoulou</w:t>
            </w:r>
            <w:proofErr w:type="spellEnd"/>
            <w:r w:rsidRPr="00C439B3">
              <w:rPr>
                <w:sz w:val="18"/>
                <w:szCs w:val="22"/>
                <w:lang w:val="en-US"/>
              </w:rPr>
              <w:t xml:space="preserve">, </w:t>
            </w:r>
            <w:proofErr w:type="spellStart"/>
            <w:r w:rsidRPr="00C439B3">
              <w:rPr>
                <w:sz w:val="18"/>
                <w:szCs w:val="22"/>
                <w:lang w:val="en-US"/>
              </w:rPr>
              <w:t>Kalliope</w:t>
            </w:r>
            <w:proofErr w:type="spellEnd"/>
            <w:r w:rsidRPr="00C439B3">
              <w:rPr>
                <w:sz w:val="18"/>
                <w:szCs w:val="22"/>
                <w:lang w:val="en-US"/>
              </w:rPr>
              <w:t xml:space="preserve"> K. (2020): Epigenetic Modifications: An Unexplored Facet of Exogenous RNA Application in Plants. </w:t>
            </w:r>
            <w:r w:rsidRPr="00E93A58">
              <w:rPr>
                <w:sz w:val="18"/>
                <w:szCs w:val="22"/>
                <w:lang w:val="en-US"/>
              </w:rPr>
              <w:t xml:space="preserve">In: </w:t>
            </w:r>
            <w:r w:rsidRPr="00E93A58">
              <w:rPr>
                <w:i/>
                <w:iCs/>
                <w:sz w:val="18"/>
                <w:szCs w:val="22"/>
                <w:lang w:val="en-US"/>
              </w:rPr>
              <w:t xml:space="preserve">Plants (Basel, Switzerland) </w:t>
            </w:r>
            <w:r w:rsidRPr="00E93A58">
              <w:rPr>
                <w:sz w:val="18"/>
                <w:szCs w:val="22"/>
                <w:lang w:val="en-US"/>
              </w:rPr>
              <w:t>9 (6). DOI: 10.3390/plants9060673.</w:t>
            </w:r>
          </w:p>
        </w:tc>
      </w:tr>
      <w:tr w:rsidR="00075373" w:rsidRPr="00AD22DE" w14:paraId="1D3B2332" w14:textId="77777777" w:rsidTr="00135D96">
        <w:trPr>
          <w:cantSplit/>
          <w:trHeight w:val="233"/>
        </w:trPr>
        <w:tc>
          <w:tcPr>
            <w:tcW w:w="918" w:type="dxa"/>
          </w:tcPr>
          <w:p w14:paraId="4A6BE490" w14:textId="1359E3CF" w:rsidR="00075373" w:rsidRPr="00A422EA" w:rsidRDefault="00075373" w:rsidP="00075373">
            <w:pPr>
              <w:rPr>
                <w:sz w:val="22"/>
                <w:szCs w:val="22"/>
              </w:rPr>
            </w:pPr>
            <w:r w:rsidRPr="00A422EA">
              <w:rPr>
                <w:sz w:val="22"/>
                <w:szCs w:val="22"/>
              </w:rPr>
              <w:t>68</w:t>
            </w:r>
          </w:p>
        </w:tc>
        <w:tc>
          <w:tcPr>
            <w:tcW w:w="1125" w:type="dxa"/>
          </w:tcPr>
          <w:p w14:paraId="282C563C" w14:textId="20276F64" w:rsidR="00075373" w:rsidRPr="00A422EA" w:rsidRDefault="00075373" w:rsidP="00075373">
            <w:pPr>
              <w:rPr>
                <w:sz w:val="22"/>
                <w:szCs w:val="22"/>
              </w:rPr>
            </w:pPr>
            <w:r>
              <w:rPr>
                <w:sz w:val="22"/>
                <w:szCs w:val="22"/>
              </w:rPr>
              <w:t>12</w:t>
            </w:r>
          </w:p>
        </w:tc>
        <w:tc>
          <w:tcPr>
            <w:tcW w:w="8145" w:type="dxa"/>
            <w:gridSpan w:val="2"/>
          </w:tcPr>
          <w:p w14:paraId="47F5012E" w14:textId="65572E89" w:rsidR="00075373" w:rsidRPr="00A422EA" w:rsidRDefault="00056ECF" w:rsidP="00075373">
            <w:pPr>
              <w:rPr>
                <w:sz w:val="22"/>
                <w:szCs w:val="22"/>
              </w:rPr>
            </w:pPr>
            <w:r>
              <w:rPr>
                <w:sz w:val="22"/>
                <w:szCs w:val="22"/>
              </w:rPr>
              <w:t>Delete one</w:t>
            </w:r>
            <w:r w:rsidR="00075373">
              <w:rPr>
                <w:sz w:val="22"/>
                <w:szCs w:val="22"/>
              </w:rPr>
              <w:t xml:space="preserve"> “that”</w:t>
            </w:r>
          </w:p>
        </w:tc>
      </w:tr>
      <w:tr w:rsidR="00431665" w:rsidRPr="00C658CD" w14:paraId="37F85B7C" w14:textId="77777777" w:rsidTr="00431665">
        <w:trPr>
          <w:cantSplit/>
          <w:trHeight w:val="642"/>
        </w:trPr>
        <w:tc>
          <w:tcPr>
            <w:tcW w:w="918" w:type="dxa"/>
          </w:tcPr>
          <w:p w14:paraId="68E0318C" w14:textId="4DDA7113" w:rsidR="00431665" w:rsidRDefault="00431665" w:rsidP="00075373">
            <w:pPr>
              <w:rPr>
                <w:sz w:val="22"/>
                <w:szCs w:val="22"/>
              </w:rPr>
            </w:pPr>
            <w:r>
              <w:rPr>
                <w:sz w:val="22"/>
                <w:szCs w:val="22"/>
              </w:rPr>
              <w:t>127</w:t>
            </w:r>
          </w:p>
        </w:tc>
        <w:tc>
          <w:tcPr>
            <w:tcW w:w="1125" w:type="dxa"/>
          </w:tcPr>
          <w:p w14:paraId="7BD9AF68" w14:textId="5030B540" w:rsidR="00431665" w:rsidRDefault="00431665" w:rsidP="00075373">
            <w:pPr>
              <w:rPr>
                <w:sz w:val="22"/>
                <w:szCs w:val="22"/>
              </w:rPr>
            </w:pPr>
            <w:r>
              <w:rPr>
                <w:sz w:val="22"/>
                <w:szCs w:val="22"/>
              </w:rPr>
              <w:t>39-41</w:t>
            </w:r>
          </w:p>
        </w:tc>
        <w:tc>
          <w:tcPr>
            <w:tcW w:w="8145" w:type="dxa"/>
            <w:gridSpan w:val="2"/>
            <w:shd w:val="clear" w:color="auto" w:fill="auto"/>
          </w:tcPr>
          <w:p w14:paraId="692B2A08" w14:textId="04D3E0DA" w:rsidR="00431665" w:rsidRPr="00431665" w:rsidRDefault="00431665" w:rsidP="00431665">
            <w:pPr>
              <w:rPr>
                <w:sz w:val="22"/>
                <w:szCs w:val="22"/>
                <w:highlight w:val="yellow"/>
              </w:rPr>
            </w:pPr>
            <w:r w:rsidRPr="00431665">
              <w:rPr>
                <w:sz w:val="22"/>
                <w:szCs w:val="22"/>
              </w:rPr>
              <w:t>It should be clearly stated here that self-regulation cannot be the key to appropriate international regulation and governance of synthetic biology. This is the task of national and international regulatory bodies and not the synthetic biology community.</w:t>
            </w:r>
          </w:p>
        </w:tc>
      </w:tr>
      <w:tr w:rsidR="00D32196" w:rsidRPr="00C658CD" w14:paraId="2E56C8FA" w14:textId="77777777" w:rsidTr="004546EB">
        <w:trPr>
          <w:cantSplit/>
          <w:trHeight w:val="233"/>
        </w:trPr>
        <w:tc>
          <w:tcPr>
            <w:tcW w:w="918" w:type="dxa"/>
          </w:tcPr>
          <w:p w14:paraId="5D2BA545" w14:textId="5A52311B" w:rsidR="00D32196" w:rsidRDefault="004546EB" w:rsidP="00075373">
            <w:pPr>
              <w:rPr>
                <w:sz w:val="22"/>
                <w:szCs w:val="22"/>
              </w:rPr>
            </w:pPr>
            <w:r>
              <w:rPr>
                <w:sz w:val="22"/>
                <w:szCs w:val="22"/>
              </w:rPr>
              <w:lastRenderedPageBreak/>
              <w:t>132</w:t>
            </w:r>
          </w:p>
        </w:tc>
        <w:tc>
          <w:tcPr>
            <w:tcW w:w="1125" w:type="dxa"/>
          </w:tcPr>
          <w:p w14:paraId="6E70389B" w14:textId="1E32CED3" w:rsidR="00D32196" w:rsidRDefault="004546EB" w:rsidP="00075373">
            <w:pPr>
              <w:rPr>
                <w:sz w:val="22"/>
                <w:szCs w:val="22"/>
              </w:rPr>
            </w:pPr>
            <w:r>
              <w:rPr>
                <w:sz w:val="22"/>
                <w:szCs w:val="22"/>
              </w:rPr>
              <w:t>27</w:t>
            </w:r>
          </w:p>
        </w:tc>
        <w:tc>
          <w:tcPr>
            <w:tcW w:w="8145" w:type="dxa"/>
            <w:gridSpan w:val="2"/>
            <w:shd w:val="clear" w:color="auto" w:fill="auto"/>
          </w:tcPr>
          <w:p w14:paraId="62388BC4" w14:textId="6B31AEAB" w:rsidR="00D32196" w:rsidRPr="004546EB" w:rsidRDefault="004546EB" w:rsidP="00075373">
            <w:pPr>
              <w:rPr>
                <w:sz w:val="22"/>
                <w:szCs w:val="22"/>
              </w:rPr>
            </w:pPr>
            <w:r w:rsidRPr="004546EB">
              <w:rPr>
                <w:sz w:val="22"/>
                <w:szCs w:val="22"/>
              </w:rPr>
              <w:t>It should state “living modified organisms containing engineered gene drives”</w:t>
            </w:r>
          </w:p>
        </w:tc>
      </w:tr>
      <w:tr w:rsidR="004546EB" w:rsidRPr="00C658CD" w14:paraId="563F4A42" w14:textId="77777777" w:rsidTr="004546EB">
        <w:trPr>
          <w:cantSplit/>
          <w:trHeight w:val="233"/>
        </w:trPr>
        <w:tc>
          <w:tcPr>
            <w:tcW w:w="918" w:type="dxa"/>
          </w:tcPr>
          <w:p w14:paraId="3984459C" w14:textId="55109D58" w:rsidR="004546EB" w:rsidRDefault="004546EB" w:rsidP="00075373">
            <w:pPr>
              <w:rPr>
                <w:sz w:val="22"/>
                <w:szCs w:val="22"/>
              </w:rPr>
            </w:pPr>
            <w:r>
              <w:rPr>
                <w:sz w:val="22"/>
                <w:szCs w:val="22"/>
              </w:rPr>
              <w:t>133</w:t>
            </w:r>
          </w:p>
        </w:tc>
        <w:tc>
          <w:tcPr>
            <w:tcW w:w="1125" w:type="dxa"/>
          </w:tcPr>
          <w:p w14:paraId="226F45AB" w14:textId="79710ADD" w:rsidR="004546EB" w:rsidRDefault="004546EB" w:rsidP="00075373">
            <w:pPr>
              <w:rPr>
                <w:sz w:val="22"/>
                <w:szCs w:val="22"/>
              </w:rPr>
            </w:pPr>
            <w:r>
              <w:rPr>
                <w:sz w:val="22"/>
                <w:szCs w:val="22"/>
              </w:rPr>
              <w:t>28</w:t>
            </w:r>
          </w:p>
        </w:tc>
        <w:tc>
          <w:tcPr>
            <w:tcW w:w="8145" w:type="dxa"/>
            <w:gridSpan w:val="2"/>
            <w:shd w:val="clear" w:color="auto" w:fill="auto"/>
          </w:tcPr>
          <w:p w14:paraId="21D07C5A" w14:textId="759D6547" w:rsidR="004546EB" w:rsidRPr="004546EB" w:rsidRDefault="004546EB" w:rsidP="00075373">
            <w:pPr>
              <w:rPr>
                <w:sz w:val="22"/>
                <w:szCs w:val="22"/>
              </w:rPr>
            </w:pPr>
            <w:r>
              <w:rPr>
                <w:sz w:val="22"/>
                <w:szCs w:val="22"/>
              </w:rPr>
              <w:t xml:space="preserve">It might better read “the current potential inability to” </w:t>
            </w:r>
          </w:p>
        </w:tc>
      </w:tr>
      <w:tr w:rsidR="00075373" w:rsidRPr="00C658CD" w14:paraId="6817A6D0" w14:textId="77777777" w:rsidTr="00135D96">
        <w:trPr>
          <w:cantSplit/>
          <w:trHeight w:val="233"/>
        </w:trPr>
        <w:tc>
          <w:tcPr>
            <w:tcW w:w="918" w:type="dxa"/>
          </w:tcPr>
          <w:p w14:paraId="4455D7DB" w14:textId="09889B0D" w:rsidR="00075373" w:rsidRPr="00F86F63" w:rsidRDefault="00075373" w:rsidP="00075373">
            <w:pPr>
              <w:rPr>
                <w:sz w:val="22"/>
                <w:szCs w:val="22"/>
              </w:rPr>
            </w:pPr>
            <w:r>
              <w:rPr>
                <w:sz w:val="22"/>
                <w:szCs w:val="22"/>
              </w:rPr>
              <w:t>134</w:t>
            </w:r>
          </w:p>
        </w:tc>
        <w:tc>
          <w:tcPr>
            <w:tcW w:w="1125" w:type="dxa"/>
          </w:tcPr>
          <w:p w14:paraId="2C46BB89" w14:textId="229EE189" w:rsidR="00075373" w:rsidRPr="00F86F63" w:rsidRDefault="00075373" w:rsidP="00075373">
            <w:pPr>
              <w:rPr>
                <w:sz w:val="22"/>
                <w:szCs w:val="22"/>
              </w:rPr>
            </w:pPr>
            <w:r>
              <w:rPr>
                <w:sz w:val="22"/>
                <w:szCs w:val="22"/>
              </w:rPr>
              <w:t>29-33</w:t>
            </w:r>
          </w:p>
        </w:tc>
        <w:tc>
          <w:tcPr>
            <w:tcW w:w="8145" w:type="dxa"/>
            <w:gridSpan w:val="2"/>
          </w:tcPr>
          <w:p w14:paraId="2B1381DD" w14:textId="5E17E0CE" w:rsidR="00075373" w:rsidRPr="00AA3E04" w:rsidRDefault="00075373" w:rsidP="00075373">
            <w:pPr>
              <w:rPr>
                <w:sz w:val="22"/>
                <w:szCs w:val="22"/>
              </w:rPr>
            </w:pPr>
            <w:r w:rsidRPr="00AA3E04">
              <w:rPr>
                <w:sz w:val="22"/>
                <w:szCs w:val="22"/>
              </w:rPr>
              <w:t xml:space="preserve">It </w:t>
            </w:r>
            <w:r w:rsidR="00716FA1">
              <w:rPr>
                <w:sz w:val="22"/>
                <w:szCs w:val="22"/>
              </w:rPr>
              <w:t xml:space="preserve">has to </w:t>
            </w:r>
            <w:r w:rsidRPr="00AA3E04">
              <w:rPr>
                <w:sz w:val="22"/>
                <w:szCs w:val="22"/>
              </w:rPr>
              <w:t>be taken into account here that possible environmental risks are not side effects that could occur in parallel to a potential beneficial solution. Applications aiming at “</w:t>
            </w:r>
            <w:proofErr w:type="spellStart"/>
            <w:r w:rsidRPr="00AA3E04">
              <w:rPr>
                <w:sz w:val="22"/>
                <w:szCs w:val="22"/>
                <w:lang w:val="x-none"/>
              </w:rPr>
              <w:t>unprecedented</w:t>
            </w:r>
            <w:proofErr w:type="spellEnd"/>
            <w:r w:rsidRPr="00AA3E04">
              <w:rPr>
                <w:sz w:val="22"/>
                <w:szCs w:val="22"/>
                <w:lang w:val="x-none"/>
              </w:rPr>
              <w:t xml:space="preserve"> environmental </w:t>
            </w:r>
            <w:proofErr w:type="spellStart"/>
            <w:r w:rsidRPr="00AA3E04">
              <w:rPr>
                <w:sz w:val="22"/>
                <w:szCs w:val="22"/>
                <w:lang w:val="x-none"/>
              </w:rPr>
              <w:t>challenges</w:t>
            </w:r>
            <w:proofErr w:type="spellEnd"/>
            <w:proofErr w:type="gramStart"/>
            <w:r w:rsidRPr="00AA3E04">
              <w:rPr>
                <w:sz w:val="22"/>
                <w:szCs w:val="22"/>
                <w:lang w:val="en-US"/>
              </w:rPr>
              <w:t>“</w:t>
            </w:r>
            <w:r w:rsidR="00EE58E7">
              <w:rPr>
                <w:sz w:val="22"/>
                <w:szCs w:val="22"/>
                <w:lang w:val="en-US"/>
              </w:rPr>
              <w:t xml:space="preserve"> </w:t>
            </w:r>
            <w:r w:rsidRPr="00AA3E04">
              <w:rPr>
                <w:sz w:val="22"/>
                <w:szCs w:val="22"/>
              </w:rPr>
              <w:t>can</w:t>
            </w:r>
            <w:proofErr w:type="gramEnd"/>
            <w:r w:rsidRPr="00AA3E04">
              <w:rPr>
                <w:sz w:val="22"/>
                <w:szCs w:val="22"/>
              </w:rPr>
              <w:t xml:space="preserve"> only have benefits if adverse effects on the environment can be ruled out in advance. For most applications data on actual benefits and their actual (positive or negative) impact on environment </w:t>
            </w:r>
            <w:proofErr w:type="gramStart"/>
            <w:r w:rsidRPr="00AA3E04">
              <w:rPr>
                <w:sz w:val="22"/>
                <w:szCs w:val="22"/>
              </w:rPr>
              <w:t>is</w:t>
            </w:r>
            <w:proofErr w:type="gramEnd"/>
            <w:r w:rsidRPr="00AA3E04">
              <w:rPr>
                <w:sz w:val="22"/>
                <w:szCs w:val="22"/>
              </w:rPr>
              <w:t xml:space="preserve"> still incomplete.</w:t>
            </w:r>
          </w:p>
          <w:p w14:paraId="30953B7B" w14:textId="40DAC439" w:rsidR="00075373" w:rsidRPr="00AA3E04" w:rsidRDefault="00075373" w:rsidP="00075373">
            <w:pPr>
              <w:rPr>
                <w:sz w:val="22"/>
                <w:szCs w:val="22"/>
                <w:lang w:val="en-US"/>
              </w:rPr>
            </w:pPr>
            <w:r w:rsidRPr="00AA3E04">
              <w:rPr>
                <w:sz w:val="22"/>
                <w:szCs w:val="22"/>
              </w:rPr>
              <w:t xml:space="preserve"> Please consider to exchange “</w:t>
            </w:r>
            <w:proofErr w:type="spellStart"/>
            <w:r w:rsidRPr="00AA3E04">
              <w:rPr>
                <w:sz w:val="22"/>
                <w:szCs w:val="22"/>
                <w:lang w:val="x-none"/>
              </w:rPr>
              <w:t>Despite</w:t>
            </w:r>
            <w:proofErr w:type="spellEnd"/>
            <w:r w:rsidRPr="00AA3E04">
              <w:rPr>
                <w:sz w:val="22"/>
                <w:szCs w:val="22"/>
                <w:lang w:val="x-none"/>
              </w:rPr>
              <w:t xml:space="preserve"> </w:t>
            </w:r>
            <w:proofErr w:type="spellStart"/>
            <w:r w:rsidRPr="00AA3E04">
              <w:rPr>
                <w:sz w:val="22"/>
                <w:szCs w:val="22"/>
                <w:lang w:val="x-none"/>
              </w:rPr>
              <w:t>its</w:t>
            </w:r>
            <w:proofErr w:type="spellEnd"/>
            <w:r w:rsidRPr="00AA3E04">
              <w:rPr>
                <w:sz w:val="22"/>
                <w:szCs w:val="22"/>
                <w:lang w:val="x-none"/>
              </w:rPr>
              <w:t xml:space="preserve"> potential </w:t>
            </w:r>
            <w:proofErr w:type="spellStart"/>
            <w:r w:rsidRPr="00AA3E04">
              <w:rPr>
                <w:sz w:val="22"/>
                <w:szCs w:val="22"/>
                <w:lang w:val="x-none"/>
              </w:rPr>
              <w:t>benefits</w:t>
            </w:r>
            <w:proofErr w:type="spellEnd"/>
            <w:proofErr w:type="gramStart"/>
            <w:r w:rsidRPr="00AA3E04">
              <w:rPr>
                <w:sz w:val="22"/>
                <w:szCs w:val="22"/>
                <w:lang w:val="en-US"/>
              </w:rPr>
              <w:t>“ for</w:t>
            </w:r>
            <w:proofErr w:type="gramEnd"/>
            <w:r w:rsidRPr="00AA3E04">
              <w:rPr>
                <w:sz w:val="22"/>
                <w:szCs w:val="22"/>
                <w:lang w:val="en-US"/>
              </w:rPr>
              <w:t xml:space="preserve"> „However actual benefits are yet mostly unclear and”</w:t>
            </w:r>
            <w:r w:rsidR="00AA3E04">
              <w:rPr>
                <w:sz w:val="22"/>
                <w:szCs w:val="22"/>
                <w:lang w:val="en-US"/>
              </w:rPr>
              <w:t>.</w:t>
            </w:r>
            <w:r w:rsidR="00AA3E04" w:rsidRPr="00AA3E04">
              <w:rPr>
                <w:sz w:val="22"/>
                <w:szCs w:val="22"/>
              </w:rPr>
              <w:t xml:space="preserve"> In order to</w:t>
            </w:r>
            <w:r w:rsidR="00AA3E04">
              <w:rPr>
                <w:sz w:val="22"/>
                <w:szCs w:val="22"/>
              </w:rPr>
              <w:t xml:space="preserve"> clearly</w:t>
            </w:r>
            <w:r w:rsidR="00AA3E04" w:rsidRPr="00AA3E04">
              <w:rPr>
                <w:sz w:val="22"/>
                <w:szCs w:val="22"/>
              </w:rPr>
              <w:t xml:space="preserve"> catch its intention line 31 should</w:t>
            </w:r>
            <w:r w:rsidR="00AA3E04">
              <w:rPr>
                <w:sz w:val="22"/>
                <w:szCs w:val="22"/>
              </w:rPr>
              <w:t xml:space="preserve"> also</w:t>
            </w:r>
            <w:r w:rsidR="00AA3E04" w:rsidRPr="00AA3E04">
              <w:rPr>
                <w:sz w:val="22"/>
                <w:szCs w:val="22"/>
              </w:rPr>
              <w:t xml:space="preserve"> read: “significant negative impacts”</w:t>
            </w:r>
          </w:p>
        </w:tc>
      </w:tr>
      <w:tr w:rsidR="00194D2F" w:rsidRPr="00C658CD" w14:paraId="0186D4FE" w14:textId="77777777" w:rsidTr="00135D96">
        <w:trPr>
          <w:cantSplit/>
          <w:trHeight w:val="233"/>
        </w:trPr>
        <w:tc>
          <w:tcPr>
            <w:tcW w:w="918" w:type="dxa"/>
          </w:tcPr>
          <w:p w14:paraId="7BE85986" w14:textId="2CA5B3AB" w:rsidR="00194D2F" w:rsidRDefault="00194D2F" w:rsidP="00194D2F">
            <w:pPr>
              <w:rPr>
                <w:sz w:val="22"/>
                <w:szCs w:val="22"/>
              </w:rPr>
            </w:pPr>
            <w:r>
              <w:rPr>
                <w:sz w:val="22"/>
                <w:szCs w:val="22"/>
              </w:rPr>
              <w:t>134</w:t>
            </w:r>
          </w:p>
        </w:tc>
        <w:tc>
          <w:tcPr>
            <w:tcW w:w="1125" w:type="dxa"/>
          </w:tcPr>
          <w:p w14:paraId="1BBF6085" w14:textId="6BEA8514" w:rsidR="00194D2F" w:rsidRDefault="00194D2F" w:rsidP="00194D2F">
            <w:pPr>
              <w:rPr>
                <w:sz w:val="22"/>
                <w:szCs w:val="22"/>
              </w:rPr>
            </w:pPr>
            <w:r>
              <w:rPr>
                <w:sz w:val="22"/>
                <w:szCs w:val="22"/>
              </w:rPr>
              <w:t>44</w:t>
            </w:r>
          </w:p>
        </w:tc>
        <w:tc>
          <w:tcPr>
            <w:tcW w:w="8145" w:type="dxa"/>
            <w:gridSpan w:val="2"/>
          </w:tcPr>
          <w:p w14:paraId="37576558" w14:textId="77777777" w:rsidR="00194D2F" w:rsidRDefault="00194D2F" w:rsidP="00194D2F">
            <w:pPr>
              <w:rPr>
                <w:sz w:val="22"/>
                <w:szCs w:val="22"/>
              </w:rPr>
            </w:pPr>
            <w:r w:rsidRPr="00231F43">
              <w:rPr>
                <w:sz w:val="22"/>
                <w:szCs w:val="22"/>
              </w:rPr>
              <w:t>“The overlaps and gaps identified in this update suggest that opportunities exist for increased coordination amongst the Convention and its Protocols, and with other relevant international treaties, processes and initiatives converging on the governance of synthetic biology.”</w:t>
            </w:r>
          </w:p>
          <w:p w14:paraId="2ED7BFD4" w14:textId="5C2ADBFE" w:rsidR="00194D2F" w:rsidRDefault="00194D2F" w:rsidP="00194D2F">
            <w:pPr>
              <w:rPr>
                <w:sz w:val="22"/>
                <w:szCs w:val="22"/>
              </w:rPr>
            </w:pPr>
            <w:r>
              <w:rPr>
                <w:sz w:val="22"/>
                <w:szCs w:val="22"/>
              </w:rPr>
              <w:t>It should be noted that different conventions, treaties, processes and initiatives have diverging goals, which questions whether “increased coordination” is appropriate here. The CBD recognizes such differences by the category of “biodiversity-related conventions” (see e.g. CBD COP Decision 14/30) The second part of the sentence could be rephrased by including “for increased information exchange” before “with other relevant”.</w:t>
            </w:r>
          </w:p>
          <w:p w14:paraId="17E684F1" w14:textId="09FC83C2" w:rsidR="00194D2F" w:rsidRDefault="00194D2F" w:rsidP="00194D2F">
            <w:pPr>
              <w:rPr>
                <w:sz w:val="22"/>
                <w:szCs w:val="22"/>
              </w:rPr>
            </w:pPr>
          </w:p>
        </w:tc>
      </w:tr>
      <w:tr w:rsidR="00194D2F" w:rsidRPr="00C658CD" w14:paraId="67572948" w14:textId="77777777" w:rsidTr="00135D96">
        <w:trPr>
          <w:cantSplit/>
          <w:trHeight w:val="233"/>
        </w:trPr>
        <w:tc>
          <w:tcPr>
            <w:tcW w:w="918" w:type="dxa"/>
          </w:tcPr>
          <w:p w14:paraId="180E3041" w14:textId="15D7A146" w:rsidR="00194D2F" w:rsidRDefault="00194D2F" w:rsidP="00194D2F">
            <w:pPr>
              <w:rPr>
                <w:sz w:val="22"/>
                <w:szCs w:val="22"/>
              </w:rPr>
            </w:pPr>
            <w:r>
              <w:rPr>
                <w:sz w:val="22"/>
                <w:szCs w:val="22"/>
              </w:rPr>
              <w:t>135</w:t>
            </w:r>
          </w:p>
        </w:tc>
        <w:tc>
          <w:tcPr>
            <w:tcW w:w="1125" w:type="dxa"/>
          </w:tcPr>
          <w:p w14:paraId="735DEFEC" w14:textId="0C52C669" w:rsidR="00194D2F" w:rsidRDefault="00194D2F" w:rsidP="00194D2F">
            <w:pPr>
              <w:rPr>
                <w:sz w:val="22"/>
                <w:szCs w:val="22"/>
              </w:rPr>
            </w:pPr>
            <w:r>
              <w:rPr>
                <w:sz w:val="22"/>
                <w:szCs w:val="22"/>
              </w:rPr>
              <w:t>13-14</w:t>
            </w:r>
          </w:p>
        </w:tc>
        <w:tc>
          <w:tcPr>
            <w:tcW w:w="8145" w:type="dxa"/>
            <w:gridSpan w:val="2"/>
          </w:tcPr>
          <w:p w14:paraId="75CA276B" w14:textId="2F96A955" w:rsidR="00194D2F" w:rsidRPr="00AA3E04" w:rsidRDefault="00194D2F" w:rsidP="00194D2F">
            <w:pPr>
              <w:rPr>
                <w:sz w:val="22"/>
                <w:szCs w:val="22"/>
              </w:rPr>
            </w:pPr>
            <w:r>
              <w:rPr>
                <w:sz w:val="22"/>
                <w:szCs w:val="22"/>
              </w:rPr>
              <w:t>It is not the task of the CBD and its organs to promote “research and development” in general. Nonetheless, I agree that it is imperative to prepare for appropriate regulation and risk assessment of Synthetic Biology in general. I propose to delete: “</w:t>
            </w:r>
            <w:r w:rsidRPr="00AA3E04">
              <w:rPr>
                <w:sz w:val="22"/>
                <w:szCs w:val="22"/>
              </w:rPr>
              <w:t>for research and development, and</w:t>
            </w:r>
            <w:r>
              <w:rPr>
                <w:sz w:val="22"/>
                <w:szCs w:val="22"/>
              </w:rPr>
              <w:t>”</w:t>
            </w:r>
          </w:p>
        </w:tc>
      </w:tr>
      <w:tr w:rsidR="00194D2F" w:rsidRPr="00C658CD" w14:paraId="762F53ED" w14:textId="77777777" w:rsidTr="00135D96">
        <w:trPr>
          <w:cantSplit/>
          <w:trHeight w:val="233"/>
        </w:trPr>
        <w:tc>
          <w:tcPr>
            <w:tcW w:w="918" w:type="dxa"/>
          </w:tcPr>
          <w:p w14:paraId="420B1E12" w14:textId="41531196" w:rsidR="00194D2F" w:rsidRDefault="00194D2F" w:rsidP="00194D2F">
            <w:pPr>
              <w:rPr>
                <w:sz w:val="22"/>
                <w:szCs w:val="22"/>
              </w:rPr>
            </w:pPr>
          </w:p>
        </w:tc>
        <w:tc>
          <w:tcPr>
            <w:tcW w:w="1125" w:type="dxa"/>
          </w:tcPr>
          <w:p w14:paraId="3F8D7C0B" w14:textId="7E133131" w:rsidR="00194D2F" w:rsidRDefault="00194D2F" w:rsidP="00194D2F">
            <w:pPr>
              <w:rPr>
                <w:sz w:val="22"/>
                <w:szCs w:val="22"/>
              </w:rPr>
            </w:pPr>
          </w:p>
        </w:tc>
        <w:tc>
          <w:tcPr>
            <w:tcW w:w="8145" w:type="dxa"/>
            <w:gridSpan w:val="2"/>
          </w:tcPr>
          <w:p w14:paraId="31DC943A" w14:textId="0C6E49D5" w:rsidR="00194D2F" w:rsidRPr="00D32196" w:rsidRDefault="00194D2F" w:rsidP="00194D2F">
            <w:pPr>
              <w:rPr>
                <w:sz w:val="22"/>
                <w:szCs w:val="22"/>
                <w:highlight w:val="yellow"/>
                <w:lang w:val="en-US"/>
              </w:rPr>
            </w:pPr>
          </w:p>
        </w:tc>
      </w:tr>
    </w:tbl>
    <w:p w14:paraId="6E675E30" w14:textId="77777777" w:rsidR="00593BC6" w:rsidRDefault="00593BC6" w:rsidP="00593BC6">
      <w:pPr>
        <w:tabs>
          <w:tab w:val="left" w:pos="7020"/>
        </w:tabs>
        <w:ind w:right="44"/>
        <w:jc w:val="both"/>
        <w:rPr>
          <w:szCs w:val="22"/>
        </w:rPr>
      </w:pPr>
    </w:p>
    <w:p w14:paraId="0E955578" w14:textId="77777777" w:rsidR="00593BC6" w:rsidRDefault="00593BC6" w:rsidP="00593BC6">
      <w:pPr>
        <w:tabs>
          <w:tab w:val="left" w:pos="7020"/>
        </w:tabs>
        <w:ind w:right="44"/>
        <w:jc w:val="both"/>
        <w:rPr>
          <w:szCs w:val="22"/>
        </w:rPr>
      </w:pPr>
    </w:p>
    <w:p w14:paraId="11FCA427" w14:textId="77777777" w:rsidR="00593BC6" w:rsidRDefault="00593BC6" w:rsidP="00593BC6">
      <w:pPr>
        <w:tabs>
          <w:tab w:val="left" w:pos="7020"/>
        </w:tabs>
        <w:ind w:right="44"/>
        <w:jc w:val="both"/>
        <w:rPr>
          <w:szCs w:val="22"/>
        </w:rPr>
      </w:pPr>
    </w:p>
    <w:p w14:paraId="2432318E" w14:textId="1E7BC26A" w:rsidR="004D6145" w:rsidRPr="00593BC6" w:rsidRDefault="00593BC6" w:rsidP="004B6042">
      <w:pPr>
        <w:pStyle w:val="Fuzeile"/>
        <w:jc w:val="center"/>
        <w:rPr>
          <w:lang w:val="en-CA"/>
        </w:rPr>
      </w:pPr>
      <w:r w:rsidRPr="00C658CD">
        <w:rPr>
          <w:sz w:val="22"/>
          <w:szCs w:val="22"/>
          <w:lang w:val="en-CA"/>
        </w:rPr>
        <w:t xml:space="preserve">Please submit your comments to </w:t>
      </w:r>
      <w:hyperlink r:id="rId7" w:history="1">
        <w:r w:rsidRPr="00C658CD">
          <w:rPr>
            <w:rStyle w:val="Hyperlink"/>
            <w:sz w:val="22"/>
            <w:szCs w:val="22"/>
            <w:lang w:val="en-CA"/>
          </w:rPr>
          <w:t>secretariat@cbd.int</w:t>
        </w:r>
      </w:hyperlink>
      <w:r w:rsidRPr="00C658CD">
        <w:rPr>
          <w:sz w:val="22"/>
          <w:szCs w:val="22"/>
          <w:lang w:val="en-CA"/>
        </w:rPr>
        <w:t>.</w:t>
      </w:r>
    </w:p>
    <w:sectPr w:rsidR="004D6145" w:rsidRPr="00593BC6" w:rsidSect="00EA105F">
      <w:headerReference w:type="first" r:id="rId8"/>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4603A" w14:textId="77777777" w:rsidR="00780EC4" w:rsidRDefault="00780EC4" w:rsidP="00593BC6">
      <w:r>
        <w:separator/>
      </w:r>
    </w:p>
  </w:endnote>
  <w:endnote w:type="continuationSeparator" w:id="0">
    <w:p w14:paraId="00B21B5A" w14:textId="77777777" w:rsidR="00780EC4" w:rsidRDefault="00780EC4"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C5FB6" w14:textId="77777777" w:rsidR="00780EC4" w:rsidRDefault="00780EC4" w:rsidP="00593BC6">
      <w:r>
        <w:separator/>
      </w:r>
    </w:p>
  </w:footnote>
  <w:footnote w:type="continuationSeparator" w:id="0">
    <w:p w14:paraId="6F6C6CF6" w14:textId="77777777" w:rsidR="00780EC4" w:rsidRDefault="00780EC4" w:rsidP="0059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B1991" w14:textId="77777777" w:rsidR="00EA105F" w:rsidRDefault="00EA105F" w:rsidP="00EA105F">
    <w:pPr>
      <w:pStyle w:val="Kopfzeile"/>
      <w:tabs>
        <w:tab w:val="clear" w:pos="8640"/>
        <w:tab w:val="right" w:pos="10260"/>
      </w:tabs>
      <w:spacing w:line="480" w:lineRule="auto"/>
      <w:ind w:left="-1260" w:right="-856"/>
      <w:jc w:val="center"/>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C6"/>
    <w:rsid w:val="00003264"/>
    <w:rsid w:val="00054613"/>
    <w:rsid w:val="000552BC"/>
    <w:rsid w:val="000553D3"/>
    <w:rsid w:val="00056ECF"/>
    <w:rsid w:val="00072D03"/>
    <w:rsid w:val="00075373"/>
    <w:rsid w:val="00091E6F"/>
    <w:rsid w:val="00091F4D"/>
    <w:rsid w:val="000A34EA"/>
    <w:rsid w:val="000A54FC"/>
    <w:rsid w:val="000C2FC2"/>
    <w:rsid w:val="000C6332"/>
    <w:rsid w:val="000C6E77"/>
    <w:rsid w:val="000E2E07"/>
    <w:rsid w:val="00135D96"/>
    <w:rsid w:val="0014062C"/>
    <w:rsid w:val="00153872"/>
    <w:rsid w:val="00161EAF"/>
    <w:rsid w:val="00194D2F"/>
    <w:rsid w:val="001C5E3E"/>
    <w:rsid w:val="0024327D"/>
    <w:rsid w:val="0024383F"/>
    <w:rsid w:val="00247E96"/>
    <w:rsid w:val="00255C54"/>
    <w:rsid w:val="002834B0"/>
    <w:rsid w:val="002835A5"/>
    <w:rsid w:val="00285391"/>
    <w:rsid w:val="00291C45"/>
    <w:rsid w:val="00293F84"/>
    <w:rsid w:val="002F0B8A"/>
    <w:rsid w:val="00314B87"/>
    <w:rsid w:val="0032155A"/>
    <w:rsid w:val="0032717B"/>
    <w:rsid w:val="003340D9"/>
    <w:rsid w:val="00350AFD"/>
    <w:rsid w:val="00363EF2"/>
    <w:rsid w:val="003925B2"/>
    <w:rsid w:val="00393449"/>
    <w:rsid w:val="003C5737"/>
    <w:rsid w:val="003F27D1"/>
    <w:rsid w:val="00414540"/>
    <w:rsid w:val="00430349"/>
    <w:rsid w:val="00431665"/>
    <w:rsid w:val="0044457A"/>
    <w:rsid w:val="00453FAC"/>
    <w:rsid w:val="004546EB"/>
    <w:rsid w:val="00472C45"/>
    <w:rsid w:val="004B6042"/>
    <w:rsid w:val="004C7E43"/>
    <w:rsid w:val="004D6145"/>
    <w:rsid w:val="004E426F"/>
    <w:rsid w:val="00502EF5"/>
    <w:rsid w:val="00524BE0"/>
    <w:rsid w:val="005411E6"/>
    <w:rsid w:val="00555A38"/>
    <w:rsid w:val="00593BC6"/>
    <w:rsid w:val="00594E31"/>
    <w:rsid w:val="005C4C24"/>
    <w:rsid w:val="005E6915"/>
    <w:rsid w:val="005F72A4"/>
    <w:rsid w:val="006075B5"/>
    <w:rsid w:val="00614265"/>
    <w:rsid w:val="006215DD"/>
    <w:rsid w:val="00634B1B"/>
    <w:rsid w:val="00651186"/>
    <w:rsid w:val="0065216A"/>
    <w:rsid w:val="00652D1D"/>
    <w:rsid w:val="00653FE3"/>
    <w:rsid w:val="00665311"/>
    <w:rsid w:val="00671642"/>
    <w:rsid w:val="006832AA"/>
    <w:rsid w:val="006B0435"/>
    <w:rsid w:val="006C7AB2"/>
    <w:rsid w:val="00716FA1"/>
    <w:rsid w:val="0072209B"/>
    <w:rsid w:val="00735FF1"/>
    <w:rsid w:val="00780B44"/>
    <w:rsid w:val="00780EC4"/>
    <w:rsid w:val="0078321A"/>
    <w:rsid w:val="00791C06"/>
    <w:rsid w:val="007A2EE5"/>
    <w:rsid w:val="007F0F32"/>
    <w:rsid w:val="00816C40"/>
    <w:rsid w:val="00847747"/>
    <w:rsid w:val="00854B69"/>
    <w:rsid w:val="00872EB7"/>
    <w:rsid w:val="00875A7B"/>
    <w:rsid w:val="008C05B8"/>
    <w:rsid w:val="008C3B84"/>
    <w:rsid w:val="00940B79"/>
    <w:rsid w:val="00962D38"/>
    <w:rsid w:val="0098388F"/>
    <w:rsid w:val="00986C1F"/>
    <w:rsid w:val="00991F51"/>
    <w:rsid w:val="009B78C5"/>
    <w:rsid w:val="00A05BE6"/>
    <w:rsid w:val="00A422EA"/>
    <w:rsid w:val="00A46B3D"/>
    <w:rsid w:val="00A545C6"/>
    <w:rsid w:val="00AA3E04"/>
    <w:rsid w:val="00AB3148"/>
    <w:rsid w:val="00AD22DE"/>
    <w:rsid w:val="00AE703C"/>
    <w:rsid w:val="00AF1889"/>
    <w:rsid w:val="00AF4490"/>
    <w:rsid w:val="00B0370D"/>
    <w:rsid w:val="00B049FA"/>
    <w:rsid w:val="00B30682"/>
    <w:rsid w:val="00B373CC"/>
    <w:rsid w:val="00B662B0"/>
    <w:rsid w:val="00BA5078"/>
    <w:rsid w:val="00BB14D8"/>
    <w:rsid w:val="00BC3176"/>
    <w:rsid w:val="00BD2053"/>
    <w:rsid w:val="00BD5D26"/>
    <w:rsid w:val="00BD7A41"/>
    <w:rsid w:val="00BE7829"/>
    <w:rsid w:val="00BF0A7D"/>
    <w:rsid w:val="00C137B7"/>
    <w:rsid w:val="00C26584"/>
    <w:rsid w:val="00C33566"/>
    <w:rsid w:val="00C439B3"/>
    <w:rsid w:val="00C66FC9"/>
    <w:rsid w:val="00C7259B"/>
    <w:rsid w:val="00C86225"/>
    <w:rsid w:val="00CB183B"/>
    <w:rsid w:val="00CC58DB"/>
    <w:rsid w:val="00D03237"/>
    <w:rsid w:val="00D04ABC"/>
    <w:rsid w:val="00D0718F"/>
    <w:rsid w:val="00D32196"/>
    <w:rsid w:val="00D43D37"/>
    <w:rsid w:val="00D60758"/>
    <w:rsid w:val="00D6224D"/>
    <w:rsid w:val="00D73109"/>
    <w:rsid w:val="00D97576"/>
    <w:rsid w:val="00DB16D3"/>
    <w:rsid w:val="00DD055E"/>
    <w:rsid w:val="00DD33A1"/>
    <w:rsid w:val="00DD4F55"/>
    <w:rsid w:val="00DF74C7"/>
    <w:rsid w:val="00E02B7B"/>
    <w:rsid w:val="00E15E7C"/>
    <w:rsid w:val="00E227B2"/>
    <w:rsid w:val="00E461E3"/>
    <w:rsid w:val="00E50561"/>
    <w:rsid w:val="00E51B38"/>
    <w:rsid w:val="00E65513"/>
    <w:rsid w:val="00E75708"/>
    <w:rsid w:val="00E93A58"/>
    <w:rsid w:val="00EA105F"/>
    <w:rsid w:val="00EE58E7"/>
    <w:rsid w:val="00F150A4"/>
    <w:rsid w:val="00F2127A"/>
    <w:rsid w:val="00F2607C"/>
    <w:rsid w:val="00F73C17"/>
    <w:rsid w:val="00F754C0"/>
    <w:rsid w:val="00F77325"/>
    <w:rsid w:val="00F8658F"/>
    <w:rsid w:val="00F86F63"/>
    <w:rsid w:val="00F94D0C"/>
    <w:rsid w:val="00FA00DB"/>
    <w:rsid w:val="00FB07C1"/>
    <w:rsid w:val="00FB1BA9"/>
    <w:rsid w:val="00FB5798"/>
    <w:rsid w:val="00FD4FBD"/>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51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BC6"/>
    <w:rPr>
      <w:rFonts w:ascii="Times New Roman" w:eastAsia="Times New Roman" w:hAnsi="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93BC6"/>
    <w:pPr>
      <w:tabs>
        <w:tab w:val="center" w:pos="4320"/>
        <w:tab w:val="right" w:pos="8640"/>
      </w:tabs>
    </w:pPr>
  </w:style>
  <w:style w:type="character" w:customStyle="1" w:styleId="KopfzeileZchn">
    <w:name w:val="Kopfzeile Zchn"/>
    <w:link w:val="Kopfzeile"/>
    <w:rsid w:val="00593BC6"/>
    <w:rPr>
      <w:rFonts w:ascii="Times New Roman" w:eastAsia="Times New Roman" w:hAnsi="Times New Roman" w:cs="Times New Roman"/>
      <w:sz w:val="24"/>
      <w:szCs w:val="24"/>
      <w:lang w:val="en-GB" w:eastAsia="en-CA"/>
    </w:rPr>
  </w:style>
  <w:style w:type="paragraph" w:styleId="Fuzeile">
    <w:name w:val="footer"/>
    <w:basedOn w:val="Standard"/>
    <w:link w:val="FuzeileZchn"/>
    <w:rsid w:val="00593BC6"/>
    <w:pPr>
      <w:tabs>
        <w:tab w:val="center" w:pos="4320"/>
        <w:tab w:val="right" w:pos="8640"/>
      </w:tabs>
    </w:pPr>
  </w:style>
  <w:style w:type="character" w:customStyle="1" w:styleId="FuzeileZchn">
    <w:name w:val="Fußzeile Zchn"/>
    <w:link w:val="Fuzeile"/>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Sprechblasentext">
    <w:name w:val="Balloon Text"/>
    <w:basedOn w:val="Standard"/>
    <w:link w:val="SprechblasentextZchn"/>
    <w:uiPriority w:val="99"/>
    <w:semiHidden/>
    <w:unhideWhenUsed/>
    <w:rsid w:val="000546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613"/>
    <w:rPr>
      <w:rFonts w:ascii="Segoe UI" w:eastAsia="Times New Roman" w:hAnsi="Segoe UI" w:cs="Segoe UI"/>
      <w:sz w:val="18"/>
      <w:szCs w:val="18"/>
      <w:lang w:val="en-GB"/>
    </w:rPr>
  </w:style>
  <w:style w:type="paragraph" w:customStyle="1" w:styleId="CitaviLiteraturverzeichnis">
    <w:name w:val="Citavi Literaturverzeichnis"/>
    <w:basedOn w:val="Standard"/>
    <w:rsid w:val="00C26584"/>
    <w:pPr>
      <w:spacing w:after="120" w:line="240" w:lineRule="atLeast"/>
    </w:pPr>
    <w:rPr>
      <w:rFonts w:eastAsia="Segoe UI"/>
      <w:szCs w:val="18"/>
      <w:lang w:val="de-DE" w:eastAsia="de-DE"/>
    </w:rPr>
  </w:style>
  <w:style w:type="character" w:styleId="Kommentarzeichen">
    <w:name w:val="annotation reference"/>
    <w:basedOn w:val="Absatz-Standardschriftart"/>
    <w:uiPriority w:val="99"/>
    <w:semiHidden/>
    <w:unhideWhenUsed/>
    <w:rsid w:val="00555A38"/>
    <w:rPr>
      <w:sz w:val="16"/>
      <w:szCs w:val="16"/>
    </w:rPr>
  </w:style>
  <w:style w:type="paragraph" w:styleId="Kommentartext">
    <w:name w:val="annotation text"/>
    <w:basedOn w:val="Standard"/>
    <w:link w:val="KommentartextZchn"/>
    <w:uiPriority w:val="99"/>
    <w:semiHidden/>
    <w:unhideWhenUsed/>
    <w:rsid w:val="00555A38"/>
    <w:rPr>
      <w:sz w:val="20"/>
      <w:szCs w:val="20"/>
    </w:rPr>
  </w:style>
  <w:style w:type="character" w:customStyle="1" w:styleId="KommentartextZchn">
    <w:name w:val="Kommentartext Zchn"/>
    <w:basedOn w:val="Absatz-Standardschriftart"/>
    <w:link w:val="Kommentartext"/>
    <w:uiPriority w:val="99"/>
    <w:semiHidden/>
    <w:rsid w:val="00555A38"/>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555A38"/>
    <w:rPr>
      <w:b/>
      <w:bCs/>
    </w:rPr>
  </w:style>
  <w:style w:type="character" w:customStyle="1" w:styleId="KommentarthemaZchn">
    <w:name w:val="Kommentarthema Zchn"/>
    <w:basedOn w:val="KommentartextZchn"/>
    <w:link w:val="Kommentarthema"/>
    <w:uiPriority w:val="99"/>
    <w:semiHidden/>
    <w:rsid w:val="00555A38"/>
    <w:rPr>
      <w:rFonts w:ascii="Times New Roman" w:eastAsia="Times New Roman" w:hAnsi="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BC6"/>
    <w:rPr>
      <w:rFonts w:ascii="Times New Roman" w:eastAsia="Times New Roman" w:hAnsi="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93BC6"/>
    <w:pPr>
      <w:tabs>
        <w:tab w:val="center" w:pos="4320"/>
        <w:tab w:val="right" w:pos="8640"/>
      </w:tabs>
    </w:pPr>
  </w:style>
  <w:style w:type="character" w:customStyle="1" w:styleId="KopfzeileZchn">
    <w:name w:val="Kopfzeile Zchn"/>
    <w:link w:val="Kopfzeile"/>
    <w:rsid w:val="00593BC6"/>
    <w:rPr>
      <w:rFonts w:ascii="Times New Roman" w:eastAsia="Times New Roman" w:hAnsi="Times New Roman" w:cs="Times New Roman"/>
      <w:sz w:val="24"/>
      <w:szCs w:val="24"/>
      <w:lang w:val="en-GB" w:eastAsia="en-CA"/>
    </w:rPr>
  </w:style>
  <w:style w:type="paragraph" w:styleId="Fuzeile">
    <w:name w:val="footer"/>
    <w:basedOn w:val="Standard"/>
    <w:link w:val="FuzeileZchn"/>
    <w:rsid w:val="00593BC6"/>
    <w:pPr>
      <w:tabs>
        <w:tab w:val="center" w:pos="4320"/>
        <w:tab w:val="right" w:pos="8640"/>
      </w:tabs>
    </w:pPr>
  </w:style>
  <w:style w:type="character" w:customStyle="1" w:styleId="FuzeileZchn">
    <w:name w:val="Fußzeile Zchn"/>
    <w:link w:val="Fuzeile"/>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Sprechblasentext">
    <w:name w:val="Balloon Text"/>
    <w:basedOn w:val="Standard"/>
    <w:link w:val="SprechblasentextZchn"/>
    <w:uiPriority w:val="99"/>
    <w:semiHidden/>
    <w:unhideWhenUsed/>
    <w:rsid w:val="000546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613"/>
    <w:rPr>
      <w:rFonts w:ascii="Segoe UI" w:eastAsia="Times New Roman" w:hAnsi="Segoe UI" w:cs="Segoe UI"/>
      <w:sz w:val="18"/>
      <w:szCs w:val="18"/>
      <w:lang w:val="en-GB"/>
    </w:rPr>
  </w:style>
  <w:style w:type="paragraph" w:customStyle="1" w:styleId="CitaviLiteraturverzeichnis">
    <w:name w:val="Citavi Literaturverzeichnis"/>
    <w:basedOn w:val="Standard"/>
    <w:rsid w:val="00C26584"/>
    <w:pPr>
      <w:spacing w:after="120" w:line="240" w:lineRule="atLeast"/>
    </w:pPr>
    <w:rPr>
      <w:rFonts w:eastAsia="Segoe UI"/>
      <w:szCs w:val="18"/>
      <w:lang w:val="de-DE" w:eastAsia="de-DE"/>
    </w:rPr>
  </w:style>
  <w:style w:type="character" w:styleId="Kommentarzeichen">
    <w:name w:val="annotation reference"/>
    <w:basedOn w:val="Absatz-Standardschriftart"/>
    <w:uiPriority w:val="99"/>
    <w:semiHidden/>
    <w:unhideWhenUsed/>
    <w:rsid w:val="00555A38"/>
    <w:rPr>
      <w:sz w:val="16"/>
      <w:szCs w:val="16"/>
    </w:rPr>
  </w:style>
  <w:style w:type="paragraph" w:styleId="Kommentartext">
    <w:name w:val="annotation text"/>
    <w:basedOn w:val="Standard"/>
    <w:link w:val="KommentartextZchn"/>
    <w:uiPriority w:val="99"/>
    <w:semiHidden/>
    <w:unhideWhenUsed/>
    <w:rsid w:val="00555A38"/>
    <w:rPr>
      <w:sz w:val="20"/>
      <w:szCs w:val="20"/>
    </w:rPr>
  </w:style>
  <w:style w:type="character" w:customStyle="1" w:styleId="KommentartextZchn">
    <w:name w:val="Kommentartext Zchn"/>
    <w:basedOn w:val="Absatz-Standardschriftart"/>
    <w:link w:val="Kommentartext"/>
    <w:uiPriority w:val="99"/>
    <w:semiHidden/>
    <w:rsid w:val="00555A38"/>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555A38"/>
    <w:rPr>
      <w:b/>
      <w:bCs/>
    </w:rPr>
  </w:style>
  <w:style w:type="character" w:customStyle="1" w:styleId="KommentarthemaZchn">
    <w:name w:val="Kommentarthema Zchn"/>
    <w:basedOn w:val="KommentartextZchn"/>
    <w:link w:val="Kommentarthema"/>
    <w:uiPriority w:val="99"/>
    <w:semiHidden/>
    <w:rsid w:val="00555A38"/>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cbd.i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4BCF8208</Template>
  <TotalTime>0</TotalTime>
  <Pages>6</Pages>
  <Words>2327</Words>
  <Characters>14663</Characters>
  <Application>Microsoft Office Word</Application>
  <DocSecurity>0</DocSecurity>
  <Lines>122</Lines>
  <Paragraphs>33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SCBD</Company>
  <LinksUpToDate>false</LinksUpToDate>
  <CharactersWithSpaces>16957</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Margret Engelhard</cp:lastModifiedBy>
  <cp:revision>2</cp:revision>
  <dcterms:created xsi:type="dcterms:W3CDTF">2021-07-02T06:18:00Z</dcterms:created>
  <dcterms:modified xsi:type="dcterms:W3CDTF">2021-07-02T06:18:00Z</dcterms:modified>
</cp:coreProperties>
</file>