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FDFC" w14:textId="759E47D6" w:rsidR="00593BC6" w:rsidRPr="00B217BD" w:rsidRDefault="00593BC6" w:rsidP="00593BC6">
      <w:pPr>
        <w:pStyle w:val="Header"/>
        <w:jc w:val="center"/>
        <w:rPr>
          <w:rFonts w:ascii="Times New Roman Bold" w:hAnsi="Times New Roman Bold"/>
          <w:b/>
          <w:caps/>
          <w:sz w:val="22"/>
          <w:szCs w:val="22"/>
          <w:lang w:val="en-US"/>
        </w:rPr>
      </w:pPr>
      <w:r w:rsidRPr="00B217BD">
        <w:rPr>
          <w:rFonts w:ascii="Times New Roman Bold" w:hAnsi="Times New Roman Bold"/>
          <w:b/>
          <w:caps/>
          <w:sz w:val="22"/>
          <w:szCs w:val="22"/>
          <w:lang w:val="en-US"/>
        </w:rPr>
        <w:t xml:space="preserve">template for </w:t>
      </w:r>
      <w:r w:rsidR="00054613" w:rsidRPr="00B217BD">
        <w:rPr>
          <w:rFonts w:ascii="Times New Roman Bold" w:hAnsi="Times New Roman Bold"/>
          <w:b/>
          <w:caps/>
          <w:sz w:val="22"/>
          <w:szCs w:val="22"/>
          <w:lang w:val="en-US"/>
        </w:rPr>
        <w:t xml:space="preserve">Peer Review </w:t>
      </w:r>
      <w:r w:rsidRPr="00B217BD">
        <w:rPr>
          <w:rFonts w:ascii="Times New Roman Bold" w:hAnsi="Times New Roman Bold"/>
          <w:b/>
          <w:caps/>
          <w:sz w:val="22"/>
          <w:szCs w:val="22"/>
          <w:lang w:val="en-US"/>
        </w:rPr>
        <w:t xml:space="preserve">comments </w:t>
      </w:r>
    </w:p>
    <w:p w14:paraId="73F17A98" w14:textId="11F90378" w:rsidR="00DC5FA4" w:rsidRPr="00B217BD" w:rsidRDefault="0032155A" w:rsidP="00DC5FA4">
      <w:pPr>
        <w:pStyle w:val="Header"/>
        <w:jc w:val="center"/>
        <w:rPr>
          <w:rFonts w:ascii="Times New Roman Bold" w:hAnsi="Times New Roman Bold"/>
          <w:b/>
          <w:caps/>
          <w:sz w:val="22"/>
          <w:szCs w:val="22"/>
          <w:lang w:val="en-US"/>
        </w:rPr>
      </w:pPr>
      <w:r w:rsidRPr="00B217BD">
        <w:rPr>
          <w:rFonts w:ascii="Times New Roman Bold" w:hAnsi="Times New Roman Bold"/>
          <w:b/>
          <w:caps/>
          <w:sz w:val="22"/>
          <w:szCs w:val="22"/>
          <w:lang w:val="en-US"/>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B217BD" w14:paraId="7DBA9CF5" w14:textId="77777777" w:rsidTr="00EA105F">
        <w:trPr>
          <w:cantSplit/>
          <w:trHeight w:val="233"/>
        </w:trPr>
        <w:tc>
          <w:tcPr>
            <w:tcW w:w="10188" w:type="dxa"/>
            <w:gridSpan w:val="4"/>
            <w:shd w:val="clear" w:color="auto" w:fill="C0C0C0"/>
          </w:tcPr>
          <w:p w14:paraId="0C71E9D1" w14:textId="77777777" w:rsidR="00593BC6" w:rsidRPr="00B217BD" w:rsidRDefault="00593BC6" w:rsidP="00EA105F">
            <w:pPr>
              <w:rPr>
                <w:b/>
                <w:sz w:val="22"/>
                <w:szCs w:val="22"/>
                <w:lang w:val="en-US"/>
              </w:rPr>
            </w:pPr>
          </w:p>
          <w:p w14:paraId="0923A0AA" w14:textId="77777777" w:rsidR="00593BC6" w:rsidRPr="00B217BD" w:rsidRDefault="00593BC6" w:rsidP="00EA105F">
            <w:pPr>
              <w:rPr>
                <w:b/>
                <w:sz w:val="22"/>
                <w:szCs w:val="22"/>
                <w:lang w:val="en-US"/>
              </w:rPr>
            </w:pPr>
            <w:r w:rsidRPr="00B217BD">
              <w:rPr>
                <w:b/>
                <w:sz w:val="22"/>
                <w:szCs w:val="22"/>
                <w:lang w:val="en-US"/>
              </w:rPr>
              <w:t>Contact information</w:t>
            </w:r>
          </w:p>
          <w:p w14:paraId="36D753E7" w14:textId="77777777" w:rsidR="00593BC6" w:rsidRPr="00B217BD" w:rsidRDefault="00593BC6" w:rsidP="00EA105F">
            <w:pPr>
              <w:rPr>
                <w:b/>
                <w:sz w:val="22"/>
                <w:szCs w:val="22"/>
                <w:lang w:val="en-US"/>
              </w:rPr>
            </w:pPr>
          </w:p>
        </w:tc>
      </w:tr>
      <w:tr w:rsidR="00593BC6" w:rsidRPr="00B217BD" w14:paraId="399E2057" w14:textId="77777777" w:rsidTr="00EA105F">
        <w:trPr>
          <w:cantSplit/>
          <w:trHeight w:val="270"/>
        </w:trPr>
        <w:tc>
          <w:tcPr>
            <w:tcW w:w="2150" w:type="dxa"/>
            <w:gridSpan w:val="3"/>
          </w:tcPr>
          <w:p w14:paraId="7B244D40" w14:textId="77777777" w:rsidR="00593BC6" w:rsidRPr="00B217BD" w:rsidRDefault="00593BC6" w:rsidP="00EA105F">
            <w:pPr>
              <w:rPr>
                <w:b/>
                <w:sz w:val="22"/>
                <w:szCs w:val="22"/>
                <w:lang w:val="en-US"/>
              </w:rPr>
            </w:pPr>
            <w:r w:rsidRPr="00B217BD">
              <w:rPr>
                <w:b/>
                <w:sz w:val="22"/>
                <w:szCs w:val="22"/>
                <w:lang w:val="en-US"/>
              </w:rPr>
              <w:t>Surname:</w:t>
            </w:r>
          </w:p>
        </w:tc>
        <w:tc>
          <w:tcPr>
            <w:tcW w:w="8038" w:type="dxa"/>
          </w:tcPr>
          <w:p w14:paraId="3AB47FF8" w14:textId="467614E6" w:rsidR="00593BC6" w:rsidRPr="00B217BD" w:rsidRDefault="00684A80" w:rsidP="00EA105F">
            <w:pPr>
              <w:rPr>
                <w:sz w:val="22"/>
                <w:szCs w:val="22"/>
                <w:lang w:val="en-US"/>
              </w:rPr>
            </w:pPr>
            <w:r w:rsidRPr="00B217BD">
              <w:rPr>
                <w:sz w:val="22"/>
                <w:szCs w:val="22"/>
                <w:lang w:val="en-US"/>
              </w:rPr>
              <w:t>Durham</w:t>
            </w:r>
          </w:p>
        </w:tc>
      </w:tr>
      <w:tr w:rsidR="00593BC6" w:rsidRPr="00B217BD" w14:paraId="2D70246E" w14:textId="77777777" w:rsidTr="00EA105F">
        <w:trPr>
          <w:cantSplit/>
          <w:trHeight w:val="280"/>
        </w:trPr>
        <w:tc>
          <w:tcPr>
            <w:tcW w:w="2150" w:type="dxa"/>
            <w:gridSpan w:val="3"/>
          </w:tcPr>
          <w:p w14:paraId="024B7BE1" w14:textId="77777777" w:rsidR="00593BC6" w:rsidRPr="00B217BD" w:rsidRDefault="00593BC6" w:rsidP="00EA105F">
            <w:pPr>
              <w:rPr>
                <w:b/>
                <w:sz w:val="22"/>
                <w:szCs w:val="22"/>
                <w:lang w:val="en-US"/>
              </w:rPr>
            </w:pPr>
          </w:p>
        </w:tc>
        <w:tc>
          <w:tcPr>
            <w:tcW w:w="8038" w:type="dxa"/>
          </w:tcPr>
          <w:p w14:paraId="24DC2B26" w14:textId="77777777" w:rsidR="00593BC6" w:rsidRPr="00B217BD" w:rsidRDefault="00593BC6" w:rsidP="00EA105F">
            <w:pPr>
              <w:rPr>
                <w:sz w:val="22"/>
                <w:szCs w:val="22"/>
                <w:lang w:val="en-US"/>
              </w:rPr>
            </w:pPr>
          </w:p>
        </w:tc>
      </w:tr>
      <w:tr w:rsidR="00593BC6" w:rsidRPr="00B217BD" w14:paraId="6960F46D" w14:textId="77777777" w:rsidTr="00EA105F">
        <w:trPr>
          <w:cantSplit/>
          <w:trHeight w:val="270"/>
        </w:trPr>
        <w:tc>
          <w:tcPr>
            <w:tcW w:w="2150" w:type="dxa"/>
            <w:gridSpan w:val="3"/>
          </w:tcPr>
          <w:p w14:paraId="42324F5A" w14:textId="77777777" w:rsidR="00593BC6" w:rsidRPr="00B217BD" w:rsidRDefault="00593BC6" w:rsidP="00EA105F">
            <w:pPr>
              <w:rPr>
                <w:b/>
                <w:sz w:val="22"/>
                <w:szCs w:val="22"/>
                <w:lang w:val="en-US"/>
              </w:rPr>
            </w:pPr>
            <w:r w:rsidRPr="00B217BD">
              <w:rPr>
                <w:b/>
                <w:sz w:val="22"/>
                <w:szCs w:val="22"/>
                <w:lang w:val="en-US"/>
              </w:rPr>
              <w:t>Given Name:</w:t>
            </w:r>
          </w:p>
        </w:tc>
        <w:tc>
          <w:tcPr>
            <w:tcW w:w="8038" w:type="dxa"/>
          </w:tcPr>
          <w:p w14:paraId="1F1AFCCD" w14:textId="3B0C971E" w:rsidR="00593BC6" w:rsidRPr="00B217BD" w:rsidRDefault="00684A80" w:rsidP="00EA105F">
            <w:pPr>
              <w:rPr>
                <w:sz w:val="22"/>
                <w:szCs w:val="22"/>
                <w:lang w:val="en-US"/>
              </w:rPr>
            </w:pPr>
            <w:r w:rsidRPr="00B217BD">
              <w:rPr>
                <w:sz w:val="22"/>
                <w:szCs w:val="22"/>
                <w:lang w:val="en-US"/>
              </w:rPr>
              <w:t>Ben</w:t>
            </w:r>
          </w:p>
        </w:tc>
      </w:tr>
      <w:tr w:rsidR="00593BC6" w:rsidRPr="00B217BD" w14:paraId="4D0E31D1" w14:textId="77777777" w:rsidTr="00EA105F">
        <w:trPr>
          <w:cantSplit/>
          <w:trHeight w:val="280"/>
        </w:trPr>
        <w:tc>
          <w:tcPr>
            <w:tcW w:w="2150" w:type="dxa"/>
            <w:gridSpan w:val="3"/>
          </w:tcPr>
          <w:p w14:paraId="478DDD07" w14:textId="77777777" w:rsidR="00593BC6" w:rsidRPr="00B217BD" w:rsidRDefault="00593BC6" w:rsidP="00EA105F">
            <w:pPr>
              <w:rPr>
                <w:b/>
                <w:sz w:val="22"/>
                <w:szCs w:val="22"/>
                <w:lang w:val="en-US"/>
              </w:rPr>
            </w:pPr>
          </w:p>
        </w:tc>
        <w:tc>
          <w:tcPr>
            <w:tcW w:w="8038" w:type="dxa"/>
          </w:tcPr>
          <w:p w14:paraId="286530CF" w14:textId="77777777" w:rsidR="00593BC6" w:rsidRPr="00B217BD" w:rsidRDefault="00593BC6" w:rsidP="00EA105F">
            <w:pPr>
              <w:rPr>
                <w:sz w:val="22"/>
                <w:szCs w:val="22"/>
                <w:lang w:val="en-US"/>
              </w:rPr>
            </w:pPr>
          </w:p>
        </w:tc>
      </w:tr>
      <w:tr w:rsidR="00593BC6" w:rsidRPr="00B217BD" w14:paraId="1C3067B8" w14:textId="77777777" w:rsidTr="00EA105F">
        <w:trPr>
          <w:cantSplit/>
          <w:trHeight w:val="270"/>
        </w:trPr>
        <w:tc>
          <w:tcPr>
            <w:tcW w:w="2150" w:type="dxa"/>
            <w:gridSpan w:val="3"/>
          </w:tcPr>
          <w:p w14:paraId="3499F6BE" w14:textId="77777777" w:rsidR="00593BC6" w:rsidRPr="00B217BD" w:rsidRDefault="00593BC6" w:rsidP="00EA105F">
            <w:pPr>
              <w:rPr>
                <w:b/>
                <w:sz w:val="22"/>
                <w:szCs w:val="22"/>
                <w:lang w:val="en-US"/>
              </w:rPr>
            </w:pPr>
            <w:r w:rsidRPr="00B217BD">
              <w:rPr>
                <w:b/>
                <w:sz w:val="22"/>
                <w:szCs w:val="22"/>
                <w:lang w:val="en-US"/>
              </w:rPr>
              <w:t>Government</w:t>
            </w:r>
          </w:p>
        </w:tc>
        <w:tc>
          <w:tcPr>
            <w:tcW w:w="8038" w:type="dxa"/>
          </w:tcPr>
          <w:p w14:paraId="119BAC5F" w14:textId="6D0E3263" w:rsidR="00593BC6" w:rsidRPr="00B217BD" w:rsidRDefault="00684A80" w:rsidP="00EA105F">
            <w:pPr>
              <w:rPr>
                <w:sz w:val="22"/>
                <w:szCs w:val="22"/>
                <w:lang w:val="en-US"/>
              </w:rPr>
            </w:pPr>
            <w:r w:rsidRPr="00B217BD">
              <w:rPr>
                <w:sz w:val="22"/>
                <w:szCs w:val="22"/>
                <w:lang w:val="en-US"/>
              </w:rPr>
              <w:t>Republic of South Africa</w:t>
            </w:r>
          </w:p>
        </w:tc>
      </w:tr>
      <w:tr w:rsidR="00593BC6" w:rsidRPr="00B217BD" w14:paraId="590623FC" w14:textId="77777777" w:rsidTr="00EA105F">
        <w:trPr>
          <w:cantSplit/>
          <w:trHeight w:val="280"/>
        </w:trPr>
        <w:tc>
          <w:tcPr>
            <w:tcW w:w="2150" w:type="dxa"/>
            <w:gridSpan w:val="3"/>
          </w:tcPr>
          <w:p w14:paraId="0807C1F5" w14:textId="77777777" w:rsidR="00593BC6" w:rsidRPr="00B217BD" w:rsidRDefault="00593BC6" w:rsidP="00EA105F">
            <w:pPr>
              <w:rPr>
                <w:b/>
                <w:sz w:val="22"/>
                <w:szCs w:val="22"/>
                <w:lang w:val="en-US"/>
              </w:rPr>
            </w:pPr>
            <w:r w:rsidRPr="00B217BD">
              <w:rPr>
                <w:b/>
                <w:sz w:val="22"/>
                <w:szCs w:val="22"/>
                <w:lang w:val="en-US"/>
              </w:rPr>
              <w:t>(if applicable):</w:t>
            </w:r>
          </w:p>
        </w:tc>
        <w:tc>
          <w:tcPr>
            <w:tcW w:w="8038" w:type="dxa"/>
          </w:tcPr>
          <w:p w14:paraId="2CA88BC1" w14:textId="77777777" w:rsidR="00593BC6" w:rsidRPr="00B217BD" w:rsidRDefault="00593BC6" w:rsidP="00EA105F">
            <w:pPr>
              <w:rPr>
                <w:sz w:val="22"/>
                <w:szCs w:val="22"/>
                <w:lang w:val="en-US"/>
              </w:rPr>
            </w:pPr>
          </w:p>
        </w:tc>
      </w:tr>
      <w:tr w:rsidR="00593BC6" w:rsidRPr="00B217BD" w14:paraId="131D5B27" w14:textId="77777777" w:rsidTr="00EA105F">
        <w:trPr>
          <w:cantSplit/>
          <w:trHeight w:val="270"/>
        </w:trPr>
        <w:tc>
          <w:tcPr>
            <w:tcW w:w="2150" w:type="dxa"/>
            <w:gridSpan w:val="3"/>
          </w:tcPr>
          <w:p w14:paraId="5B9F4F37" w14:textId="77777777" w:rsidR="00593BC6" w:rsidRPr="00B217BD" w:rsidRDefault="00593BC6" w:rsidP="00EA105F">
            <w:pPr>
              <w:rPr>
                <w:b/>
                <w:sz w:val="22"/>
                <w:szCs w:val="22"/>
                <w:lang w:val="en-US"/>
              </w:rPr>
            </w:pPr>
          </w:p>
        </w:tc>
        <w:tc>
          <w:tcPr>
            <w:tcW w:w="8038" w:type="dxa"/>
          </w:tcPr>
          <w:p w14:paraId="09AED490" w14:textId="77777777" w:rsidR="00593BC6" w:rsidRPr="00B217BD" w:rsidRDefault="00593BC6" w:rsidP="00EA105F">
            <w:pPr>
              <w:rPr>
                <w:sz w:val="22"/>
                <w:szCs w:val="22"/>
                <w:lang w:val="en-US"/>
              </w:rPr>
            </w:pPr>
          </w:p>
        </w:tc>
      </w:tr>
      <w:tr w:rsidR="00593BC6" w:rsidRPr="00B217BD" w14:paraId="2C8FC01D" w14:textId="77777777" w:rsidTr="00EA105F">
        <w:trPr>
          <w:cantSplit/>
          <w:trHeight w:val="270"/>
        </w:trPr>
        <w:tc>
          <w:tcPr>
            <w:tcW w:w="2150" w:type="dxa"/>
            <w:gridSpan w:val="3"/>
          </w:tcPr>
          <w:p w14:paraId="683E9B8A" w14:textId="77777777" w:rsidR="00593BC6" w:rsidRPr="00B217BD" w:rsidRDefault="00593BC6" w:rsidP="00EA105F">
            <w:pPr>
              <w:rPr>
                <w:b/>
                <w:sz w:val="22"/>
                <w:szCs w:val="22"/>
                <w:lang w:val="en-US"/>
              </w:rPr>
            </w:pPr>
            <w:r w:rsidRPr="00B217BD">
              <w:rPr>
                <w:b/>
                <w:sz w:val="22"/>
                <w:szCs w:val="22"/>
                <w:lang w:val="en-US"/>
              </w:rPr>
              <w:t>Organization:</w:t>
            </w:r>
          </w:p>
        </w:tc>
        <w:tc>
          <w:tcPr>
            <w:tcW w:w="8038" w:type="dxa"/>
          </w:tcPr>
          <w:p w14:paraId="44E1FC10" w14:textId="7C3D433C" w:rsidR="00593BC6" w:rsidRPr="00B217BD" w:rsidRDefault="00684A80" w:rsidP="00EA105F">
            <w:pPr>
              <w:rPr>
                <w:sz w:val="22"/>
                <w:szCs w:val="22"/>
                <w:lang w:val="en-US"/>
              </w:rPr>
            </w:pPr>
            <w:r w:rsidRPr="00B217BD">
              <w:rPr>
                <w:sz w:val="22"/>
                <w:szCs w:val="22"/>
                <w:lang w:val="en-US"/>
              </w:rPr>
              <w:t>National Department of Science &amp; Innovation</w:t>
            </w:r>
          </w:p>
        </w:tc>
      </w:tr>
      <w:tr w:rsidR="00593BC6" w:rsidRPr="00B217BD" w14:paraId="3ED36EA3" w14:textId="77777777" w:rsidTr="00EA105F">
        <w:trPr>
          <w:cantSplit/>
          <w:trHeight w:val="233"/>
        </w:trPr>
        <w:tc>
          <w:tcPr>
            <w:tcW w:w="2150" w:type="dxa"/>
            <w:gridSpan w:val="3"/>
          </w:tcPr>
          <w:p w14:paraId="21C9EB42" w14:textId="77777777" w:rsidR="00593BC6" w:rsidRPr="00B217BD" w:rsidRDefault="00593BC6" w:rsidP="00EA105F">
            <w:pPr>
              <w:rPr>
                <w:b/>
                <w:sz w:val="22"/>
                <w:szCs w:val="22"/>
                <w:lang w:val="en-US"/>
              </w:rPr>
            </w:pPr>
          </w:p>
        </w:tc>
        <w:tc>
          <w:tcPr>
            <w:tcW w:w="8038" w:type="dxa"/>
          </w:tcPr>
          <w:p w14:paraId="5A530AD5" w14:textId="77777777" w:rsidR="00593BC6" w:rsidRPr="00B217BD" w:rsidRDefault="00593BC6" w:rsidP="00EA105F">
            <w:pPr>
              <w:rPr>
                <w:sz w:val="22"/>
                <w:szCs w:val="22"/>
                <w:lang w:val="en-US"/>
              </w:rPr>
            </w:pPr>
          </w:p>
        </w:tc>
      </w:tr>
      <w:tr w:rsidR="00593BC6" w:rsidRPr="00B217BD" w14:paraId="329D03C5" w14:textId="77777777" w:rsidTr="00EA105F">
        <w:trPr>
          <w:cantSplit/>
          <w:trHeight w:val="233"/>
        </w:trPr>
        <w:tc>
          <w:tcPr>
            <w:tcW w:w="2150" w:type="dxa"/>
            <w:gridSpan w:val="3"/>
          </w:tcPr>
          <w:p w14:paraId="50483436" w14:textId="77777777" w:rsidR="00593BC6" w:rsidRPr="00B217BD" w:rsidRDefault="00593BC6" w:rsidP="00EA105F">
            <w:pPr>
              <w:rPr>
                <w:b/>
                <w:sz w:val="22"/>
                <w:szCs w:val="22"/>
                <w:lang w:val="en-US"/>
              </w:rPr>
            </w:pPr>
            <w:r w:rsidRPr="00B217BD">
              <w:rPr>
                <w:b/>
                <w:sz w:val="22"/>
                <w:szCs w:val="22"/>
                <w:lang w:val="en-US"/>
              </w:rPr>
              <w:t>E-mail:</w:t>
            </w:r>
          </w:p>
        </w:tc>
        <w:tc>
          <w:tcPr>
            <w:tcW w:w="8038" w:type="dxa"/>
          </w:tcPr>
          <w:p w14:paraId="7D07E304" w14:textId="0E87F6DB" w:rsidR="00593BC6" w:rsidRPr="00B217BD" w:rsidRDefault="00684A80" w:rsidP="00EA105F">
            <w:pPr>
              <w:rPr>
                <w:sz w:val="22"/>
                <w:szCs w:val="22"/>
                <w:lang w:val="en-US"/>
              </w:rPr>
            </w:pPr>
            <w:r w:rsidRPr="00B217BD">
              <w:rPr>
                <w:sz w:val="22"/>
                <w:szCs w:val="22"/>
                <w:lang w:val="en-US"/>
              </w:rPr>
              <w:t>Ben.durham@dst.gov.za</w:t>
            </w:r>
          </w:p>
        </w:tc>
      </w:tr>
      <w:tr w:rsidR="00593BC6" w:rsidRPr="00B217BD" w14:paraId="59BA55E5" w14:textId="77777777" w:rsidTr="00EA105F">
        <w:trPr>
          <w:cantSplit/>
          <w:trHeight w:val="233"/>
        </w:trPr>
        <w:tc>
          <w:tcPr>
            <w:tcW w:w="2150" w:type="dxa"/>
            <w:gridSpan w:val="3"/>
          </w:tcPr>
          <w:p w14:paraId="4CA66506" w14:textId="77777777" w:rsidR="00593BC6" w:rsidRPr="00B217BD" w:rsidRDefault="00593BC6" w:rsidP="00EA105F">
            <w:pPr>
              <w:rPr>
                <w:b/>
                <w:sz w:val="22"/>
                <w:szCs w:val="22"/>
                <w:lang w:val="en-US"/>
              </w:rPr>
            </w:pPr>
          </w:p>
        </w:tc>
        <w:tc>
          <w:tcPr>
            <w:tcW w:w="8038" w:type="dxa"/>
          </w:tcPr>
          <w:p w14:paraId="267E6375" w14:textId="77777777" w:rsidR="00593BC6" w:rsidRPr="00B217BD" w:rsidRDefault="00593BC6" w:rsidP="00EA105F">
            <w:pPr>
              <w:rPr>
                <w:sz w:val="22"/>
                <w:szCs w:val="22"/>
                <w:lang w:val="en-US"/>
              </w:rPr>
            </w:pPr>
          </w:p>
        </w:tc>
      </w:tr>
      <w:tr w:rsidR="00593BC6" w:rsidRPr="00B217BD" w14:paraId="333DFC97" w14:textId="77777777" w:rsidTr="00EA105F">
        <w:trPr>
          <w:cantSplit/>
          <w:trHeight w:val="233"/>
        </w:trPr>
        <w:tc>
          <w:tcPr>
            <w:tcW w:w="10188" w:type="dxa"/>
            <w:gridSpan w:val="4"/>
            <w:shd w:val="clear" w:color="auto" w:fill="BFBFBF"/>
          </w:tcPr>
          <w:p w14:paraId="21278E85" w14:textId="77777777" w:rsidR="00593BC6" w:rsidRPr="00B217BD" w:rsidRDefault="00593BC6" w:rsidP="00EA105F">
            <w:pPr>
              <w:rPr>
                <w:b/>
                <w:sz w:val="22"/>
                <w:szCs w:val="22"/>
                <w:lang w:val="en-US"/>
              </w:rPr>
            </w:pPr>
          </w:p>
          <w:p w14:paraId="05933792" w14:textId="14B8E253" w:rsidR="00593BC6" w:rsidRPr="00B217BD" w:rsidRDefault="00593BC6" w:rsidP="00EA105F">
            <w:pPr>
              <w:rPr>
                <w:b/>
                <w:sz w:val="22"/>
                <w:szCs w:val="22"/>
                <w:lang w:val="en-US"/>
              </w:rPr>
            </w:pPr>
            <w:r w:rsidRPr="00B217BD">
              <w:rPr>
                <w:b/>
                <w:sz w:val="22"/>
                <w:szCs w:val="22"/>
                <w:lang w:val="en-US"/>
              </w:rPr>
              <w:t>Comments on th</w:t>
            </w:r>
            <w:r w:rsidR="00363EF2" w:rsidRPr="00B217BD">
              <w:rPr>
                <w:b/>
                <w:sz w:val="22"/>
                <w:szCs w:val="22"/>
                <w:lang w:val="en-US"/>
              </w:rPr>
              <w:t>e Technical Series on Synthetic Biology</w:t>
            </w:r>
          </w:p>
          <w:p w14:paraId="7BC798CD" w14:textId="77777777" w:rsidR="00593BC6" w:rsidRPr="00B217BD" w:rsidRDefault="00593BC6" w:rsidP="00EA105F">
            <w:pPr>
              <w:rPr>
                <w:b/>
                <w:sz w:val="22"/>
                <w:szCs w:val="22"/>
                <w:lang w:val="en-US"/>
              </w:rPr>
            </w:pPr>
          </w:p>
        </w:tc>
      </w:tr>
      <w:tr w:rsidR="00593BC6" w:rsidRPr="00B217BD" w14:paraId="2A5F8AC1" w14:textId="77777777" w:rsidTr="00135D96">
        <w:trPr>
          <w:cantSplit/>
          <w:trHeight w:val="233"/>
        </w:trPr>
        <w:tc>
          <w:tcPr>
            <w:tcW w:w="918" w:type="dxa"/>
          </w:tcPr>
          <w:p w14:paraId="6C0FFA1B" w14:textId="77777777" w:rsidR="00593BC6" w:rsidRPr="00B217BD" w:rsidRDefault="00593BC6" w:rsidP="00EA105F">
            <w:pPr>
              <w:rPr>
                <w:b/>
                <w:sz w:val="22"/>
                <w:szCs w:val="22"/>
                <w:lang w:val="en-US"/>
              </w:rPr>
            </w:pPr>
            <w:r w:rsidRPr="00B217BD">
              <w:rPr>
                <w:b/>
                <w:sz w:val="22"/>
                <w:szCs w:val="22"/>
                <w:lang w:val="en-US"/>
              </w:rPr>
              <w:t>Page</w:t>
            </w:r>
            <w:r w:rsidR="00F94D0C" w:rsidRPr="00B217BD">
              <w:rPr>
                <w:b/>
                <w:sz w:val="22"/>
                <w:szCs w:val="22"/>
                <w:lang w:val="en-US"/>
              </w:rPr>
              <w:t xml:space="preserve"> #</w:t>
            </w:r>
          </w:p>
        </w:tc>
        <w:tc>
          <w:tcPr>
            <w:tcW w:w="1125" w:type="dxa"/>
          </w:tcPr>
          <w:p w14:paraId="3BFAC210" w14:textId="77777777" w:rsidR="00593BC6" w:rsidRPr="00B217BD" w:rsidRDefault="005411E6" w:rsidP="00135D96">
            <w:pPr>
              <w:rPr>
                <w:b/>
                <w:sz w:val="22"/>
                <w:szCs w:val="22"/>
                <w:lang w:val="en-US"/>
              </w:rPr>
            </w:pPr>
            <w:r w:rsidRPr="00B217BD">
              <w:rPr>
                <w:b/>
                <w:sz w:val="22"/>
                <w:szCs w:val="22"/>
                <w:lang w:val="en-US"/>
              </w:rPr>
              <w:t xml:space="preserve">Line </w:t>
            </w:r>
            <w:r w:rsidR="00135D96" w:rsidRPr="00B217BD">
              <w:rPr>
                <w:b/>
                <w:sz w:val="22"/>
                <w:szCs w:val="22"/>
                <w:lang w:val="en-US"/>
              </w:rPr>
              <w:t>#</w:t>
            </w:r>
          </w:p>
        </w:tc>
        <w:tc>
          <w:tcPr>
            <w:tcW w:w="8145" w:type="dxa"/>
            <w:gridSpan w:val="2"/>
          </w:tcPr>
          <w:p w14:paraId="1DF3BB27" w14:textId="77777777" w:rsidR="00593BC6" w:rsidRPr="00B217BD" w:rsidRDefault="00593BC6" w:rsidP="00EA105F">
            <w:pPr>
              <w:rPr>
                <w:b/>
                <w:sz w:val="22"/>
                <w:szCs w:val="22"/>
                <w:lang w:val="en-US"/>
              </w:rPr>
            </w:pPr>
            <w:r w:rsidRPr="00B217BD">
              <w:rPr>
                <w:b/>
                <w:sz w:val="22"/>
                <w:szCs w:val="22"/>
                <w:lang w:val="en-US"/>
              </w:rPr>
              <w:t>Comment</w:t>
            </w:r>
          </w:p>
        </w:tc>
      </w:tr>
      <w:tr w:rsidR="00593BC6" w:rsidRPr="00B217BD" w14:paraId="1C656F45" w14:textId="77777777" w:rsidTr="00135D96">
        <w:trPr>
          <w:cantSplit/>
          <w:trHeight w:val="233"/>
        </w:trPr>
        <w:tc>
          <w:tcPr>
            <w:tcW w:w="918" w:type="dxa"/>
          </w:tcPr>
          <w:p w14:paraId="73652C5C" w14:textId="77777777" w:rsidR="00593BC6" w:rsidRPr="00B217BD" w:rsidRDefault="00593BC6" w:rsidP="00EA105F">
            <w:pPr>
              <w:rPr>
                <w:sz w:val="22"/>
                <w:szCs w:val="22"/>
                <w:lang w:val="en-US"/>
              </w:rPr>
            </w:pPr>
          </w:p>
        </w:tc>
        <w:tc>
          <w:tcPr>
            <w:tcW w:w="1125" w:type="dxa"/>
          </w:tcPr>
          <w:p w14:paraId="0B63B7FE" w14:textId="77777777" w:rsidR="00593BC6" w:rsidRPr="00B217BD" w:rsidRDefault="00593BC6" w:rsidP="00EA105F">
            <w:pPr>
              <w:rPr>
                <w:sz w:val="22"/>
                <w:szCs w:val="22"/>
                <w:lang w:val="en-US"/>
              </w:rPr>
            </w:pPr>
          </w:p>
        </w:tc>
        <w:tc>
          <w:tcPr>
            <w:tcW w:w="8145" w:type="dxa"/>
            <w:gridSpan w:val="2"/>
          </w:tcPr>
          <w:p w14:paraId="0B96346A" w14:textId="77777777" w:rsidR="00593BC6" w:rsidRPr="00B217BD" w:rsidRDefault="00593BC6" w:rsidP="00EA105F">
            <w:pPr>
              <w:rPr>
                <w:sz w:val="22"/>
                <w:szCs w:val="22"/>
                <w:lang w:val="en-US"/>
              </w:rPr>
            </w:pPr>
          </w:p>
        </w:tc>
      </w:tr>
      <w:tr w:rsidR="00593BC6" w:rsidRPr="00B217BD" w14:paraId="4CEEBB68" w14:textId="77777777" w:rsidTr="00135D96">
        <w:trPr>
          <w:cantSplit/>
          <w:trHeight w:val="233"/>
        </w:trPr>
        <w:tc>
          <w:tcPr>
            <w:tcW w:w="918" w:type="dxa"/>
          </w:tcPr>
          <w:p w14:paraId="7A6A7CB6" w14:textId="51B87BA8" w:rsidR="00593BC6" w:rsidRPr="00B217BD" w:rsidRDefault="00016094" w:rsidP="00EA105F">
            <w:pPr>
              <w:rPr>
                <w:sz w:val="22"/>
                <w:szCs w:val="22"/>
                <w:lang w:val="en-US"/>
              </w:rPr>
            </w:pPr>
            <w:r w:rsidRPr="00B217BD">
              <w:rPr>
                <w:sz w:val="22"/>
                <w:szCs w:val="22"/>
                <w:lang w:val="en-US"/>
              </w:rPr>
              <w:t>0</w:t>
            </w:r>
          </w:p>
        </w:tc>
        <w:tc>
          <w:tcPr>
            <w:tcW w:w="1125" w:type="dxa"/>
          </w:tcPr>
          <w:p w14:paraId="623F395E" w14:textId="2D6CC1A3" w:rsidR="00593BC6" w:rsidRPr="00B217BD" w:rsidRDefault="00016094" w:rsidP="00EA105F">
            <w:pPr>
              <w:rPr>
                <w:sz w:val="22"/>
                <w:szCs w:val="22"/>
                <w:lang w:val="en-US"/>
              </w:rPr>
            </w:pPr>
            <w:r w:rsidRPr="00B217BD">
              <w:rPr>
                <w:sz w:val="22"/>
                <w:szCs w:val="22"/>
                <w:lang w:val="en-US"/>
              </w:rPr>
              <w:t>0</w:t>
            </w:r>
          </w:p>
        </w:tc>
        <w:tc>
          <w:tcPr>
            <w:tcW w:w="8145" w:type="dxa"/>
            <w:gridSpan w:val="2"/>
          </w:tcPr>
          <w:p w14:paraId="42FF743C" w14:textId="207BCC0A" w:rsidR="00016094" w:rsidRPr="00B217BD" w:rsidRDefault="00016094" w:rsidP="00016094">
            <w:pPr>
              <w:pStyle w:val="Footer"/>
              <w:rPr>
                <w:sz w:val="22"/>
                <w:szCs w:val="22"/>
                <w:lang w:val="en-US"/>
              </w:rPr>
            </w:pPr>
            <w:r w:rsidRPr="00B217BD">
              <w:rPr>
                <w:sz w:val="22"/>
                <w:szCs w:val="22"/>
                <w:lang w:val="en-US"/>
              </w:rPr>
              <w:t xml:space="preserve">A significant challenge to resolving CBD guidance and advice on Synthetic biology is the current ‘operational definition’ of Synthetic biology which states: </w:t>
            </w:r>
            <w:r w:rsidRPr="00B217BD">
              <w:rPr>
                <w:kern w:val="22"/>
                <w:szCs w:val="22"/>
                <w:lang w:val="en-US"/>
              </w:rPr>
              <w:t>“</w:t>
            </w:r>
            <w:r w:rsidRPr="00B217BD">
              <w:rPr>
                <w:i/>
                <w:kern w:val="22"/>
                <w:szCs w:val="22"/>
                <w:lang w:val="en-US"/>
              </w:rPr>
              <w:t>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Pr="00B217BD">
              <w:rPr>
                <w:kern w:val="22"/>
                <w:szCs w:val="22"/>
                <w:lang w:val="en-US"/>
              </w:rPr>
              <w:t xml:space="preserve">”. </w:t>
            </w:r>
            <w:r w:rsidRPr="00B217BD">
              <w:rPr>
                <w:sz w:val="22"/>
                <w:szCs w:val="22"/>
                <w:lang w:val="en-US"/>
              </w:rPr>
              <w:t xml:space="preserve">This is a very broad definition, which </w:t>
            </w:r>
            <w:r w:rsidR="000B53F8">
              <w:rPr>
                <w:sz w:val="22"/>
                <w:szCs w:val="22"/>
                <w:lang w:val="en-US"/>
              </w:rPr>
              <w:t xml:space="preserve">potentially </w:t>
            </w:r>
            <w:r w:rsidRPr="00B217BD">
              <w:rPr>
                <w:sz w:val="22"/>
                <w:szCs w:val="22"/>
                <w:lang w:val="en-US"/>
              </w:rPr>
              <w:t xml:space="preserve">covers all aspects of genetic engineering ranging from genetic modification (already well considered under the Cartagena Protocol on Biosafety) through to the </w:t>
            </w:r>
            <w:r w:rsidRPr="00B217BD">
              <w:rPr>
                <w:b/>
                <w:i/>
                <w:sz w:val="22"/>
                <w:szCs w:val="22"/>
                <w:lang w:val="en-US"/>
              </w:rPr>
              <w:t>de novo</w:t>
            </w:r>
            <w:r w:rsidRPr="00B217BD">
              <w:rPr>
                <w:sz w:val="22"/>
                <w:szCs w:val="22"/>
                <w:lang w:val="en-US"/>
              </w:rPr>
              <w:t xml:space="preserve"> creation of synthetic life (hereafter termed </w:t>
            </w:r>
            <w:r w:rsidRPr="00B217BD">
              <w:rPr>
                <w:b/>
                <w:i/>
                <w:sz w:val="22"/>
                <w:szCs w:val="22"/>
                <w:lang w:val="en-US"/>
              </w:rPr>
              <w:t xml:space="preserve">novel </w:t>
            </w:r>
            <w:r w:rsidRPr="00B217BD">
              <w:rPr>
                <w:sz w:val="22"/>
                <w:szCs w:val="22"/>
                <w:lang w:val="en-US"/>
              </w:rPr>
              <w:t>life).</w:t>
            </w:r>
          </w:p>
          <w:p w14:paraId="5D1B08BF" w14:textId="77777777" w:rsidR="00016094" w:rsidRPr="00B217BD" w:rsidRDefault="00016094" w:rsidP="00016094">
            <w:pPr>
              <w:pStyle w:val="Footer"/>
              <w:rPr>
                <w:sz w:val="22"/>
                <w:szCs w:val="22"/>
                <w:lang w:val="en-US"/>
              </w:rPr>
            </w:pPr>
          </w:p>
          <w:p w14:paraId="712B7741" w14:textId="58DD6115" w:rsidR="00016094" w:rsidRPr="00B217BD" w:rsidRDefault="00016094" w:rsidP="00016094">
            <w:pPr>
              <w:pStyle w:val="Default"/>
              <w:rPr>
                <w:sz w:val="22"/>
                <w:szCs w:val="22"/>
              </w:rPr>
            </w:pPr>
            <w:r w:rsidRPr="00B217BD">
              <w:rPr>
                <w:sz w:val="22"/>
                <w:szCs w:val="22"/>
              </w:rPr>
              <w:t>The definition therefore prevents Synthetic Biology being a useful term</w:t>
            </w:r>
            <w:r w:rsidR="00851F9B">
              <w:rPr>
                <w:sz w:val="22"/>
                <w:szCs w:val="22"/>
              </w:rPr>
              <w:t xml:space="preserve"> for defining </w:t>
            </w:r>
            <w:bookmarkStart w:id="0" w:name="_GoBack"/>
            <w:bookmarkEnd w:id="0"/>
            <w:r w:rsidR="00851F9B">
              <w:rPr>
                <w:sz w:val="22"/>
                <w:szCs w:val="22"/>
              </w:rPr>
              <w:t>regulatory scope</w:t>
            </w:r>
            <w:r w:rsidRPr="00B217BD">
              <w:rPr>
                <w:sz w:val="22"/>
                <w:szCs w:val="22"/>
              </w:rPr>
              <w:t>, as it covers large parts which are already defined and extensively dealt with under the CPB</w:t>
            </w:r>
            <w:r w:rsidR="00C03A62">
              <w:rPr>
                <w:sz w:val="22"/>
                <w:szCs w:val="22"/>
              </w:rPr>
              <w:t xml:space="preserve"> (including, potential future modification technologies)</w:t>
            </w:r>
            <w:r w:rsidRPr="00B217BD">
              <w:rPr>
                <w:sz w:val="22"/>
                <w:szCs w:val="22"/>
              </w:rPr>
              <w:t xml:space="preserve">, but also areas that will need new considerations, and will require different approaches (from genetic modification) to risk assessment and risk mitigation.  This then causes confusion when the question is asked (such as during the recent SBSTTA) whether Synthetic Biology is a “New and Emerging Issue”, as – on the one hand - genetic modification is well covered, and therefore clearly not a new and emerging issue, while other aspects of Synthetic </w:t>
            </w:r>
            <w:proofErr w:type="gramStart"/>
            <w:r w:rsidRPr="00B217BD">
              <w:rPr>
                <w:sz w:val="22"/>
                <w:szCs w:val="22"/>
              </w:rPr>
              <w:t>biology  are</w:t>
            </w:r>
            <w:proofErr w:type="gramEnd"/>
            <w:r w:rsidRPr="00B217BD">
              <w:rPr>
                <w:sz w:val="22"/>
                <w:szCs w:val="22"/>
              </w:rPr>
              <w:t xml:space="preserve"> indeed new and emerging</w:t>
            </w:r>
            <w:r w:rsidR="00F85676" w:rsidRPr="00B217BD">
              <w:rPr>
                <w:sz w:val="22"/>
                <w:szCs w:val="22"/>
              </w:rPr>
              <w:t>, - as per the criteria provided in Decision IX/29</w:t>
            </w:r>
            <w:r w:rsidRPr="00B217BD">
              <w:rPr>
                <w:sz w:val="22"/>
                <w:szCs w:val="22"/>
              </w:rPr>
              <w:t>.</w:t>
            </w:r>
          </w:p>
          <w:p w14:paraId="2B8AD9B9" w14:textId="77777777" w:rsidR="00016094" w:rsidRPr="00B217BD" w:rsidRDefault="00016094" w:rsidP="00016094">
            <w:pPr>
              <w:pStyle w:val="Default"/>
              <w:rPr>
                <w:sz w:val="22"/>
                <w:szCs w:val="22"/>
              </w:rPr>
            </w:pPr>
          </w:p>
          <w:p w14:paraId="08CF5146" w14:textId="54D6BAEC" w:rsidR="00016094" w:rsidRPr="00B217BD" w:rsidRDefault="00016094" w:rsidP="00016094">
            <w:pPr>
              <w:pStyle w:val="Default"/>
            </w:pPr>
            <w:r w:rsidRPr="00B217BD">
              <w:rPr>
                <w:sz w:val="22"/>
                <w:szCs w:val="22"/>
              </w:rPr>
              <w:t>There are two possible solutions.  Firstly, it would be to redefine Synthetic Biology as “</w:t>
            </w:r>
            <w:r w:rsidRPr="00B217BD">
              <w:rPr>
                <w:i/>
                <w:kern w:val="22"/>
                <w:szCs w:val="22"/>
              </w:rPr>
              <w:t xml:space="preserve">A new dimension of modern biotechnology that combines science, technology and engineering with the objective of creating life/living organisms with limited or no </w:t>
            </w:r>
            <w:r w:rsidR="008F51C8" w:rsidRPr="00B217BD">
              <w:rPr>
                <w:i/>
                <w:kern w:val="22"/>
                <w:szCs w:val="22"/>
              </w:rPr>
              <w:t>resemblance to</w:t>
            </w:r>
            <w:r w:rsidRPr="00B217BD">
              <w:rPr>
                <w:i/>
                <w:kern w:val="22"/>
                <w:szCs w:val="22"/>
              </w:rPr>
              <w:t xml:space="preserve"> existing or extinct organisms”. </w:t>
            </w:r>
            <w:r w:rsidRPr="00B217BD">
              <w:rPr>
                <w:kern w:val="22"/>
                <w:szCs w:val="22"/>
              </w:rPr>
              <w:t xml:space="preserve">This would then clearly differentiate Synthetic Biology from genetic modification (which </w:t>
            </w:r>
            <w:r w:rsidR="00EA6431" w:rsidRPr="00B217BD">
              <w:rPr>
                <w:kern w:val="22"/>
                <w:szCs w:val="22"/>
              </w:rPr>
              <w:t xml:space="preserve">generally </w:t>
            </w:r>
            <w:r w:rsidRPr="00B217BD">
              <w:rPr>
                <w:kern w:val="22"/>
                <w:szCs w:val="22"/>
              </w:rPr>
              <w:t>has substantial equivalence to existing, unmodified organisms), and allow the CBD to proceed with new considerations beyond living modified organisms (i</w:t>
            </w:r>
            <w:r w:rsidR="008F51C8" w:rsidRPr="00B217BD">
              <w:rPr>
                <w:kern w:val="22"/>
                <w:szCs w:val="22"/>
              </w:rPr>
              <w:t>.</w:t>
            </w:r>
            <w:r w:rsidRPr="00B217BD">
              <w:rPr>
                <w:kern w:val="22"/>
                <w:szCs w:val="22"/>
              </w:rPr>
              <w:t xml:space="preserve">e. Novel life), </w:t>
            </w:r>
            <w:r w:rsidRPr="00B217BD">
              <w:t>for which there is no existing comparator organism.</w:t>
            </w:r>
          </w:p>
          <w:p w14:paraId="146D8D59" w14:textId="77777777" w:rsidR="00016094" w:rsidRPr="00B217BD" w:rsidRDefault="00016094" w:rsidP="00016094">
            <w:pPr>
              <w:pStyle w:val="Default"/>
            </w:pPr>
          </w:p>
          <w:p w14:paraId="49D45B89" w14:textId="5A1BA8C5" w:rsidR="00016094" w:rsidRPr="00B217BD" w:rsidRDefault="00016094" w:rsidP="00016094">
            <w:pPr>
              <w:pStyle w:val="Default"/>
            </w:pPr>
            <w:r w:rsidRPr="00B217BD">
              <w:lastRenderedPageBreak/>
              <w:t xml:space="preserve">The </w:t>
            </w:r>
            <w:r w:rsidR="00EA6431" w:rsidRPr="00B217BD">
              <w:t xml:space="preserve">availability of a relevant </w:t>
            </w:r>
            <w:r w:rsidRPr="00B217BD">
              <w:t xml:space="preserve">comparator is a critical </w:t>
            </w:r>
            <w:r w:rsidR="001E526F">
              <w:t xml:space="preserve">distinguishing </w:t>
            </w:r>
            <w:r w:rsidRPr="00B217BD">
              <w:t xml:space="preserve">issue, as it forms the basis for the existing risk assessment process as defined under the CPB.  The modified organism is compared with the existing organism, taking into account the modification.  A </w:t>
            </w:r>
            <w:r w:rsidRPr="00B217BD">
              <w:rPr>
                <w:b/>
                <w:i/>
              </w:rPr>
              <w:t>novel</w:t>
            </w:r>
            <w:r w:rsidRPr="00B217BD">
              <w:t xml:space="preserve"> organism has no </w:t>
            </w:r>
            <w:r w:rsidR="001E526F">
              <w:t xml:space="preserve">directly equivalent </w:t>
            </w:r>
            <w:r w:rsidRPr="00B217BD">
              <w:t>comparator, and therefore the risk assessment process is necessarily different.</w:t>
            </w:r>
          </w:p>
          <w:p w14:paraId="72C86631" w14:textId="77777777" w:rsidR="00016094" w:rsidRPr="00B217BD" w:rsidRDefault="00016094" w:rsidP="00016094">
            <w:pPr>
              <w:pStyle w:val="Default"/>
            </w:pPr>
          </w:p>
          <w:p w14:paraId="0D055453" w14:textId="2923FA37" w:rsidR="00016094" w:rsidRPr="00B217BD" w:rsidRDefault="00016094" w:rsidP="00016094">
            <w:pPr>
              <w:pStyle w:val="Default"/>
            </w:pPr>
            <w:r w:rsidRPr="00B217BD">
              <w:t>The alternative solution</w:t>
            </w:r>
            <w:r w:rsidR="00C03A62">
              <w:t xml:space="preserve"> – albeit </w:t>
            </w:r>
            <w:r w:rsidR="00DC5FA4">
              <w:t xml:space="preserve">eroding its functional utility </w:t>
            </w:r>
            <w:r w:rsidR="00C03A62">
              <w:t>-</w:t>
            </w:r>
            <w:r w:rsidRPr="00B217BD">
              <w:t xml:space="preserve"> is to retain the term Synthetic biology as an all-encompassing term, but recognize that is includes two substantial sub-classes – living modified organisms, and </w:t>
            </w:r>
            <w:r w:rsidRPr="00B217BD">
              <w:rPr>
                <w:b/>
                <w:i/>
              </w:rPr>
              <w:t>novel</w:t>
            </w:r>
            <w:r w:rsidRPr="00B217BD">
              <w:t xml:space="preserve"> organisms.  The distinction would be whether there is substantial equivalence to an existing organism (which would form the basis for deciding what risk assessment approach can be used). Synthetic biology could then not be identified as a ‘new and emerging issue’, but the </w:t>
            </w:r>
            <w:r w:rsidRPr="00B217BD">
              <w:rPr>
                <w:b/>
                <w:i/>
              </w:rPr>
              <w:t>novel</w:t>
            </w:r>
            <w:r w:rsidRPr="00B217BD">
              <w:t xml:space="preserve"> category (or sub categories of these) could be.</w:t>
            </w:r>
          </w:p>
          <w:p w14:paraId="2080A4A2" w14:textId="77777777" w:rsidR="00016094" w:rsidRPr="00B217BD" w:rsidRDefault="00016094" w:rsidP="00016094">
            <w:pPr>
              <w:pStyle w:val="Default"/>
            </w:pPr>
            <w:r w:rsidRPr="00B217BD">
              <w:t xml:space="preserve"> </w:t>
            </w:r>
          </w:p>
          <w:p w14:paraId="0238A256" w14:textId="5F7479E5" w:rsidR="00016094" w:rsidRPr="00B217BD" w:rsidRDefault="00016094" w:rsidP="00016094">
            <w:pPr>
              <w:pStyle w:val="Footer"/>
              <w:rPr>
                <w:lang w:val="en-US"/>
              </w:rPr>
            </w:pPr>
            <w:r w:rsidRPr="00B217BD">
              <w:rPr>
                <w:sz w:val="22"/>
                <w:szCs w:val="22"/>
                <w:lang w:val="en-US"/>
              </w:rPr>
              <w:t xml:space="preserve">It further needs to be </w:t>
            </w:r>
            <w:proofErr w:type="spellStart"/>
            <w:r w:rsidRPr="00B217BD">
              <w:rPr>
                <w:sz w:val="22"/>
                <w:szCs w:val="22"/>
                <w:lang w:val="en-US"/>
              </w:rPr>
              <w:t>recognised</w:t>
            </w:r>
            <w:proofErr w:type="spellEnd"/>
            <w:r w:rsidRPr="00B217BD">
              <w:rPr>
                <w:sz w:val="22"/>
                <w:szCs w:val="22"/>
                <w:lang w:val="en-US"/>
              </w:rPr>
              <w:t xml:space="preserve"> that i</w:t>
            </w:r>
            <w:r w:rsidRPr="00B217BD">
              <w:rPr>
                <w:lang w:val="en-US"/>
              </w:rPr>
              <w:t xml:space="preserve">ssues like Genome editing and Gene drives are genetic engineering techniques that could be applied either to modifying LMOs, or to </w:t>
            </w:r>
            <w:r w:rsidRPr="00B217BD">
              <w:rPr>
                <w:b/>
                <w:i/>
                <w:lang w:val="en-US"/>
              </w:rPr>
              <w:t>novel</w:t>
            </w:r>
            <w:r w:rsidRPr="00B217BD">
              <w:rPr>
                <w:lang w:val="en-US"/>
              </w:rPr>
              <w:t xml:space="preserve"> organisms, </w:t>
            </w:r>
            <w:r w:rsidR="00DC5FA4">
              <w:rPr>
                <w:lang w:val="en-US"/>
              </w:rPr>
              <w:t>and the risk assessment process</w:t>
            </w:r>
            <w:r w:rsidR="00DC5FA4" w:rsidRPr="00B217BD">
              <w:rPr>
                <w:lang w:val="en-US"/>
              </w:rPr>
              <w:t xml:space="preserve"> </w:t>
            </w:r>
            <w:r w:rsidR="00DC5FA4" w:rsidRPr="00B217BD">
              <w:rPr>
                <w:lang w:val="en-US"/>
              </w:rPr>
              <w:t xml:space="preserve">for either category </w:t>
            </w:r>
            <w:r w:rsidR="00DC5FA4">
              <w:rPr>
                <w:lang w:val="en-US"/>
              </w:rPr>
              <w:t xml:space="preserve">(although not yet developed for novel organisms) </w:t>
            </w:r>
            <w:r w:rsidRPr="00B217BD">
              <w:rPr>
                <w:lang w:val="en-US"/>
              </w:rPr>
              <w:t>would still hold.</w:t>
            </w:r>
          </w:p>
          <w:p w14:paraId="2E88B0AD" w14:textId="77777777" w:rsidR="00593BC6" w:rsidRPr="00B217BD" w:rsidRDefault="00593BC6" w:rsidP="00EA105F">
            <w:pPr>
              <w:rPr>
                <w:sz w:val="22"/>
                <w:szCs w:val="22"/>
                <w:lang w:val="en-US"/>
              </w:rPr>
            </w:pPr>
          </w:p>
        </w:tc>
      </w:tr>
      <w:tr w:rsidR="00593BC6" w:rsidRPr="00B217BD" w14:paraId="4A4D44A2" w14:textId="77777777" w:rsidTr="00135D96">
        <w:trPr>
          <w:cantSplit/>
          <w:trHeight w:val="233"/>
        </w:trPr>
        <w:tc>
          <w:tcPr>
            <w:tcW w:w="918" w:type="dxa"/>
          </w:tcPr>
          <w:p w14:paraId="7D986775" w14:textId="77777777" w:rsidR="00593BC6" w:rsidRPr="00B217BD" w:rsidRDefault="00593BC6" w:rsidP="00EA105F">
            <w:pPr>
              <w:rPr>
                <w:sz w:val="22"/>
                <w:szCs w:val="22"/>
                <w:lang w:val="en-US"/>
              </w:rPr>
            </w:pPr>
          </w:p>
        </w:tc>
        <w:tc>
          <w:tcPr>
            <w:tcW w:w="1125" w:type="dxa"/>
          </w:tcPr>
          <w:p w14:paraId="5AC5FC2C" w14:textId="77777777" w:rsidR="00593BC6" w:rsidRPr="00B217BD" w:rsidRDefault="00593BC6" w:rsidP="00EA105F">
            <w:pPr>
              <w:rPr>
                <w:sz w:val="22"/>
                <w:szCs w:val="22"/>
                <w:lang w:val="en-US"/>
              </w:rPr>
            </w:pPr>
          </w:p>
        </w:tc>
        <w:tc>
          <w:tcPr>
            <w:tcW w:w="8145" w:type="dxa"/>
            <w:gridSpan w:val="2"/>
          </w:tcPr>
          <w:p w14:paraId="786809CF" w14:textId="77777777" w:rsidR="00593BC6" w:rsidRPr="00B217BD" w:rsidRDefault="00593BC6" w:rsidP="00EA105F">
            <w:pPr>
              <w:rPr>
                <w:sz w:val="22"/>
                <w:szCs w:val="22"/>
                <w:lang w:val="en-US"/>
              </w:rPr>
            </w:pPr>
          </w:p>
        </w:tc>
      </w:tr>
      <w:tr w:rsidR="00593BC6" w:rsidRPr="00B217BD" w14:paraId="21C2AC39" w14:textId="77777777" w:rsidTr="00135D96">
        <w:trPr>
          <w:cantSplit/>
          <w:trHeight w:val="233"/>
        </w:trPr>
        <w:tc>
          <w:tcPr>
            <w:tcW w:w="918" w:type="dxa"/>
          </w:tcPr>
          <w:p w14:paraId="1A4F0A1E" w14:textId="77777777" w:rsidR="00593BC6" w:rsidRPr="00B217BD" w:rsidRDefault="00593BC6" w:rsidP="00EA105F">
            <w:pPr>
              <w:rPr>
                <w:sz w:val="22"/>
                <w:szCs w:val="22"/>
                <w:lang w:val="en-US"/>
              </w:rPr>
            </w:pPr>
          </w:p>
        </w:tc>
        <w:tc>
          <w:tcPr>
            <w:tcW w:w="1125" w:type="dxa"/>
          </w:tcPr>
          <w:p w14:paraId="6543DC9D" w14:textId="77777777" w:rsidR="00593BC6" w:rsidRPr="00B217BD" w:rsidRDefault="00593BC6" w:rsidP="00EA105F">
            <w:pPr>
              <w:rPr>
                <w:sz w:val="22"/>
                <w:szCs w:val="22"/>
                <w:lang w:val="en-US"/>
              </w:rPr>
            </w:pPr>
          </w:p>
        </w:tc>
        <w:tc>
          <w:tcPr>
            <w:tcW w:w="8145" w:type="dxa"/>
            <w:gridSpan w:val="2"/>
          </w:tcPr>
          <w:p w14:paraId="77736A51" w14:textId="77777777" w:rsidR="00593BC6" w:rsidRPr="00B217BD" w:rsidRDefault="00593BC6" w:rsidP="00EA105F">
            <w:pPr>
              <w:rPr>
                <w:sz w:val="22"/>
                <w:szCs w:val="22"/>
                <w:lang w:val="en-US"/>
              </w:rPr>
            </w:pPr>
          </w:p>
        </w:tc>
      </w:tr>
      <w:tr w:rsidR="00593BC6" w:rsidRPr="00B217BD" w14:paraId="6817A6D0" w14:textId="77777777" w:rsidTr="00135D96">
        <w:trPr>
          <w:cantSplit/>
          <w:trHeight w:val="233"/>
        </w:trPr>
        <w:tc>
          <w:tcPr>
            <w:tcW w:w="918" w:type="dxa"/>
          </w:tcPr>
          <w:p w14:paraId="4455D7DB" w14:textId="77777777" w:rsidR="00593BC6" w:rsidRPr="00B217BD" w:rsidRDefault="00593BC6" w:rsidP="00EA105F">
            <w:pPr>
              <w:rPr>
                <w:sz w:val="22"/>
                <w:szCs w:val="22"/>
                <w:lang w:val="en-US"/>
              </w:rPr>
            </w:pPr>
          </w:p>
        </w:tc>
        <w:tc>
          <w:tcPr>
            <w:tcW w:w="1125" w:type="dxa"/>
          </w:tcPr>
          <w:p w14:paraId="2C46BB89" w14:textId="77777777" w:rsidR="00593BC6" w:rsidRPr="00B217BD" w:rsidRDefault="00593BC6" w:rsidP="00EA105F">
            <w:pPr>
              <w:rPr>
                <w:sz w:val="22"/>
                <w:szCs w:val="22"/>
                <w:lang w:val="en-US"/>
              </w:rPr>
            </w:pPr>
          </w:p>
        </w:tc>
        <w:tc>
          <w:tcPr>
            <w:tcW w:w="8145" w:type="dxa"/>
            <w:gridSpan w:val="2"/>
          </w:tcPr>
          <w:p w14:paraId="30953B7B" w14:textId="77777777" w:rsidR="00593BC6" w:rsidRPr="00B217BD" w:rsidRDefault="00593BC6" w:rsidP="00EA105F">
            <w:pPr>
              <w:rPr>
                <w:sz w:val="22"/>
                <w:szCs w:val="22"/>
                <w:lang w:val="en-US"/>
              </w:rPr>
            </w:pPr>
            <w:r w:rsidRPr="00B217BD">
              <w:rPr>
                <w:sz w:val="22"/>
                <w:szCs w:val="22"/>
                <w:lang w:val="en-US"/>
              </w:rPr>
              <w:t>Additional rows can be added to this table by selecting “Table” followed by “insert” and “rows below”</w:t>
            </w:r>
          </w:p>
        </w:tc>
      </w:tr>
    </w:tbl>
    <w:p w14:paraId="6E675E30" w14:textId="77777777" w:rsidR="00593BC6" w:rsidRPr="00B217BD" w:rsidRDefault="00593BC6" w:rsidP="00593BC6">
      <w:pPr>
        <w:tabs>
          <w:tab w:val="left" w:pos="7020"/>
        </w:tabs>
        <w:ind w:right="44"/>
        <w:jc w:val="both"/>
        <w:rPr>
          <w:szCs w:val="22"/>
          <w:lang w:val="en-US"/>
        </w:rPr>
      </w:pPr>
    </w:p>
    <w:p w14:paraId="0E955578" w14:textId="77777777" w:rsidR="00593BC6" w:rsidRPr="00B217BD" w:rsidRDefault="00593BC6" w:rsidP="00593BC6">
      <w:pPr>
        <w:tabs>
          <w:tab w:val="left" w:pos="7020"/>
        </w:tabs>
        <w:ind w:right="44"/>
        <w:jc w:val="both"/>
        <w:rPr>
          <w:szCs w:val="22"/>
          <w:lang w:val="en-US"/>
        </w:rPr>
      </w:pPr>
    </w:p>
    <w:p w14:paraId="11FCA427" w14:textId="77777777" w:rsidR="00593BC6" w:rsidRPr="00B217BD" w:rsidRDefault="00593BC6" w:rsidP="00593BC6">
      <w:pPr>
        <w:tabs>
          <w:tab w:val="left" w:pos="7020"/>
        </w:tabs>
        <w:ind w:right="44"/>
        <w:jc w:val="both"/>
        <w:rPr>
          <w:szCs w:val="22"/>
          <w:lang w:val="en-US"/>
        </w:rPr>
      </w:pPr>
    </w:p>
    <w:p w14:paraId="2432318E" w14:textId="1E7BC26A" w:rsidR="004D6145" w:rsidRPr="00B217BD" w:rsidRDefault="00593BC6" w:rsidP="004B6042">
      <w:pPr>
        <w:pStyle w:val="Footer"/>
        <w:jc w:val="center"/>
        <w:rPr>
          <w:sz w:val="22"/>
          <w:szCs w:val="22"/>
          <w:lang w:val="en-US"/>
        </w:rPr>
      </w:pPr>
      <w:r w:rsidRPr="00B217BD">
        <w:rPr>
          <w:sz w:val="22"/>
          <w:szCs w:val="22"/>
          <w:lang w:val="en-US"/>
        </w:rPr>
        <w:t xml:space="preserve">Please submit your comments to </w:t>
      </w:r>
      <w:hyperlink r:id="rId8" w:history="1">
        <w:r w:rsidRPr="00B217BD">
          <w:rPr>
            <w:rStyle w:val="Hyperlink"/>
            <w:sz w:val="22"/>
            <w:szCs w:val="22"/>
            <w:lang w:val="en-US"/>
          </w:rPr>
          <w:t>secretariat@cbd.int</w:t>
        </w:r>
      </w:hyperlink>
      <w:r w:rsidRPr="00B217BD">
        <w:rPr>
          <w:sz w:val="22"/>
          <w:szCs w:val="22"/>
          <w:lang w:val="en-US"/>
        </w:rPr>
        <w:t>.</w:t>
      </w:r>
    </w:p>
    <w:p w14:paraId="5DA43641" w14:textId="77777777" w:rsidR="00712690" w:rsidRPr="00B217BD" w:rsidRDefault="00712690" w:rsidP="004B6042">
      <w:pPr>
        <w:pStyle w:val="Footer"/>
        <w:jc w:val="center"/>
        <w:rPr>
          <w:sz w:val="22"/>
          <w:szCs w:val="22"/>
          <w:lang w:val="en-US"/>
        </w:rPr>
      </w:pPr>
    </w:p>
    <w:p w14:paraId="66946E90" w14:textId="77777777" w:rsidR="00016094" w:rsidRPr="00B217BD" w:rsidRDefault="00016094">
      <w:pPr>
        <w:rPr>
          <w:rFonts w:ascii="Calibri" w:eastAsia="Calibri" w:hAnsi="Calibri"/>
          <w:sz w:val="20"/>
          <w:szCs w:val="20"/>
          <w:lang w:val="en-US"/>
        </w:rPr>
      </w:pPr>
    </w:p>
    <w:sectPr w:rsidR="00016094" w:rsidRPr="00B217BD" w:rsidSect="00EA105F">
      <w:headerReference w:type="first" r:id="rId9"/>
      <w:pgSz w:w="12240" w:h="15840" w:code="1"/>
      <w:pgMar w:top="1134" w:right="1418" w:bottom="1134" w:left="1418" w:header="340"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DFBF" w16cex:dateUtc="2021-06-11T11:12:00Z"/>
  <w16cex:commentExtensible w16cex:durableId="2471F0DD" w16cex:dateUtc="2021-06-14T13:14:00Z"/>
  <w16cex:commentExtensible w16cex:durableId="246DB5A1" w16cex:dateUtc="2021-06-11T08:12:00Z"/>
  <w16cex:commentExtensible w16cex:durableId="246DBEB6" w16cex:dateUtc="2021-06-11T08:51:00Z"/>
  <w16cex:commentExtensible w16cex:durableId="246DC776" w16cex:dateUtc="2021-06-11T09:28:00Z"/>
  <w16cex:commentExtensible w16cex:durableId="24720455" w16cex:dateUtc="2021-06-14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43414" w16cid:durableId="246DDFBF"/>
  <w16cid:commentId w16cid:paraId="04541F12" w16cid:durableId="2471F0DD"/>
  <w16cid:commentId w16cid:paraId="6F79B5C7" w16cid:durableId="246DB5A1"/>
  <w16cid:commentId w16cid:paraId="21E88C5F" w16cid:durableId="246DBEB6"/>
  <w16cid:commentId w16cid:paraId="18A2DE65" w16cid:durableId="246DC776"/>
  <w16cid:commentId w16cid:paraId="799B61BC" w16cid:durableId="247204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566EC" w14:textId="77777777" w:rsidR="004248F6" w:rsidRDefault="004248F6" w:rsidP="00593BC6">
      <w:r>
        <w:separator/>
      </w:r>
    </w:p>
  </w:endnote>
  <w:endnote w:type="continuationSeparator" w:id="0">
    <w:p w14:paraId="4CEC981D" w14:textId="77777777" w:rsidR="004248F6" w:rsidRDefault="004248F6"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0CFA" w14:textId="77777777" w:rsidR="004248F6" w:rsidRDefault="004248F6" w:rsidP="00593BC6">
      <w:r>
        <w:separator/>
      </w:r>
    </w:p>
  </w:footnote>
  <w:footnote w:type="continuationSeparator" w:id="0">
    <w:p w14:paraId="39F0F2EA" w14:textId="77777777" w:rsidR="004248F6" w:rsidRDefault="004248F6" w:rsidP="00593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A0D"/>
    <w:multiLevelType w:val="hybridMultilevel"/>
    <w:tmpl w:val="868AE86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06F6B1B"/>
    <w:multiLevelType w:val="hybridMultilevel"/>
    <w:tmpl w:val="6470941A"/>
    <w:lvl w:ilvl="0" w:tplc="AAE0F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603593"/>
    <w:multiLevelType w:val="hybridMultilevel"/>
    <w:tmpl w:val="B282984C"/>
    <w:lvl w:ilvl="0" w:tplc="C89CC4C0">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4F234C"/>
    <w:multiLevelType w:val="hybridMultilevel"/>
    <w:tmpl w:val="018EF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CE496F"/>
    <w:multiLevelType w:val="hybridMultilevel"/>
    <w:tmpl w:val="CA4ECC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4067D2"/>
    <w:multiLevelType w:val="hybridMultilevel"/>
    <w:tmpl w:val="64B051BC"/>
    <w:lvl w:ilvl="0" w:tplc="7C36C2B6">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16094"/>
    <w:rsid w:val="00054613"/>
    <w:rsid w:val="00091F4D"/>
    <w:rsid w:val="000A54FC"/>
    <w:rsid w:val="000B53F8"/>
    <w:rsid w:val="000E2E07"/>
    <w:rsid w:val="00135D96"/>
    <w:rsid w:val="00141A36"/>
    <w:rsid w:val="001E526F"/>
    <w:rsid w:val="0024383F"/>
    <w:rsid w:val="00243B0A"/>
    <w:rsid w:val="00293F84"/>
    <w:rsid w:val="0032155A"/>
    <w:rsid w:val="00363EF2"/>
    <w:rsid w:val="00366E15"/>
    <w:rsid w:val="00367677"/>
    <w:rsid w:val="003925B2"/>
    <w:rsid w:val="00393449"/>
    <w:rsid w:val="003B4C70"/>
    <w:rsid w:val="003C5737"/>
    <w:rsid w:val="004248F6"/>
    <w:rsid w:val="00430349"/>
    <w:rsid w:val="00490414"/>
    <w:rsid w:val="004B6042"/>
    <w:rsid w:val="004D6145"/>
    <w:rsid w:val="004E426F"/>
    <w:rsid w:val="004F0936"/>
    <w:rsid w:val="00510FEC"/>
    <w:rsid w:val="005123CE"/>
    <w:rsid w:val="00524BE0"/>
    <w:rsid w:val="005411E6"/>
    <w:rsid w:val="00582E53"/>
    <w:rsid w:val="00593BC6"/>
    <w:rsid w:val="00594E31"/>
    <w:rsid w:val="005B4C40"/>
    <w:rsid w:val="005C4C24"/>
    <w:rsid w:val="005C65E9"/>
    <w:rsid w:val="005D17D2"/>
    <w:rsid w:val="005E7013"/>
    <w:rsid w:val="00652D1D"/>
    <w:rsid w:val="006710E4"/>
    <w:rsid w:val="00684A80"/>
    <w:rsid w:val="0071149C"/>
    <w:rsid w:val="00712690"/>
    <w:rsid w:val="00735FF1"/>
    <w:rsid w:val="00746CBB"/>
    <w:rsid w:val="00770F48"/>
    <w:rsid w:val="00780EC4"/>
    <w:rsid w:val="00794BDD"/>
    <w:rsid w:val="007B1845"/>
    <w:rsid w:val="00825534"/>
    <w:rsid w:val="00851F9B"/>
    <w:rsid w:val="00854B69"/>
    <w:rsid w:val="00872EB7"/>
    <w:rsid w:val="008C05B8"/>
    <w:rsid w:val="008E632D"/>
    <w:rsid w:val="008F51C8"/>
    <w:rsid w:val="00947F63"/>
    <w:rsid w:val="00953319"/>
    <w:rsid w:val="00991F51"/>
    <w:rsid w:val="009B69E4"/>
    <w:rsid w:val="009C78FB"/>
    <w:rsid w:val="00A05BE6"/>
    <w:rsid w:val="00A24241"/>
    <w:rsid w:val="00A53C46"/>
    <w:rsid w:val="00A545C6"/>
    <w:rsid w:val="00A65457"/>
    <w:rsid w:val="00A657CD"/>
    <w:rsid w:val="00AD22DE"/>
    <w:rsid w:val="00B217BD"/>
    <w:rsid w:val="00B30682"/>
    <w:rsid w:val="00B373CC"/>
    <w:rsid w:val="00B662B0"/>
    <w:rsid w:val="00B76F7E"/>
    <w:rsid w:val="00B925E4"/>
    <w:rsid w:val="00BB14D8"/>
    <w:rsid w:val="00BD5D26"/>
    <w:rsid w:val="00C03A62"/>
    <w:rsid w:val="00C03E4F"/>
    <w:rsid w:val="00C33566"/>
    <w:rsid w:val="00CA0138"/>
    <w:rsid w:val="00CB1590"/>
    <w:rsid w:val="00CC23AC"/>
    <w:rsid w:val="00CD7370"/>
    <w:rsid w:val="00D07964"/>
    <w:rsid w:val="00D60758"/>
    <w:rsid w:val="00D70AAF"/>
    <w:rsid w:val="00D97576"/>
    <w:rsid w:val="00DC5FA4"/>
    <w:rsid w:val="00DD4F55"/>
    <w:rsid w:val="00DE2FED"/>
    <w:rsid w:val="00DE78AA"/>
    <w:rsid w:val="00E116EA"/>
    <w:rsid w:val="00E227B2"/>
    <w:rsid w:val="00EA105F"/>
    <w:rsid w:val="00EA6431"/>
    <w:rsid w:val="00EB416B"/>
    <w:rsid w:val="00EB63F9"/>
    <w:rsid w:val="00EF17D0"/>
    <w:rsid w:val="00EF608B"/>
    <w:rsid w:val="00F27985"/>
    <w:rsid w:val="00F73C17"/>
    <w:rsid w:val="00F754C0"/>
    <w:rsid w:val="00F8361C"/>
    <w:rsid w:val="00F85676"/>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paragraph" w:customStyle="1" w:styleId="Default">
    <w:name w:val="Default"/>
    <w:rsid w:val="00F8361C"/>
    <w:pPr>
      <w:widowControl w:val="0"/>
      <w:autoSpaceDE w:val="0"/>
      <w:autoSpaceDN w:val="0"/>
      <w:adjustRightInd w:val="0"/>
    </w:pPr>
    <w:rPr>
      <w:rFonts w:ascii="Times New Roman" w:hAnsi="Times New Roman"/>
      <w:color w:val="000000"/>
      <w:sz w:val="24"/>
      <w:szCs w:val="24"/>
      <w:lang w:val="en-US"/>
    </w:rPr>
  </w:style>
  <w:style w:type="character" w:styleId="CommentReference">
    <w:name w:val="annotation reference"/>
    <w:basedOn w:val="DefaultParagraphFont"/>
    <w:uiPriority w:val="99"/>
    <w:semiHidden/>
    <w:unhideWhenUsed/>
    <w:rsid w:val="00F85676"/>
    <w:rPr>
      <w:sz w:val="16"/>
      <w:szCs w:val="16"/>
    </w:rPr>
  </w:style>
  <w:style w:type="paragraph" w:styleId="CommentText">
    <w:name w:val="annotation text"/>
    <w:basedOn w:val="Normal"/>
    <w:link w:val="CommentTextChar"/>
    <w:uiPriority w:val="99"/>
    <w:semiHidden/>
    <w:unhideWhenUsed/>
    <w:rsid w:val="00F85676"/>
    <w:rPr>
      <w:sz w:val="20"/>
      <w:szCs w:val="20"/>
    </w:rPr>
  </w:style>
  <w:style w:type="character" w:customStyle="1" w:styleId="CommentTextChar">
    <w:name w:val="Comment Text Char"/>
    <w:basedOn w:val="DefaultParagraphFont"/>
    <w:link w:val="CommentText"/>
    <w:uiPriority w:val="99"/>
    <w:semiHidden/>
    <w:rsid w:val="00F8567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F85676"/>
    <w:rPr>
      <w:b/>
      <w:bCs/>
    </w:rPr>
  </w:style>
  <w:style w:type="character" w:customStyle="1" w:styleId="CommentSubjectChar">
    <w:name w:val="Comment Subject Char"/>
    <w:basedOn w:val="CommentTextChar"/>
    <w:link w:val="CommentSubject"/>
    <w:uiPriority w:val="99"/>
    <w:semiHidden/>
    <w:rsid w:val="00F85676"/>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iat@cbd.int"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C292-0D57-CD42-AB11-0F3EC5ED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597</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3993</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Microsoft Office User</cp:lastModifiedBy>
  <cp:revision>5</cp:revision>
  <dcterms:created xsi:type="dcterms:W3CDTF">2021-06-15T09:00:00Z</dcterms:created>
  <dcterms:modified xsi:type="dcterms:W3CDTF">2021-06-15T09:39:00Z</dcterms:modified>
</cp:coreProperties>
</file>