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125"/>
        <w:gridCol w:w="107"/>
        <w:gridCol w:w="8038"/>
      </w:tblGrid>
      <w:tr w:rsidR="00593BC6" w:rsidRPr="00C658CD" w14:paraId="7DBA9CF5" w14:textId="77777777" w:rsidTr="00EA105F">
        <w:trPr>
          <w:cantSplit/>
          <w:trHeight w:val="233"/>
        </w:trPr>
        <w:tc>
          <w:tcPr>
            <w:tcW w:w="10188" w:type="dxa"/>
            <w:gridSpan w:val="4"/>
            <w:shd w:val="clear" w:color="auto" w:fill="C0C0C0"/>
          </w:tcPr>
          <w:p w14:paraId="0C71E9D1" w14:textId="77777777" w:rsidR="00593BC6" w:rsidRPr="00C658CD" w:rsidRDefault="00593BC6" w:rsidP="00EA105F">
            <w:pPr>
              <w:rPr>
                <w:b/>
                <w:sz w:val="22"/>
                <w:szCs w:val="22"/>
              </w:rPr>
            </w:pPr>
          </w:p>
          <w:p w14:paraId="0923A0AA" w14:textId="77777777" w:rsidR="00593BC6" w:rsidRPr="00C658CD" w:rsidRDefault="00593BC6" w:rsidP="00EA105F">
            <w:pPr>
              <w:rPr>
                <w:b/>
                <w:sz w:val="22"/>
                <w:szCs w:val="22"/>
              </w:rPr>
            </w:pPr>
            <w:r w:rsidRPr="00C658CD">
              <w:rPr>
                <w:b/>
                <w:sz w:val="22"/>
                <w:szCs w:val="22"/>
              </w:rPr>
              <w:t>Contact information</w:t>
            </w:r>
          </w:p>
          <w:p w14:paraId="36D753E7" w14:textId="77777777" w:rsidR="00593BC6" w:rsidRPr="00C658CD" w:rsidRDefault="00593BC6" w:rsidP="00EA105F">
            <w:pPr>
              <w:rPr>
                <w:b/>
                <w:sz w:val="22"/>
                <w:szCs w:val="22"/>
              </w:rPr>
            </w:pPr>
          </w:p>
        </w:tc>
      </w:tr>
      <w:tr w:rsidR="00593BC6" w:rsidRPr="00C658CD" w14:paraId="399E2057" w14:textId="77777777" w:rsidTr="00EA105F">
        <w:trPr>
          <w:cantSplit/>
          <w:trHeight w:val="270"/>
        </w:trPr>
        <w:tc>
          <w:tcPr>
            <w:tcW w:w="2150" w:type="dxa"/>
            <w:gridSpan w:val="3"/>
          </w:tcPr>
          <w:p w14:paraId="7B244D40" w14:textId="77777777" w:rsidR="00593BC6" w:rsidRPr="00C658CD" w:rsidRDefault="00593BC6" w:rsidP="00EA105F">
            <w:pPr>
              <w:rPr>
                <w:b/>
                <w:sz w:val="22"/>
                <w:szCs w:val="22"/>
              </w:rPr>
            </w:pPr>
            <w:r w:rsidRPr="00C658CD">
              <w:rPr>
                <w:b/>
                <w:sz w:val="22"/>
                <w:szCs w:val="22"/>
              </w:rPr>
              <w:t>Surname:</w:t>
            </w:r>
          </w:p>
        </w:tc>
        <w:tc>
          <w:tcPr>
            <w:tcW w:w="8038" w:type="dxa"/>
          </w:tcPr>
          <w:p w14:paraId="3AB47FF8" w14:textId="5D3D1C0F" w:rsidR="00593BC6" w:rsidRPr="00C658CD" w:rsidRDefault="00504A19" w:rsidP="00EA105F">
            <w:pPr>
              <w:rPr>
                <w:sz w:val="22"/>
                <w:szCs w:val="22"/>
              </w:rPr>
            </w:pPr>
            <w:r>
              <w:rPr>
                <w:sz w:val="22"/>
                <w:szCs w:val="22"/>
              </w:rPr>
              <w:t>Friedman</w:t>
            </w:r>
          </w:p>
        </w:tc>
      </w:tr>
      <w:tr w:rsidR="00593BC6" w:rsidRPr="00C658CD" w14:paraId="2D70246E" w14:textId="77777777" w:rsidTr="00EA105F">
        <w:trPr>
          <w:cantSplit/>
          <w:trHeight w:val="280"/>
        </w:trPr>
        <w:tc>
          <w:tcPr>
            <w:tcW w:w="2150" w:type="dxa"/>
            <w:gridSpan w:val="3"/>
          </w:tcPr>
          <w:p w14:paraId="024B7BE1" w14:textId="77777777" w:rsidR="00593BC6" w:rsidRPr="00C658CD" w:rsidRDefault="00593BC6" w:rsidP="00EA105F">
            <w:pPr>
              <w:rPr>
                <w:b/>
                <w:sz w:val="22"/>
                <w:szCs w:val="22"/>
              </w:rPr>
            </w:pPr>
          </w:p>
        </w:tc>
        <w:tc>
          <w:tcPr>
            <w:tcW w:w="8038" w:type="dxa"/>
          </w:tcPr>
          <w:p w14:paraId="24DC2B26" w14:textId="77777777" w:rsidR="00593BC6" w:rsidRPr="00C658CD" w:rsidRDefault="00593BC6" w:rsidP="00EA105F">
            <w:pPr>
              <w:rPr>
                <w:sz w:val="22"/>
                <w:szCs w:val="22"/>
              </w:rPr>
            </w:pPr>
          </w:p>
        </w:tc>
      </w:tr>
      <w:tr w:rsidR="00593BC6" w:rsidRPr="00C658CD" w14:paraId="6960F46D" w14:textId="77777777" w:rsidTr="00EA105F">
        <w:trPr>
          <w:cantSplit/>
          <w:trHeight w:val="270"/>
        </w:trPr>
        <w:tc>
          <w:tcPr>
            <w:tcW w:w="2150" w:type="dxa"/>
            <w:gridSpan w:val="3"/>
          </w:tcPr>
          <w:p w14:paraId="42324F5A" w14:textId="77777777" w:rsidR="00593BC6" w:rsidRPr="00C658CD" w:rsidRDefault="00593BC6" w:rsidP="00EA105F">
            <w:pPr>
              <w:rPr>
                <w:b/>
                <w:sz w:val="22"/>
                <w:szCs w:val="22"/>
              </w:rPr>
            </w:pPr>
            <w:r w:rsidRPr="00C658CD">
              <w:rPr>
                <w:b/>
                <w:sz w:val="22"/>
                <w:szCs w:val="22"/>
              </w:rPr>
              <w:t>Given Name:</w:t>
            </w:r>
          </w:p>
        </w:tc>
        <w:tc>
          <w:tcPr>
            <w:tcW w:w="8038" w:type="dxa"/>
          </w:tcPr>
          <w:p w14:paraId="1F1AFCCD" w14:textId="7EE4EC5D" w:rsidR="00593BC6" w:rsidRPr="00C658CD" w:rsidRDefault="00504A19" w:rsidP="00EA105F">
            <w:pPr>
              <w:rPr>
                <w:sz w:val="22"/>
                <w:szCs w:val="22"/>
              </w:rPr>
            </w:pPr>
            <w:r>
              <w:rPr>
                <w:sz w:val="22"/>
                <w:szCs w:val="22"/>
              </w:rPr>
              <w:t>Robert</w:t>
            </w:r>
          </w:p>
        </w:tc>
      </w:tr>
      <w:tr w:rsidR="00593BC6" w:rsidRPr="00C658CD" w14:paraId="4D0E31D1" w14:textId="77777777" w:rsidTr="00EA105F">
        <w:trPr>
          <w:cantSplit/>
          <w:trHeight w:val="280"/>
        </w:trPr>
        <w:tc>
          <w:tcPr>
            <w:tcW w:w="2150" w:type="dxa"/>
            <w:gridSpan w:val="3"/>
          </w:tcPr>
          <w:p w14:paraId="478DDD07" w14:textId="77777777" w:rsidR="00593BC6" w:rsidRPr="00C658CD" w:rsidRDefault="00593BC6" w:rsidP="00EA105F">
            <w:pPr>
              <w:rPr>
                <w:b/>
                <w:sz w:val="22"/>
                <w:szCs w:val="22"/>
              </w:rPr>
            </w:pPr>
          </w:p>
        </w:tc>
        <w:tc>
          <w:tcPr>
            <w:tcW w:w="8038" w:type="dxa"/>
          </w:tcPr>
          <w:p w14:paraId="286530CF" w14:textId="77777777" w:rsidR="00593BC6" w:rsidRPr="00C658CD" w:rsidRDefault="00593BC6" w:rsidP="00EA105F">
            <w:pPr>
              <w:rPr>
                <w:sz w:val="22"/>
                <w:szCs w:val="22"/>
              </w:rPr>
            </w:pPr>
          </w:p>
        </w:tc>
      </w:tr>
      <w:tr w:rsidR="00593BC6" w:rsidRPr="00FF1A2A" w14:paraId="1C3067B8" w14:textId="77777777" w:rsidTr="00EA105F">
        <w:trPr>
          <w:cantSplit/>
          <w:trHeight w:val="270"/>
        </w:trPr>
        <w:tc>
          <w:tcPr>
            <w:tcW w:w="2150" w:type="dxa"/>
            <w:gridSpan w:val="3"/>
          </w:tcPr>
          <w:p w14:paraId="3499F6BE" w14:textId="77777777" w:rsidR="00593BC6" w:rsidRPr="00C658CD" w:rsidRDefault="00593BC6" w:rsidP="00EA105F">
            <w:pPr>
              <w:rPr>
                <w:b/>
                <w:sz w:val="22"/>
                <w:szCs w:val="22"/>
              </w:rPr>
            </w:pPr>
            <w:r w:rsidRPr="00C658CD">
              <w:rPr>
                <w:b/>
                <w:sz w:val="22"/>
                <w:szCs w:val="22"/>
              </w:rPr>
              <w:t>Government</w:t>
            </w:r>
          </w:p>
        </w:tc>
        <w:tc>
          <w:tcPr>
            <w:tcW w:w="8038" w:type="dxa"/>
          </w:tcPr>
          <w:p w14:paraId="119BAC5F" w14:textId="77777777" w:rsidR="00593BC6" w:rsidRPr="00F86F63" w:rsidRDefault="00593BC6" w:rsidP="00EA105F">
            <w:pPr>
              <w:rPr>
                <w:sz w:val="22"/>
                <w:szCs w:val="22"/>
              </w:rPr>
            </w:pPr>
          </w:p>
        </w:tc>
      </w:tr>
      <w:tr w:rsidR="00593BC6" w:rsidRPr="00C658CD" w14:paraId="590623FC" w14:textId="77777777" w:rsidTr="00EA105F">
        <w:trPr>
          <w:cantSplit/>
          <w:trHeight w:val="280"/>
        </w:trPr>
        <w:tc>
          <w:tcPr>
            <w:tcW w:w="2150" w:type="dxa"/>
            <w:gridSpan w:val="3"/>
          </w:tcPr>
          <w:p w14:paraId="0807C1F5" w14:textId="77777777" w:rsidR="00593BC6" w:rsidRPr="00C658CD" w:rsidRDefault="00593BC6" w:rsidP="00EA105F">
            <w:pPr>
              <w:rPr>
                <w:b/>
                <w:sz w:val="22"/>
                <w:szCs w:val="22"/>
              </w:rPr>
            </w:pPr>
            <w:r w:rsidRPr="00C658CD">
              <w:rPr>
                <w:b/>
                <w:sz w:val="22"/>
                <w:szCs w:val="22"/>
              </w:rPr>
              <w:t>(if applicable):</w:t>
            </w:r>
          </w:p>
        </w:tc>
        <w:tc>
          <w:tcPr>
            <w:tcW w:w="8038" w:type="dxa"/>
          </w:tcPr>
          <w:p w14:paraId="2CA88BC1" w14:textId="77777777" w:rsidR="00593BC6" w:rsidRPr="00C658CD" w:rsidRDefault="00593BC6" w:rsidP="00EA105F">
            <w:pPr>
              <w:rPr>
                <w:sz w:val="22"/>
                <w:szCs w:val="22"/>
              </w:rPr>
            </w:pPr>
          </w:p>
        </w:tc>
      </w:tr>
      <w:tr w:rsidR="00593BC6" w:rsidRPr="00C658CD" w14:paraId="131D5B27" w14:textId="77777777" w:rsidTr="00EA105F">
        <w:trPr>
          <w:cantSplit/>
          <w:trHeight w:val="270"/>
        </w:trPr>
        <w:tc>
          <w:tcPr>
            <w:tcW w:w="2150" w:type="dxa"/>
            <w:gridSpan w:val="3"/>
          </w:tcPr>
          <w:p w14:paraId="5B9F4F37" w14:textId="77777777" w:rsidR="00593BC6" w:rsidRPr="00C658CD" w:rsidRDefault="00593BC6" w:rsidP="00EA105F">
            <w:pPr>
              <w:rPr>
                <w:b/>
                <w:sz w:val="22"/>
                <w:szCs w:val="22"/>
              </w:rPr>
            </w:pPr>
          </w:p>
        </w:tc>
        <w:tc>
          <w:tcPr>
            <w:tcW w:w="8038" w:type="dxa"/>
          </w:tcPr>
          <w:p w14:paraId="09AED490" w14:textId="77777777" w:rsidR="00593BC6" w:rsidRPr="00C658CD" w:rsidRDefault="00593BC6" w:rsidP="00EA105F">
            <w:pPr>
              <w:rPr>
                <w:sz w:val="22"/>
                <w:szCs w:val="22"/>
              </w:rPr>
            </w:pPr>
          </w:p>
        </w:tc>
      </w:tr>
      <w:tr w:rsidR="00593BC6" w:rsidRPr="00C658CD" w14:paraId="2C8FC01D" w14:textId="77777777" w:rsidTr="00EA105F">
        <w:trPr>
          <w:cantSplit/>
          <w:trHeight w:val="270"/>
        </w:trPr>
        <w:tc>
          <w:tcPr>
            <w:tcW w:w="2150" w:type="dxa"/>
            <w:gridSpan w:val="3"/>
          </w:tcPr>
          <w:p w14:paraId="683E9B8A" w14:textId="77777777" w:rsidR="00593BC6" w:rsidRPr="00C658CD" w:rsidRDefault="00593BC6" w:rsidP="00EA105F">
            <w:pPr>
              <w:rPr>
                <w:b/>
                <w:sz w:val="22"/>
                <w:szCs w:val="22"/>
              </w:rPr>
            </w:pPr>
            <w:r w:rsidRPr="00C658CD">
              <w:rPr>
                <w:b/>
                <w:sz w:val="22"/>
                <w:szCs w:val="22"/>
              </w:rPr>
              <w:t>Organization:</w:t>
            </w:r>
          </w:p>
        </w:tc>
        <w:tc>
          <w:tcPr>
            <w:tcW w:w="8038" w:type="dxa"/>
          </w:tcPr>
          <w:p w14:paraId="44E1FC10" w14:textId="2DAF655A" w:rsidR="00593BC6" w:rsidRPr="00C658CD" w:rsidRDefault="00504A19" w:rsidP="00EA105F">
            <w:pPr>
              <w:rPr>
                <w:sz w:val="22"/>
                <w:szCs w:val="22"/>
              </w:rPr>
            </w:pPr>
            <w:r>
              <w:rPr>
                <w:sz w:val="22"/>
                <w:szCs w:val="22"/>
              </w:rPr>
              <w:t>J. Craig Venter Institute</w:t>
            </w:r>
          </w:p>
        </w:tc>
      </w:tr>
      <w:tr w:rsidR="00593BC6" w:rsidRPr="00C658CD" w14:paraId="3ED36EA3" w14:textId="77777777" w:rsidTr="00EA105F">
        <w:trPr>
          <w:cantSplit/>
          <w:trHeight w:val="233"/>
        </w:trPr>
        <w:tc>
          <w:tcPr>
            <w:tcW w:w="2150" w:type="dxa"/>
            <w:gridSpan w:val="3"/>
          </w:tcPr>
          <w:p w14:paraId="21C9EB42" w14:textId="77777777" w:rsidR="00593BC6" w:rsidRPr="00C658CD" w:rsidRDefault="00593BC6" w:rsidP="00EA105F">
            <w:pPr>
              <w:rPr>
                <w:b/>
                <w:sz w:val="22"/>
                <w:szCs w:val="22"/>
              </w:rPr>
            </w:pPr>
          </w:p>
        </w:tc>
        <w:tc>
          <w:tcPr>
            <w:tcW w:w="8038" w:type="dxa"/>
          </w:tcPr>
          <w:p w14:paraId="5A530AD5" w14:textId="77777777" w:rsidR="00593BC6" w:rsidRPr="00C658CD" w:rsidRDefault="00593BC6" w:rsidP="00EA105F">
            <w:pPr>
              <w:rPr>
                <w:sz w:val="22"/>
                <w:szCs w:val="22"/>
              </w:rPr>
            </w:pPr>
          </w:p>
        </w:tc>
      </w:tr>
      <w:tr w:rsidR="00593BC6" w:rsidRPr="00C658CD" w14:paraId="329D03C5" w14:textId="77777777" w:rsidTr="00EA105F">
        <w:trPr>
          <w:cantSplit/>
          <w:trHeight w:val="233"/>
        </w:trPr>
        <w:tc>
          <w:tcPr>
            <w:tcW w:w="2150" w:type="dxa"/>
            <w:gridSpan w:val="3"/>
          </w:tcPr>
          <w:p w14:paraId="50483436" w14:textId="77777777" w:rsidR="00593BC6" w:rsidRPr="00C658CD" w:rsidRDefault="00593BC6" w:rsidP="00EA105F">
            <w:pPr>
              <w:rPr>
                <w:b/>
                <w:sz w:val="22"/>
                <w:szCs w:val="22"/>
              </w:rPr>
            </w:pPr>
            <w:r w:rsidRPr="00C658CD">
              <w:rPr>
                <w:b/>
                <w:sz w:val="22"/>
                <w:szCs w:val="22"/>
              </w:rPr>
              <w:t>E-mail:</w:t>
            </w:r>
          </w:p>
        </w:tc>
        <w:tc>
          <w:tcPr>
            <w:tcW w:w="8038" w:type="dxa"/>
          </w:tcPr>
          <w:p w14:paraId="7D07E304" w14:textId="07707098" w:rsidR="00593BC6" w:rsidRPr="00C658CD" w:rsidRDefault="00504A19" w:rsidP="00EA105F">
            <w:pPr>
              <w:rPr>
                <w:sz w:val="22"/>
                <w:szCs w:val="22"/>
              </w:rPr>
            </w:pPr>
            <w:r>
              <w:rPr>
                <w:sz w:val="22"/>
                <w:szCs w:val="22"/>
              </w:rPr>
              <w:t>rfriedman@jcvi.org</w:t>
            </w:r>
          </w:p>
        </w:tc>
      </w:tr>
      <w:tr w:rsidR="00593BC6" w:rsidRPr="00C658CD" w14:paraId="59BA55E5" w14:textId="77777777" w:rsidTr="00EA105F">
        <w:trPr>
          <w:cantSplit/>
          <w:trHeight w:val="233"/>
        </w:trPr>
        <w:tc>
          <w:tcPr>
            <w:tcW w:w="2150" w:type="dxa"/>
            <w:gridSpan w:val="3"/>
          </w:tcPr>
          <w:p w14:paraId="4CA66506" w14:textId="77777777" w:rsidR="00593BC6" w:rsidRPr="00C658CD" w:rsidRDefault="00593BC6" w:rsidP="00EA105F">
            <w:pPr>
              <w:rPr>
                <w:b/>
                <w:sz w:val="22"/>
                <w:szCs w:val="22"/>
              </w:rPr>
            </w:pPr>
          </w:p>
        </w:tc>
        <w:tc>
          <w:tcPr>
            <w:tcW w:w="8038" w:type="dxa"/>
          </w:tcPr>
          <w:p w14:paraId="267E6375" w14:textId="77777777" w:rsidR="00593BC6" w:rsidRPr="00C658CD" w:rsidRDefault="00593BC6" w:rsidP="00EA105F">
            <w:pPr>
              <w:rPr>
                <w:sz w:val="22"/>
                <w:szCs w:val="22"/>
              </w:rPr>
            </w:pPr>
          </w:p>
        </w:tc>
      </w:tr>
      <w:tr w:rsidR="00593BC6" w:rsidRPr="00C658CD" w14:paraId="333DFC97" w14:textId="77777777" w:rsidTr="00EA105F">
        <w:trPr>
          <w:cantSplit/>
          <w:trHeight w:val="233"/>
        </w:trPr>
        <w:tc>
          <w:tcPr>
            <w:tcW w:w="10188" w:type="dxa"/>
            <w:gridSpan w:val="4"/>
            <w:shd w:val="clear" w:color="auto" w:fill="BFBFBF"/>
          </w:tcPr>
          <w:p w14:paraId="21278E85" w14:textId="77777777" w:rsidR="00593BC6" w:rsidRPr="00C658CD" w:rsidRDefault="00593BC6" w:rsidP="00EA105F">
            <w:pPr>
              <w:rPr>
                <w:b/>
                <w:sz w:val="22"/>
                <w:szCs w:val="22"/>
              </w:rPr>
            </w:pPr>
          </w:p>
          <w:p w14:paraId="05933792" w14:textId="14B8E253" w:rsidR="00593BC6" w:rsidRPr="00C658CD" w:rsidRDefault="00593BC6" w:rsidP="00EA105F">
            <w:pPr>
              <w:rPr>
                <w:b/>
                <w:sz w:val="22"/>
                <w:szCs w:val="22"/>
              </w:rPr>
            </w:pPr>
            <w:r w:rsidRPr="00C658CD">
              <w:rPr>
                <w:b/>
                <w:sz w:val="22"/>
                <w:szCs w:val="22"/>
              </w:rPr>
              <w:t>Comments on th</w:t>
            </w:r>
            <w:r w:rsidR="00363EF2">
              <w:rPr>
                <w:b/>
                <w:sz w:val="22"/>
                <w:szCs w:val="22"/>
              </w:rPr>
              <w:t>e Technical Series on Synthetic Biology</w:t>
            </w:r>
          </w:p>
          <w:p w14:paraId="7BC798CD" w14:textId="77777777" w:rsidR="00593BC6" w:rsidRPr="00C658CD" w:rsidRDefault="00593BC6" w:rsidP="00EA105F">
            <w:pPr>
              <w:rPr>
                <w:b/>
                <w:sz w:val="22"/>
                <w:szCs w:val="22"/>
              </w:rPr>
            </w:pPr>
          </w:p>
        </w:tc>
      </w:tr>
      <w:tr w:rsidR="00593BC6" w:rsidRPr="00C658CD" w14:paraId="2A5F8AC1" w14:textId="77777777" w:rsidTr="00135D96">
        <w:trPr>
          <w:cantSplit/>
          <w:trHeight w:val="233"/>
        </w:trPr>
        <w:tc>
          <w:tcPr>
            <w:tcW w:w="918" w:type="dxa"/>
          </w:tcPr>
          <w:p w14:paraId="6C0FFA1B" w14:textId="77777777" w:rsidR="00593BC6" w:rsidRPr="00C658CD" w:rsidRDefault="00593BC6" w:rsidP="00EA105F">
            <w:pPr>
              <w:rPr>
                <w:b/>
                <w:sz w:val="22"/>
                <w:szCs w:val="22"/>
              </w:rPr>
            </w:pPr>
            <w:r w:rsidRPr="00C658CD">
              <w:rPr>
                <w:b/>
                <w:sz w:val="22"/>
                <w:szCs w:val="22"/>
              </w:rPr>
              <w:t>Page</w:t>
            </w:r>
            <w:r w:rsidR="00F94D0C">
              <w:rPr>
                <w:b/>
                <w:sz w:val="22"/>
                <w:szCs w:val="22"/>
              </w:rPr>
              <w:t xml:space="preserve"> #</w:t>
            </w:r>
          </w:p>
        </w:tc>
        <w:tc>
          <w:tcPr>
            <w:tcW w:w="1125" w:type="dxa"/>
          </w:tcPr>
          <w:p w14:paraId="3BFAC210" w14:textId="77777777" w:rsidR="00593BC6" w:rsidRPr="00C658CD" w:rsidRDefault="005411E6" w:rsidP="00135D96">
            <w:pPr>
              <w:rPr>
                <w:b/>
                <w:sz w:val="22"/>
                <w:szCs w:val="22"/>
              </w:rPr>
            </w:pPr>
            <w:r>
              <w:rPr>
                <w:b/>
                <w:sz w:val="22"/>
                <w:szCs w:val="22"/>
              </w:rPr>
              <w:t xml:space="preserve">Line </w:t>
            </w:r>
            <w:r w:rsidR="00135D96">
              <w:rPr>
                <w:b/>
                <w:sz w:val="22"/>
                <w:szCs w:val="22"/>
              </w:rPr>
              <w:t>#</w:t>
            </w:r>
          </w:p>
        </w:tc>
        <w:tc>
          <w:tcPr>
            <w:tcW w:w="8145" w:type="dxa"/>
            <w:gridSpan w:val="2"/>
          </w:tcPr>
          <w:p w14:paraId="1DF3BB27" w14:textId="77777777" w:rsidR="00593BC6" w:rsidRPr="00C658CD" w:rsidRDefault="00593BC6" w:rsidP="00EA105F">
            <w:pPr>
              <w:rPr>
                <w:b/>
                <w:sz w:val="22"/>
                <w:szCs w:val="22"/>
              </w:rPr>
            </w:pPr>
            <w:r w:rsidRPr="00C658CD">
              <w:rPr>
                <w:b/>
                <w:sz w:val="22"/>
                <w:szCs w:val="22"/>
              </w:rPr>
              <w:t>Comment</w:t>
            </w:r>
          </w:p>
        </w:tc>
      </w:tr>
      <w:tr w:rsidR="00FF685C" w:rsidRPr="00C658CD" w14:paraId="48E96792" w14:textId="77777777" w:rsidTr="00135D96">
        <w:trPr>
          <w:cantSplit/>
          <w:trHeight w:val="233"/>
        </w:trPr>
        <w:tc>
          <w:tcPr>
            <w:tcW w:w="918" w:type="dxa"/>
          </w:tcPr>
          <w:p w14:paraId="55953C40" w14:textId="77777777" w:rsidR="00FF685C" w:rsidRDefault="00FF685C" w:rsidP="00EA105F">
            <w:pPr>
              <w:rPr>
                <w:sz w:val="22"/>
                <w:szCs w:val="22"/>
              </w:rPr>
            </w:pPr>
          </w:p>
        </w:tc>
        <w:tc>
          <w:tcPr>
            <w:tcW w:w="1125" w:type="dxa"/>
          </w:tcPr>
          <w:p w14:paraId="59355810" w14:textId="77777777" w:rsidR="00FF685C" w:rsidRDefault="00FF685C" w:rsidP="00EA105F">
            <w:pPr>
              <w:rPr>
                <w:sz w:val="22"/>
                <w:szCs w:val="22"/>
              </w:rPr>
            </w:pPr>
          </w:p>
        </w:tc>
        <w:tc>
          <w:tcPr>
            <w:tcW w:w="8145" w:type="dxa"/>
            <w:gridSpan w:val="2"/>
          </w:tcPr>
          <w:p w14:paraId="52EE00DE" w14:textId="77777777" w:rsidR="009C5E48" w:rsidRDefault="00FF685C" w:rsidP="006E7BF8">
            <w:pPr>
              <w:rPr>
                <w:sz w:val="22"/>
                <w:szCs w:val="22"/>
              </w:rPr>
            </w:pPr>
            <w:r>
              <w:rPr>
                <w:sz w:val="22"/>
                <w:szCs w:val="22"/>
              </w:rPr>
              <w:t>The 2021 draft of the Technical Series on Synthetic Biology</w:t>
            </w:r>
            <w:r w:rsidR="000C2AD6">
              <w:rPr>
                <w:sz w:val="22"/>
                <w:szCs w:val="22"/>
              </w:rPr>
              <w:t xml:space="preserve"> is a welcome update to the original edition issued six years earlier. The draft covers an impressive number and breadth of publications on the topic.  I have a few general suggestions for improvement before a final version is issued.  </w:t>
            </w:r>
          </w:p>
          <w:p w14:paraId="26C50C7D" w14:textId="77777777" w:rsidR="009C5E48" w:rsidRDefault="009C5E48" w:rsidP="006E7BF8">
            <w:pPr>
              <w:rPr>
                <w:sz w:val="22"/>
                <w:szCs w:val="22"/>
              </w:rPr>
            </w:pPr>
          </w:p>
          <w:p w14:paraId="05C3ED07" w14:textId="2186D789" w:rsidR="00FF685C" w:rsidRDefault="007C6D35" w:rsidP="006E7BF8">
            <w:pPr>
              <w:rPr>
                <w:sz w:val="22"/>
                <w:szCs w:val="22"/>
              </w:rPr>
            </w:pPr>
            <w:r>
              <w:rPr>
                <w:sz w:val="22"/>
                <w:szCs w:val="22"/>
              </w:rPr>
              <w:t>First, the more detailed sections, i.e., Sections C</w:t>
            </w:r>
            <w:r w:rsidR="009C5E48">
              <w:rPr>
                <w:sz w:val="22"/>
                <w:szCs w:val="22"/>
              </w:rPr>
              <w:t>, D, and</w:t>
            </w:r>
            <w:r>
              <w:rPr>
                <w:sz w:val="22"/>
                <w:szCs w:val="22"/>
              </w:rPr>
              <w:t xml:space="preserve"> </w:t>
            </w:r>
            <w:r w:rsidR="009C5E48">
              <w:rPr>
                <w:sz w:val="22"/>
                <w:szCs w:val="22"/>
              </w:rPr>
              <w:t xml:space="preserve">E </w:t>
            </w:r>
            <w:r>
              <w:rPr>
                <w:sz w:val="22"/>
                <w:szCs w:val="22"/>
              </w:rPr>
              <w:t xml:space="preserve">illustrate well the wide range of potential applications of synthetic biology, the breadth of </w:t>
            </w:r>
            <w:r w:rsidR="009C5E48">
              <w:rPr>
                <w:sz w:val="22"/>
                <w:szCs w:val="22"/>
              </w:rPr>
              <w:t xml:space="preserve">the technologies, and hence the significant governance mechanisms that currently exist.  </w:t>
            </w:r>
            <w:r w:rsidR="003E03E0">
              <w:rPr>
                <w:sz w:val="22"/>
                <w:szCs w:val="22"/>
              </w:rPr>
              <w:t>However, t</w:t>
            </w:r>
            <w:r w:rsidR="009C5E48">
              <w:rPr>
                <w:sz w:val="22"/>
                <w:szCs w:val="22"/>
              </w:rPr>
              <w:t xml:space="preserve">he Executive Summary (Section A) and Conclusions (Section F) all too often </w:t>
            </w:r>
            <w:r w:rsidR="002C2AC6">
              <w:rPr>
                <w:sz w:val="22"/>
                <w:szCs w:val="22"/>
              </w:rPr>
              <w:t>state</w:t>
            </w:r>
            <w:r w:rsidR="009C5E48">
              <w:rPr>
                <w:sz w:val="22"/>
                <w:szCs w:val="22"/>
              </w:rPr>
              <w:t xml:space="preserve"> generalizations that are </w:t>
            </w:r>
            <w:r w:rsidR="003E03E0">
              <w:rPr>
                <w:sz w:val="22"/>
                <w:szCs w:val="22"/>
              </w:rPr>
              <w:t>just too bro</w:t>
            </w:r>
            <w:r w:rsidR="002C2AC6">
              <w:rPr>
                <w:sz w:val="22"/>
                <w:szCs w:val="22"/>
              </w:rPr>
              <w:t>ad to be accurate for many, and in some cases, most situations</w:t>
            </w:r>
            <w:r w:rsidR="009C5E48">
              <w:rPr>
                <w:sz w:val="22"/>
                <w:szCs w:val="22"/>
              </w:rPr>
              <w:t xml:space="preserve">.  I appreciate the need for brevity in these sections, but this </w:t>
            </w:r>
            <w:r w:rsidR="007E5E2E">
              <w:rPr>
                <w:sz w:val="22"/>
                <w:szCs w:val="22"/>
              </w:rPr>
              <w:t>should not</w:t>
            </w:r>
            <w:r w:rsidR="009C5E48">
              <w:rPr>
                <w:sz w:val="22"/>
                <w:szCs w:val="22"/>
              </w:rPr>
              <w:t xml:space="preserve"> be at the expense of accuracy.  </w:t>
            </w:r>
            <w:r w:rsidR="000B52E2">
              <w:rPr>
                <w:sz w:val="22"/>
                <w:szCs w:val="22"/>
              </w:rPr>
              <w:t>Given that most readers will only read these summary sections, f</w:t>
            </w:r>
            <w:r w:rsidR="009C5E48">
              <w:rPr>
                <w:sz w:val="22"/>
                <w:szCs w:val="22"/>
              </w:rPr>
              <w:t>ewer generalizations and greater specificity will give readers a better understanding</w:t>
            </w:r>
            <w:r w:rsidR="000B52E2">
              <w:rPr>
                <w:sz w:val="22"/>
                <w:szCs w:val="22"/>
              </w:rPr>
              <w:t xml:space="preserve"> of the issues.</w:t>
            </w:r>
          </w:p>
          <w:p w14:paraId="7957869D" w14:textId="536B1F9F" w:rsidR="000B52E2" w:rsidRDefault="000B52E2" w:rsidP="006E7BF8">
            <w:pPr>
              <w:rPr>
                <w:sz w:val="22"/>
                <w:szCs w:val="22"/>
              </w:rPr>
            </w:pPr>
          </w:p>
          <w:p w14:paraId="4FA8FFF6" w14:textId="4345EBA7" w:rsidR="000B52E2" w:rsidRDefault="000B52E2" w:rsidP="006E7BF8">
            <w:pPr>
              <w:rPr>
                <w:sz w:val="22"/>
                <w:szCs w:val="22"/>
              </w:rPr>
            </w:pPr>
            <w:r>
              <w:rPr>
                <w:sz w:val="22"/>
                <w:szCs w:val="22"/>
              </w:rPr>
              <w:t>Second, Section E (Governance) covers international governance in far greater detail than national and self-governance</w:t>
            </w:r>
            <w:r w:rsidR="002C2AC6">
              <w:rPr>
                <w:sz w:val="22"/>
                <w:szCs w:val="22"/>
              </w:rPr>
              <w:t xml:space="preserve"> (50 pages vs 6 pages)</w:t>
            </w:r>
            <w:r>
              <w:rPr>
                <w:sz w:val="22"/>
                <w:szCs w:val="22"/>
              </w:rPr>
              <w:t xml:space="preserve">.  </w:t>
            </w:r>
            <w:r w:rsidR="002478B6">
              <w:rPr>
                <w:sz w:val="22"/>
                <w:szCs w:val="22"/>
              </w:rPr>
              <w:t>Unfortunately, this does not give the reader a firm foundation from which to judge gaps and overlaps in overall governance</w:t>
            </w:r>
            <w:r w:rsidR="002C2AC6">
              <w:rPr>
                <w:sz w:val="22"/>
                <w:szCs w:val="22"/>
              </w:rPr>
              <w:t xml:space="preserve"> and thus what is needed from international governance</w:t>
            </w:r>
            <w:r w:rsidR="002478B6">
              <w:rPr>
                <w:sz w:val="22"/>
                <w:szCs w:val="22"/>
              </w:rPr>
              <w:t>.  A discussion of how these governance arrangements fit together would be very helpful.</w:t>
            </w:r>
          </w:p>
          <w:p w14:paraId="5D6DFC5E" w14:textId="77777777" w:rsidR="000B52E2" w:rsidRDefault="000B52E2" w:rsidP="006E7BF8">
            <w:pPr>
              <w:rPr>
                <w:sz w:val="22"/>
                <w:szCs w:val="22"/>
              </w:rPr>
            </w:pPr>
          </w:p>
          <w:p w14:paraId="6E803E78" w14:textId="4A56ADB8" w:rsidR="000B52E2" w:rsidRDefault="000B52E2" w:rsidP="006E7BF8">
            <w:pPr>
              <w:rPr>
                <w:sz w:val="22"/>
                <w:szCs w:val="22"/>
              </w:rPr>
            </w:pPr>
            <w:r>
              <w:rPr>
                <w:sz w:val="22"/>
                <w:szCs w:val="22"/>
              </w:rPr>
              <w:t>Third, the document covers the risk from applications of synthetic biology in greater depth than the benefits.  Though only indicative, a quick search reveals the term risk appears 398 times in the document; the term benefit appears 206 times.</w:t>
            </w:r>
            <w:r w:rsidR="002478B6">
              <w:rPr>
                <w:sz w:val="22"/>
                <w:szCs w:val="22"/>
              </w:rPr>
              <w:t xml:space="preserve">  Risks of synthetic biology applications are often presented without an explanation of the ris</w:t>
            </w:r>
            <w:r w:rsidR="003E03E0">
              <w:rPr>
                <w:sz w:val="22"/>
                <w:szCs w:val="22"/>
              </w:rPr>
              <w:t>ks and harms the problems they hope to solve</w:t>
            </w:r>
            <w:r w:rsidR="007E5E2E">
              <w:rPr>
                <w:sz w:val="22"/>
                <w:szCs w:val="22"/>
              </w:rPr>
              <w:t xml:space="preserve"> or </w:t>
            </w:r>
            <w:r w:rsidR="007E5E2E">
              <w:rPr>
                <w:sz w:val="22"/>
                <w:szCs w:val="22"/>
              </w:rPr>
              <w:t>from the technologies they hope to replace</w:t>
            </w:r>
            <w:r w:rsidR="003E03E0">
              <w:rPr>
                <w:sz w:val="22"/>
                <w:szCs w:val="22"/>
              </w:rPr>
              <w:t>. Providing additional context from risk-risk and risk-benefit perspectives would be helpful when specific applications are discussed.</w:t>
            </w:r>
          </w:p>
        </w:tc>
      </w:tr>
      <w:tr w:rsidR="00593BC6" w:rsidRPr="00C658CD" w14:paraId="52D4B2D0" w14:textId="77777777" w:rsidTr="00135D96">
        <w:trPr>
          <w:cantSplit/>
          <w:trHeight w:val="233"/>
        </w:trPr>
        <w:tc>
          <w:tcPr>
            <w:tcW w:w="918" w:type="dxa"/>
          </w:tcPr>
          <w:p w14:paraId="2E5AE1CF" w14:textId="70199BC0" w:rsidR="00593BC6" w:rsidRPr="00C658CD" w:rsidRDefault="0062360C" w:rsidP="00EA105F">
            <w:pPr>
              <w:rPr>
                <w:sz w:val="22"/>
                <w:szCs w:val="22"/>
              </w:rPr>
            </w:pPr>
            <w:r>
              <w:rPr>
                <w:sz w:val="22"/>
                <w:szCs w:val="22"/>
              </w:rPr>
              <w:t>9</w:t>
            </w:r>
          </w:p>
        </w:tc>
        <w:tc>
          <w:tcPr>
            <w:tcW w:w="1125" w:type="dxa"/>
          </w:tcPr>
          <w:p w14:paraId="6F9597EA" w14:textId="5A842BAE" w:rsidR="00593BC6" w:rsidRPr="00C658CD" w:rsidRDefault="0062360C" w:rsidP="00EA105F">
            <w:pPr>
              <w:rPr>
                <w:sz w:val="22"/>
                <w:szCs w:val="22"/>
              </w:rPr>
            </w:pPr>
            <w:r>
              <w:rPr>
                <w:sz w:val="22"/>
                <w:szCs w:val="22"/>
              </w:rPr>
              <w:t>3-</w:t>
            </w:r>
            <w:r w:rsidR="00AB7802">
              <w:rPr>
                <w:sz w:val="22"/>
                <w:szCs w:val="22"/>
              </w:rPr>
              <w:t>11</w:t>
            </w:r>
          </w:p>
        </w:tc>
        <w:tc>
          <w:tcPr>
            <w:tcW w:w="8145" w:type="dxa"/>
            <w:gridSpan w:val="2"/>
          </w:tcPr>
          <w:p w14:paraId="58F1E46B" w14:textId="55E93837" w:rsidR="00593BC6" w:rsidRPr="00C658CD" w:rsidRDefault="006E7BF8" w:rsidP="006E7BF8">
            <w:pPr>
              <w:rPr>
                <w:sz w:val="22"/>
                <w:szCs w:val="22"/>
              </w:rPr>
            </w:pPr>
            <w:r>
              <w:rPr>
                <w:sz w:val="22"/>
                <w:szCs w:val="22"/>
              </w:rPr>
              <w:t xml:space="preserve">The </w:t>
            </w:r>
            <w:r w:rsidR="000C2AD6">
              <w:rPr>
                <w:sz w:val="22"/>
                <w:szCs w:val="22"/>
              </w:rPr>
              <w:t>unwarranted</w:t>
            </w:r>
            <w:r>
              <w:rPr>
                <w:sz w:val="22"/>
                <w:szCs w:val="22"/>
              </w:rPr>
              <w:t xml:space="preserve"> generalization of this closing paragraph of the executive summary contradicts the far more balanced previous page</w:t>
            </w:r>
            <w:r w:rsidR="0092125B">
              <w:rPr>
                <w:sz w:val="22"/>
                <w:szCs w:val="22"/>
              </w:rPr>
              <w:t>, which</w:t>
            </w:r>
            <w:r>
              <w:rPr>
                <w:sz w:val="22"/>
                <w:szCs w:val="22"/>
              </w:rPr>
              <w:t xml:space="preserve"> recognizes that applications of synthetic biology are many and varied and </w:t>
            </w:r>
            <w:r w:rsidR="0092125B">
              <w:rPr>
                <w:sz w:val="22"/>
                <w:szCs w:val="22"/>
              </w:rPr>
              <w:t>“</w:t>
            </w:r>
            <w:r>
              <w:rPr>
                <w:sz w:val="22"/>
                <w:szCs w:val="22"/>
              </w:rPr>
              <w:t>cannot be generalized</w:t>
            </w:r>
            <w:r w:rsidR="0092125B">
              <w:rPr>
                <w:sz w:val="22"/>
                <w:szCs w:val="22"/>
              </w:rPr>
              <w:t>”</w:t>
            </w:r>
            <w:r>
              <w:rPr>
                <w:sz w:val="22"/>
                <w:szCs w:val="22"/>
              </w:rPr>
              <w:t xml:space="preserve"> (page 8, line 29).  </w:t>
            </w:r>
            <w:r w:rsidR="00AB7802">
              <w:rPr>
                <w:sz w:val="22"/>
                <w:szCs w:val="22"/>
              </w:rPr>
              <w:lastRenderedPageBreak/>
              <w:t xml:space="preserve">Nations focus </w:t>
            </w:r>
            <w:r w:rsidR="0092125B">
              <w:rPr>
                <w:sz w:val="22"/>
                <w:szCs w:val="22"/>
              </w:rPr>
              <w:t xml:space="preserve">their </w:t>
            </w:r>
            <w:r w:rsidR="00AB7802">
              <w:rPr>
                <w:sz w:val="22"/>
                <w:szCs w:val="22"/>
              </w:rPr>
              <w:t xml:space="preserve">governance of most products on biosafety, human health, and the environment for good reasons.  A few products </w:t>
            </w:r>
            <w:r w:rsidR="0005772E">
              <w:rPr>
                <w:sz w:val="22"/>
                <w:szCs w:val="22"/>
              </w:rPr>
              <w:t>may</w:t>
            </w:r>
            <w:r w:rsidR="00AB7802">
              <w:rPr>
                <w:sz w:val="22"/>
                <w:szCs w:val="22"/>
              </w:rPr>
              <w:t xml:space="preserve"> require a “more holistic approach” as describe</w:t>
            </w:r>
            <w:r w:rsidR="00E059D0">
              <w:rPr>
                <w:sz w:val="22"/>
                <w:szCs w:val="22"/>
              </w:rPr>
              <w:t>d</w:t>
            </w:r>
            <w:r w:rsidR="00AB7802">
              <w:rPr>
                <w:sz w:val="22"/>
                <w:szCs w:val="22"/>
              </w:rPr>
              <w:t xml:space="preserve"> in the paragraph, but to generalize </w:t>
            </w:r>
            <w:r w:rsidR="0092125B">
              <w:rPr>
                <w:sz w:val="22"/>
                <w:szCs w:val="22"/>
              </w:rPr>
              <w:t xml:space="preserve">this </w:t>
            </w:r>
            <w:r w:rsidR="00AB7802">
              <w:rPr>
                <w:sz w:val="22"/>
                <w:szCs w:val="22"/>
              </w:rPr>
              <w:t>to all applications that use the tools of synthetic biology</w:t>
            </w:r>
            <w:r w:rsidR="00E059D0">
              <w:rPr>
                <w:sz w:val="22"/>
                <w:szCs w:val="22"/>
              </w:rPr>
              <w:t xml:space="preserve"> is not at all justified by </w:t>
            </w:r>
            <w:r w:rsidR="00D22CDE">
              <w:rPr>
                <w:sz w:val="22"/>
                <w:szCs w:val="22"/>
              </w:rPr>
              <w:t xml:space="preserve">most of the examples discussed throughout the report </w:t>
            </w:r>
            <w:r w:rsidR="00AA3C58">
              <w:rPr>
                <w:sz w:val="22"/>
                <w:szCs w:val="22"/>
              </w:rPr>
              <w:t>or</w:t>
            </w:r>
            <w:r w:rsidR="00D22CDE">
              <w:rPr>
                <w:sz w:val="22"/>
                <w:szCs w:val="22"/>
              </w:rPr>
              <w:t xml:space="preserve"> the</w:t>
            </w:r>
            <w:r w:rsidR="00E059D0">
              <w:rPr>
                <w:sz w:val="22"/>
                <w:szCs w:val="22"/>
              </w:rPr>
              <w:t xml:space="preserve"> </w:t>
            </w:r>
            <w:r w:rsidR="00D22CDE">
              <w:rPr>
                <w:sz w:val="22"/>
                <w:szCs w:val="22"/>
              </w:rPr>
              <w:t>quite comprehensive review of the technical literature.</w:t>
            </w:r>
          </w:p>
        </w:tc>
      </w:tr>
      <w:tr w:rsidR="00593BC6" w:rsidRPr="00C658CD" w14:paraId="3E94F419" w14:textId="77777777" w:rsidTr="00135D96">
        <w:trPr>
          <w:cantSplit/>
          <w:trHeight w:val="233"/>
        </w:trPr>
        <w:tc>
          <w:tcPr>
            <w:tcW w:w="918" w:type="dxa"/>
          </w:tcPr>
          <w:p w14:paraId="44DCBC84" w14:textId="74BB32E0" w:rsidR="00593BC6" w:rsidRPr="00C658CD" w:rsidRDefault="0005772E" w:rsidP="00EA105F">
            <w:pPr>
              <w:rPr>
                <w:sz w:val="22"/>
                <w:szCs w:val="22"/>
              </w:rPr>
            </w:pPr>
            <w:r>
              <w:rPr>
                <w:sz w:val="22"/>
                <w:szCs w:val="22"/>
              </w:rPr>
              <w:lastRenderedPageBreak/>
              <w:t>9</w:t>
            </w:r>
          </w:p>
        </w:tc>
        <w:tc>
          <w:tcPr>
            <w:tcW w:w="1125" w:type="dxa"/>
          </w:tcPr>
          <w:p w14:paraId="6338DD75" w14:textId="696DF816" w:rsidR="00593BC6" w:rsidRPr="00C658CD" w:rsidRDefault="0005772E" w:rsidP="00EA105F">
            <w:pPr>
              <w:rPr>
                <w:sz w:val="22"/>
                <w:szCs w:val="22"/>
              </w:rPr>
            </w:pPr>
            <w:r>
              <w:rPr>
                <w:sz w:val="22"/>
                <w:szCs w:val="22"/>
              </w:rPr>
              <w:t>34</w:t>
            </w:r>
            <w:r w:rsidR="00860A3F">
              <w:rPr>
                <w:sz w:val="22"/>
                <w:szCs w:val="22"/>
              </w:rPr>
              <w:t xml:space="preserve">, </w:t>
            </w:r>
            <w:r>
              <w:rPr>
                <w:sz w:val="22"/>
                <w:szCs w:val="22"/>
              </w:rPr>
              <w:t>35</w:t>
            </w:r>
          </w:p>
        </w:tc>
        <w:tc>
          <w:tcPr>
            <w:tcW w:w="8145" w:type="dxa"/>
            <w:gridSpan w:val="2"/>
          </w:tcPr>
          <w:p w14:paraId="1794B29D" w14:textId="4A86DCA4" w:rsidR="00593BC6" w:rsidRPr="00C658CD" w:rsidRDefault="0005772E" w:rsidP="00EA105F">
            <w:pPr>
              <w:rPr>
                <w:sz w:val="22"/>
                <w:szCs w:val="22"/>
              </w:rPr>
            </w:pPr>
            <w:r>
              <w:rPr>
                <w:sz w:val="22"/>
                <w:szCs w:val="22"/>
              </w:rPr>
              <w:t xml:space="preserve">Hyperbole </w:t>
            </w:r>
            <w:r w:rsidR="007F3A4F">
              <w:rPr>
                <w:sz w:val="22"/>
                <w:szCs w:val="22"/>
              </w:rPr>
              <w:t>may make for</w:t>
            </w:r>
            <w:r>
              <w:rPr>
                <w:sz w:val="22"/>
                <w:szCs w:val="22"/>
              </w:rPr>
              <w:t xml:space="preserve"> more interesting</w:t>
            </w:r>
            <w:r w:rsidR="007F3A4F">
              <w:rPr>
                <w:sz w:val="22"/>
                <w:szCs w:val="22"/>
              </w:rPr>
              <w:t xml:space="preserve"> reading </w:t>
            </w:r>
            <w:r>
              <w:rPr>
                <w:sz w:val="22"/>
                <w:szCs w:val="22"/>
              </w:rPr>
              <w:t>but</w:t>
            </w:r>
            <w:r w:rsidR="007F3A4F">
              <w:rPr>
                <w:sz w:val="22"/>
                <w:szCs w:val="22"/>
              </w:rPr>
              <w:t xml:space="preserve"> is</w:t>
            </w:r>
            <w:r>
              <w:rPr>
                <w:sz w:val="22"/>
                <w:szCs w:val="22"/>
              </w:rPr>
              <w:t xml:space="preserve"> less accurate.  Synthetic biology’s potential is not boundless</w:t>
            </w:r>
            <w:r w:rsidR="007F3A4F">
              <w:rPr>
                <w:sz w:val="22"/>
                <w:szCs w:val="22"/>
              </w:rPr>
              <w:t>,</w:t>
            </w:r>
            <w:r>
              <w:rPr>
                <w:sz w:val="22"/>
                <w:szCs w:val="22"/>
              </w:rPr>
              <w:t xml:space="preserve"> nor will its</w:t>
            </w:r>
            <w:r w:rsidR="007F3A4F">
              <w:rPr>
                <w:sz w:val="22"/>
                <w:szCs w:val="22"/>
              </w:rPr>
              <w:t>’</w:t>
            </w:r>
            <w:r>
              <w:rPr>
                <w:sz w:val="22"/>
                <w:szCs w:val="22"/>
              </w:rPr>
              <w:t xml:space="preserve"> impacts be unprecedented.  </w:t>
            </w:r>
          </w:p>
        </w:tc>
      </w:tr>
      <w:tr w:rsidR="0062360C" w:rsidRPr="00B30682" w14:paraId="0600E67A" w14:textId="77777777" w:rsidTr="00135D96">
        <w:trPr>
          <w:cantSplit/>
          <w:trHeight w:val="233"/>
        </w:trPr>
        <w:tc>
          <w:tcPr>
            <w:tcW w:w="918" w:type="dxa"/>
          </w:tcPr>
          <w:p w14:paraId="2F6C9FB4" w14:textId="06E58A3D" w:rsidR="0062360C" w:rsidRDefault="0005772E" w:rsidP="00EA105F">
            <w:pPr>
              <w:rPr>
                <w:sz w:val="22"/>
                <w:szCs w:val="22"/>
              </w:rPr>
            </w:pPr>
            <w:r>
              <w:rPr>
                <w:sz w:val="22"/>
                <w:szCs w:val="22"/>
              </w:rPr>
              <w:t>9</w:t>
            </w:r>
          </w:p>
        </w:tc>
        <w:tc>
          <w:tcPr>
            <w:tcW w:w="1125" w:type="dxa"/>
          </w:tcPr>
          <w:p w14:paraId="75379208" w14:textId="050E8B6E" w:rsidR="0062360C" w:rsidRDefault="0005772E" w:rsidP="00EA105F">
            <w:pPr>
              <w:rPr>
                <w:sz w:val="22"/>
                <w:szCs w:val="22"/>
              </w:rPr>
            </w:pPr>
            <w:r>
              <w:rPr>
                <w:sz w:val="22"/>
                <w:szCs w:val="22"/>
              </w:rPr>
              <w:t>49</w:t>
            </w:r>
          </w:p>
        </w:tc>
        <w:tc>
          <w:tcPr>
            <w:tcW w:w="8145" w:type="dxa"/>
            <w:gridSpan w:val="2"/>
          </w:tcPr>
          <w:p w14:paraId="6FEA2E58" w14:textId="37CE4648" w:rsidR="0062360C" w:rsidRDefault="0005772E" w:rsidP="00EA105F">
            <w:pPr>
              <w:rPr>
                <w:sz w:val="22"/>
                <w:szCs w:val="22"/>
              </w:rPr>
            </w:pPr>
            <w:r>
              <w:rPr>
                <w:sz w:val="22"/>
                <w:szCs w:val="22"/>
              </w:rPr>
              <w:t xml:space="preserve">After an informative list of applications, the </w:t>
            </w:r>
            <w:r w:rsidR="00860A3F">
              <w:rPr>
                <w:sz w:val="22"/>
                <w:szCs w:val="22"/>
              </w:rPr>
              <w:t xml:space="preserve">statement that these applications could have an impact in an unprecedented manner is not justified and </w:t>
            </w:r>
            <w:r w:rsidR="007F3A4F">
              <w:rPr>
                <w:sz w:val="22"/>
                <w:szCs w:val="22"/>
              </w:rPr>
              <w:t xml:space="preserve">is not </w:t>
            </w:r>
            <w:r w:rsidR="00860A3F">
              <w:rPr>
                <w:sz w:val="22"/>
                <w:szCs w:val="22"/>
              </w:rPr>
              <w:t xml:space="preserve">accurate.  </w:t>
            </w:r>
          </w:p>
        </w:tc>
      </w:tr>
      <w:tr w:rsidR="0062360C" w:rsidRPr="00B30682" w14:paraId="7D015A09" w14:textId="77777777" w:rsidTr="00135D96">
        <w:trPr>
          <w:cantSplit/>
          <w:trHeight w:val="233"/>
        </w:trPr>
        <w:tc>
          <w:tcPr>
            <w:tcW w:w="918" w:type="dxa"/>
          </w:tcPr>
          <w:p w14:paraId="6B967736" w14:textId="289F98C7" w:rsidR="0062360C" w:rsidRDefault="0009717D" w:rsidP="00EA105F">
            <w:pPr>
              <w:rPr>
                <w:sz w:val="22"/>
                <w:szCs w:val="22"/>
              </w:rPr>
            </w:pPr>
            <w:r>
              <w:rPr>
                <w:sz w:val="22"/>
                <w:szCs w:val="22"/>
              </w:rPr>
              <w:t>10</w:t>
            </w:r>
          </w:p>
        </w:tc>
        <w:tc>
          <w:tcPr>
            <w:tcW w:w="1125" w:type="dxa"/>
          </w:tcPr>
          <w:p w14:paraId="066848DC" w14:textId="2AB5410C" w:rsidR="0062360C" w:rsidRDefault="00860A3F" w:rsidP="00EA105F">
            <w:pPr>
              <w:rPr>
                <w:sz w:val="22"/>
                <w:szCs w:val="22"/>
              </w:rPr>
            </w:pPr>
            <w:r>
              <w:rPr>
                <w:sz w:val="22"/>
                <w:szCs w:val="22"/>
              </w:rPr>
              <w:t>19, 20</w:t>
            </w:r>
          </w:p>
        </w:tc>
        <w:tc>
          <w:tcPr>
            <w:tcW w:w="8145" w:type="dxa"/>
            <w:gridSpan w:val="2"/>
          </w:tcPr>
          <w:p w14:paraId="69BFC54F" w14:textId="3F4E2522" w:rsidR="0062360C" w:rsidRDefault="00860A3F" w:rsidP="00EA105F">
            <w:pPr>
              <w:rPr>
                <w:sz w:val="22"/>
                <w:szCs w:val="22"/>
              </w:rPr>
            </w:pPr>
            <w:r>
              <w:rPr>
                <w:sz w:val="22"/>
                <w:szCs w:val="22"/>
              </w:rPr>
              <w:t xml:space="preserve">Plant synthetic biology is lagging behind bacteria and yeast, but not </w:t>
            </w:r>
            <w:r w:rsidR="007F3A4F">
              <w:rPr>
                <w:sz w:val="22"/>
                <w:szCs w:val="22"/>
              </w:rPr>
              <w:t xml:space="preserve">behind </w:t>
            </w:r>
            <w:r>
              <w:rPr>
                <w:sz w:val="22"/>
                <w:szCs w:val="22"/>
              </w:rPr>
              <w:t xml:space="preserve">mammalian systems. As described later in the text, there is considerable activity, both in product development and development of new tools, </w:t>
            </w:r>
            <w:r w:rsidR="0009717D">
              <w:rPr>
                <w:sz w:val="22"/>
                <w:szCs w:val="22"/>
              </w:rPr>
              <w:t>for use in agricultural plants.</w:t>
            </w:r>
            <w:r>
              <w:rPr>
                <w:sz w:val="22"/>
                <w:szCs w:val="22"/>
              </w:rPr>
              <w:t xml:space="preserve"> </w:t>
            </w:r>
          </w:p>
        </w:tc>
      </w:tr>
      <w:tr w:rsidR="0062360C" w:rsidRPr="00B30682" w14:paraId="7BB2D9E9" w14:textId="77777777" w:rsidTr="00135D96">
        <w:trPr>
          <w:cantSplit/>
          <w:trHeight w:val="233"/>
        </w:trPr>
        <w:tc>
          <w:tcPr>
            <w:tcW w:w="918" w:type="dxa"/>
          </w:tcPr>
          <w:p w14:paraId="37E81284" w14:textId="6E6FAFC1" w:rsidR="0062360C" w:rsidRDefault="0009717D" w:rsidP="00EA105F">
            <w:pPr>
              <w:rPr>
                <w:sz w:val="22"/>
                <w:szCs w:val="22"/>
              </w:rPr>
            </w:pPr>
            <w:r>
              <w:rPr>
                <w:sz w:val="22"/>
                <w:szCs w:val="22"/>
              </w:rPr>
              <w:t>10</w:t>
            </w:r>
          </w:p>
        </w:tc>
        <w:tc>
          <w:tcPr>
            <w:tcW w:w="1125" w:type="dxa"/>
          </w:tcPr>
          <w:p w14:paraId="5D1B268C" w14:textId="3E417761" w:rsidR="0062360C" w:rsidRDefault="0009717D" w:rsidP="00EA105F">
            <w:pPr>
              <w:rPr>
                <w:sz w:val="22"/>
                <w:szCs w:val="22"/>
              </w:rPr>
            </w:pPr>
            <w:r>
              <w:rPr>
                <w:sz w:val="22"/>
                <w:szCs w:val="22"/>
              </w:rPr>
              <w:t>37-39</w:t>
            </w:r>
          </w:p>
        </w:tc>
        <w:tc>
          <w:tcPr>
            <w:tcW w:w="8145" w:type="dxa"/>
            <w:gridSpan w:val="2"/>
          </w:tcPr>
          <w:p w14:paraId="75A2A578" w14:textId="3063F52A" w:rsidR="0062360C" w:rsidRDefault="0009717D" w:rsidP="00EA105F">
            <w:pPr>
              <w:rPr>
                <w:sz w:val="22"/>
                <w:szCs w:val="22"/>
              </w:rPr>
            </w:pPr>
            <w:r>
              <w:rPr>
                <w:sz w:val="22"/>
                <w:szCs w:val="22"/>
              </w:rPr>
              <w:t>While the text of the paragraph below is informative, the title is n</w:t>
            </w:r>
            <w:r w:rsidR="00BC17A8">
              <w:rPr>
                <w:sz w:val="22"/>
                <w:szCs w:val="22"/>
              </w:rPr>
              <w:t>either</w:t>
            </w:r>
            <w:r>
              <w:rPr>
                <w:sz w:val="22"/>
                <w:szCs w:val="22"/>
              </w:rPr>
              <w:t xml:space="preserve"> accurate</w:t>
            </w:r>
            <w:r w:rsidR="00BC17A8">
              <w:rPr>
                <w:sz w:val="22"/>
                <w:szCs w:val="22"/>
              </w:rPr>
              <w:t xml:space="preserve"> or a summary of the paragraph itself</w:t>
            </w:r>
            <w:r>
              <w:rPr>
                <w:sz w:val="22"/>
                <w:szCs w:val="22"/>
              </w:rPr>
              <w:t xml:space="preserve">.  The public at large will have greatest interactions with products from contained settings.  Those that </w:t>
            </w:r>
            <w:r w:rsidR="00BC17A8">
              <w:rPr>
                <w:sz w:val="22"/>
                <w:szCs w:val="22"/>
              </w:rPr>
              <w:t xml:space="preserve">have </w:t>
            </w:r>
            <w:r>
              <w:rPr>
                <w:sz w:val="22"/>
                <w:szCs w:val="22"/>
              </w:rPr>
              <w:t>attract</w:t>
            </w:r>
            <w:r w:rsidR="00BC17A8">
              <w:rPr>
                <w:sz w:val="22"/>
                <w:szCs w:val="22"/>
              </w:rPr>
              <w:t>ed</w:t>
            </w:r>
            <w:r>
              <w:rPr>
                <w:sz w:val="22"/>
                <w:szCs w:val="22"/>
              </w:rPr>
              <w:t xml:space="preserve"> greatest attention are those intended for wild settings</w:t>
            </w:r>
            <w:r w:rsidR="00BC17A8">
              <w:rPr>
                <w:sz w:val="22"/>
                <w:szCs w:val="22"/>
              </w:rPr>
              <w:t xml:space="preserve">, even though they are in the earliest stages of development.  The title should just describe that organisms modified using the tools of synthetic biology are </w:t>
            </w:r>
            <w:r w:rsidR="00C5369C">
              <w:rPr>
                <w:sz w:val="22"/>
                <w:szCs w:val="22"/>
              </w:rPr>
              <w:t xml:space="preserve">varied, with most </w:t>
            </w:r>
            <w:r w:rsidR="00BC17A8">
              <w:rPr>
                <w:sz w:val="22"/>
                <w:szCs w:val="22"/>
              </w:rPr>
              <w:t>intended for use in contained</w:t>
            </w:r>
            <w:r w:rsidR="00C5369C">
              <w:rPr>
                <w:sz w:val="22"/>
                <w:szCs w:val="22"/>
              </w:rPr>
              <w:t xml:space="preserve"> settings</w:t>
            </w:r>
            <w:r w:rsidR="00BC17A8">
              <w:rPr>
                <w:sz w:val="22"/>
                <w:szCs w:val="22"/>
              </w:rPr>
              <w:t xml:space="preserve">, </w:t>
            </w:r>
            <w:r w:rsidR="00C5369C">
              <w:rPr>
                <w:sz w:val="22"/>
                <w:szCs w:val="22"/>
              </w:rPr>
              <w:t xml:space="preserve">followed by those intended for </w:t>
            </w:r>
            <w:r w:rsidR="00BC17A8">
              <w:rPr>
                <w:sz w:val="22"/>
                <w:szCs w:val="22"/>
              </w:rPr>
              <w:t>managed</w:t>
            </w:r>
            <w:r w:rsidR="00C5369C">
              <w:rPr>
                <w:sz w:val="22"/>
                <w:szCs w:val="22"/>
              </w:rPr>
              <w:t xml:space="preserve"> settings</w:t>
            </w:r>
            <w:r w:rsidR="00BC17A8">
              <w:rPr>
                <w:sz w:val="22"/>
                <w:szCs w:val="22"/>
              </w:rPr>
              <w:t xml:space="preserve">, and </w:t>
            </w:r>
            <w:r w:rsidR="00C5369C">
              <w:rPr>
                <w:sz w:val="22"/>
                <w:szCs w:val="22"/>
              </w:rPr>
              <w:t xml:space="preserve">a few for </w:t>
            </w:r>
            <w:r w:rsidR="00BC17A8">
              <w:rPr>
                <w:sz w:val="22"/>
                <w:szCs w:val="22"/>
              </w:rPr>
              <w:t>wild settings</w:t>
            </w:r>
            <w:r w:rsidR="00C5369C">
              <w:rPr>
                <w:sz w:val="22"/>
                <w:szCs w:val="22"/>
              </w:rPr>
              <w:t>.</w:t>
            </w:r>
          </w:p>
        </w:tc>
      </w:tr>
      <w:tr w:rsidR="0062360C" w:rsidRPr="00B30682" w14:paraId="256C6E5A" w14:textId="77777777" w:rsidTr="00135D96">
        <w:trPr>
          <w:cantSplit/>
          <w:trHeight w:val="233"/>
        </w:trPr>
        <w:tc>
          <w:tcPr>
            <w:tcW w:w="918" w:type="dxa"/>
          </w:tcPr>
          <w:p w14:paraId="175EC073" w14:textId="688E729B" w:rsidR="0062360C" w:rsidRDefault="00BC17A8" w:rsidP="00EA105F">
            <w:pPr>
              <w:rPr>
                <w:sz w:val="22"/>
                <w:szCs w:val="22"/>
              </w:rPr>
            </w:pPr>
            <w:r>
              <w:rPr>
                <w:sz w:val="22"/>
                <w:szCs w:val="22"/>
              </w:rPr>
              <w:t>1</w:t>
            </w:r>
            <w:r w:rsidR="00C5369C">
              <w:rPr>
                <w:sz w:val="22"/>
                <w:szCs w:val="22"/>
              </w:rPr>
              <w:t>1</w:t>
            </w:r>
          </w:p>
        </w:tc>
        <w:tc>
          <w:tcPr>
            <w:tcW w:w="1125" w:type="dxa"/>
          </w:tcPr>
          <w:p w14:paraId="2909B88C" w14:textId="35CC9BED" w:rsidR="0062360C" w:rsidRDefault="00C5369C" w:rsidP="00EA105F">
            <w:pPr>
              <w:rPr>
                <w:sz w:val="22"/>
                <w:szCs w:val="22"/>
              </w:rPr>
            </w:pPr>
            <w:r>
              <w:rPr>
                <w:sz w:val="22"/>
                <w:szCs w:val="22"/>
              </w:rPr>
              <w:t>6-8</w:t>
            </w:r>
          </w:p>
        </w:tc>
        <w:tc>
          <w:tcPr>
            <w:tcW w:w="8145" w:type="dxa"/>
            <w:gridSpan w:val="2"/>
          </w:tcPr>
          <w:p w14:paraId="74F9923F" w14:textId="704CF8FD" w:rsidR="0062360C" w:rsidRDefault="00C5369C" w:rsidP="00EA105F">
            <w:pPr>
              <w:rPr>
                <w:sz w:val="22"/>
                <w:szCs w:val="22"/>
              </w:rPr>
            </w:pPr>
            <w:r>
              <w:rPr>
                <w:sz w:val="22"/>
                <w:szCs w:val="22"/>
              </w:rPr>
              <w:t>I think the sentence on p.9, lines 29-31 is more accurate.  Rather than being informed by actual experience</w:t>
            </w:r>
            <w:r w:rsidR="007F3A4F">
              <w:rPr>
                <w:sz w:val="22"/>
                <w:szCs w:val="22"/>
              </w:rPr>
              <w:t xml:space="preserve"> with LMOs</w:t>
            </w:r>
            <w:r>
              <w:rPr>
                <w:sz w:val="22"/>
                <w:szCs w:val="22"/>
              </w:rPr>
              <w:t xml:space="preserve">, the current debate </w:t>
            </w:r>
            <w:r w:rsidR="007F3A4F">
              <w:rPr>
                <w:sz w:val="22"/>
                <w:szCs w:val="22"/>
              </w:rPr>
              <w:t xml:space="preserve">just </w:t>
            </w:r>
            <w:r>
              <w:rPr>
                <w:sz w:val="22"/>
                <w:szCs w:val="22"/>
              </w:rPr>
              <w:t xml:space="preserve">echoes concerns expressed at the emergence of classical genetic engineering.  </w:t>
            </w:r>
          </w:p>
        </w:tc>
      </w:tr>
      <w:tr w:rsidR="0062360C" w:rsidRPr="00B30682" w14:paraId="064858F4" w14:textId="77777777" w:rsidTr="00135D96">
        <w:trPr>
          <w:cantSplit/>
          <w:trHeight w:val="233"/>
        </w:trPr>
        <w:tc>
          <w:tcPr>
            <w:tcW w:w="918" w:type="dxa"/>
          </w:tcPr>
          <w:p w14:paraId="4BD24916" w14:textId="644BA73D" w:rsidR="0062360C" w:rsidRDefault="00DA4EFB" w:rsidP="00EA105F">
            <w:pPr>
              <w:rPr>
                <w:sz w:val="22"/>
                <w:szCs w:val="22"/>
              </w:rPr>
            </w:pPr>
            <w:r>
              <w:rPr>
                <w:sz w:val="22"/>
                <w:szCs w:val="22"/>
              </w:rPr>
              <w:t>11</w:t>
            </w:r>
          </w:p>
        </w:tc>
        <w:tc>
          <w:tcPr>
            <w:tcW w:w="1125" w:type="dxa"/>
          </w:tcPr>
          <w:p w14:paraId="5D4ABB64" w14:textId="1FBA1C58" w:rsidR="0062360C" w:rsidRDefault="00DA4EFB" w:rsidP="00EA105F">
            <w:pPr>
              <w:rPr>
                <w:sz w:val="22"/>
                <w:szCs w:val="22"/>
              </w:rPr>
            </w:pPr>
            <w:r>
              <w:rPr>
                <w:sz w:val="22"/>
                <w:szCs w:val="22"/>
              </w:rPr>
              <w:t>30-34</w:t>
            </w:r>
          </w:p>
        </w:tc>
        <w:tc>
          <w:tcPr>
            <w:tcW w:w="8145" w:type="dxa"/>
            <w:gridSpan w:val="2"/>
          </w:tcPr>
          <w:p w14:paraId="1703C279" w14:textId="0D6113BF" w:rsidR="0062360C" w:rsidRDefault="00DA4EFB" w:rsidP="00EA105F">
            <w:pPr>
              <w:rPr>
                <w:sz w:val="22"/>
                <w:szCs w:val="22"/>
              </w:rPr>
            </w:pPr>
            <w:r>
              <w:rPr>
                <w:sz w:val="22"/>
                <w:szCs w:val="22"/>
              </w:rPr>
              <w:t>This paragraph again strays into the territory of sweeping generalizations. While IPLCs will be affected by some products of synthetic biology, for most</w:t>
            </w:r>
            <w:r w:rsidR="007F3A4F">
              <w:rPr>
                <w:sz w:val="22"/>
                <w:szCs w:val="22"/>
              </w:rPr>
              <w:t xml:space="preserve"> products</w:t>
            </w:r>
            <w:r>
              <w:rPr>
                <w:sz w:val="22"/>
                <w:szCs w:val="22"/>
              </w:rPr>
              <w:t xml:space="preserve"> there is no reason to believe that they are “most likely to be impacted first” (line 31)</w:t>
            </w:r>
            <w:r w:rsidR="007F3A4F">
              <w:rPr>
                <w:sz w:val="22"/>
                <w:szCs w:val="22"/>
              </w:rPr>
              <w:t>, thus no compelling reason why</w:t>
            </w:r>
            <w:r>
              <w:rPr>
                <w:sz w:val="22"/>
                <w:szCs w:val="22"/>
              </w:rPr>
              <w:t xml:space="preserve"> early engagement with IPLCs should be </w:t>
            </w:r>
            <w:r w:rsidR="007F3A4F">
              <w:rPr>
                <w:sz w:val="22"/>
                <w:szCs w:val="22"/>
              </w:rPr>
              <w:t>singled out</w:t>
            </w:r>
            <w:r>
              <w:rPr>
                <w:sz w:val="22"/>
                <w:szCs w:val="22"/>
              </w:rPr>
              <w:t xml:space="preserve">.  </w:t>
            </w:r>
            <w:r w:rsidR="00A012D0">
              <w:rPr>
                <w:sz w:val="22"/>
                <w:szCs w:val="22"/>
              </w:rPr>
              <w:t xml:space="preserve">If this paragraph is about natural products </w:t>
            </w:r>
            <w:r w:rsidR="007F3A4F">
              <w:rPr>
                <w:sz w:val="22"/>
                <w:szCs w:val="22"/>
              </w:rPr>
              <w:t xml:space="preserve">such as vanillin </w:t>
            </w:r>
            <w:r w:rsidR="00A012D0">
              <w:rPr>
                <w:sz w:val="22"/>
                <w:szCs w:val="22"/>
              </w:rPr>
              <w:t>(as discussed in the preceding point 8) or gene drives, be specific.</w:t>
            </w:r>
          </w:p>
        </w:tc>
      </w:tr>
      <w:tr w:rsidR="0062360C" w:rsidRPr="00B30682" w14:paraId="307DA92F" w14:textId="77777777" w:rsidTr="00135D96">
        <w:trPr>
          <w:cantSplit/>
          <w:trHeight w:val="233"/>
        </w:trPr>
        <w:tc>
          <w:tcPr>
            <w:tcW w:w="918" w:type="dxa"/>
          </w:tcPr>
          <w:p w14:paraId="20893693" w14:textId="68B58219" w:rsidR="0062360C" w:rsidRDefault="00A012D0" w:rsidP="00EA105F">
            <w:pPr>
              <w:rPr>
                <w:sz w:val="22"/>
                <w:szCs w:val="22"/>
              </w:rPr>
            </w:pPr>
            <w:r>
              <w:rPr>
                <w:sz w:val="22"/>
                <w:szCs w:val="22"/>
              </w:rPr>
              <w:t>11</w:t>
            </w:r>
            <w:r w:rsidR="006D6AF9">
              <w:rPr>
                <w:sz w:val="22"/>
                <w:szCs w:val="22"/>
              </w:rPr>
              <w:t>, 12</w:t>
            </w:r>
          </w:p>
        </w:tc>
        <w:tc>
          <w:tcPr>
            <w:tcW w:w="1125" w:type="dxa"/>
          </w:tcPr>
          <w:p w14:paraId="3F6B9C05" w14:textId="77777777" w:rsidR="006D6AF9" w:rsidRDefault="00A012D0" w:rsidP="00EA105F">
            <w:pPr>
              <w:rPr>
                <w:sz w:val="22"/>
                <w:szCs w:val="22"/>
              </w:rPr>
            </w:pPr>
            <w:r>
              <w:rPr>
                <w:sz w:val="22"/>
                <w:szCs w:val="22"/>
              </w:rPr>
              <w:t>42-51</w:t>
            </w:r>
            <w:r w:rsidR="006D6AF9">
              <w:rPr>
                <w:sz w:val="22"/>
                <w:szCs w:val="22"/>
              </w:rPr>
              <w:t xml:space="preserve">, </w:t>
            </w:r>
          </w:p>
          <w:p w14:paraId="4AA7FA5D" w14:textId="0955E62A" w:rsidR="0062360C" w:rsidRDefault="006D6AF9" w:rsidP="00EA105F">
            <w:pPr>
              <w:rPr>
                <w:sz w:val="22"/>
                <w:szCs w:val="22"/>
              </w:rPr>
            </w:pPr>
            <w:r>
              <w:rPr>
                <w:sz w:val="22"/>
                <w:szCs w:val="22"/>
              </w:rPr>
              <w:t>1-7</w:t>
            </w:r>
          </w:p>
          <w:p w14:paraId="3D4F1772" w14:textId="77777777" w:rsidR="00A012D0" w:rsidRDefault="00A012D0" w:rsidP="00EA105F">
            <w:pPr>
              <w:rPr>
                <w:sz w:val="22"/>
                <w:szCs w:val="22"/>
              </w:rPr>
            </w:pPr>
          </w:p>
          <w:p w14:paraId="4AFF6624" w14:textId="647A80B1" w:rsidR="00A012D0" w:rsidRDefault="00A012D0" w:rsidP="00EA105F">
            <w:pPr>
              <w:rPr>
                <w:sz w:val="22"/>
                <w:szCs w:val="22"/>
              </w:rPr>
            </w:pPr>
          </w:p>
        </w:tc>
        <w:tc>
          <w:tcPr>
            <w:tcW w:w="8145" w:type="dxa"/>
            <w:gridSpan w:val="2"/>
          </w:tcPr>
          <w:p w14:paraId="42FE4A85" w14:textId="06EBB6C8" w:rsidR="0062360C" w:rsidRDefault="006D6AF9" w:rsidP="00EA105F">
            <w:pPr>
              <w:rPr>
                <w:sz w:val="22"/>
                <w:szCs w:val="22"/>
              </w:rPr>
            </w:pPr>
            <w:r>
              <w:rPr>
                <w:sz w:val="22"/>
                <w:szCs w:val="22"/>
              </w:rPr>
              <w:t xml:space="preserve">Again, a sweeping generalization. </w:t>
            </w:r>
            <w:r w:rsidR="00A012D0">
              <w:rPr>
                <w:sz w:val="22"/>
                <w:szCs w:val="22"/>
              </w:rPr>
              <w:t xml:space="preserve">The paragraph implies, and line </w:t>
            </w:r>
            <w:r>
              <w:rPr>
                <w:sz w:val="22"/>
                <w:szCs w:val="22"/>
              </w:rPr>
              <w:t xml:space="preserve">49 </w:t>
            </w:r>
            <w:r w:rsidR="00A012D0">
              <w:rPr>
                <w:sz w:val="22"/>
                <w:szCs w:val="22"/>
              </w:rPr>
              <w:t xml:space="preserve">states, that </w:t>
            </w:r>
            <w:r>
              <w:rPr>
                <w:sz w:val="22"/>
                <w:szCs w:val="22"/>
              </w:rPr>
              <w:t xml:space="preserve">any product made with synthetic biology somehow requires greater public engagement in regulatory decision-making.  Please identify the type of products for which you are recommending this type of </w:t>
            </w:r>
            <w:r w:rsidR="00375197">
              <w:rPr>
                <w:sz w:val="22"/>
                <w:szCs w:val="22"/>
              </w:rPr>
              <w:t>enhanced engagement.</w:t>
            </w:r>
          </w:p>
        </w:tc>
      </w:tr>
      <w:tr w:rsidR="0062360C" w:rsidRPr="00B30682" w14:paraId="09376190" w14:textId="77777777" w:rsidTr="00135D96">
        <w:trPr>
          <w:cantSplit/>
          <w:trHeight w:val="233"/>
        </w:trPr>
        <w:tc>
          <w:tcPr>
            <w:tcW w:w="918" w:type="dxa"/>
          </w:tcPr>
          <w:p w14:paraId="5FD033E2" w14:textId="0F98545C" w:rsidR="0062360C" w:rsidRDefault="00375197" w:rsidP="00EA105F">
            <w:pPr>
              <w:rPr>
                <w:sz w:val="22"/>
                <w:szCs w:val="22"/>
              </w:rPr>
            </w:pPr>
            <w:r>
              <w:rPr>
                <w:sz w:val="22"/>
                <w:szCs w:val="22"/>
              </w:rPr>
              <w:t>12</w:t>
            </w:r>
          </w:p>
        </w:tc>
        <w:tc>
          <w:tcPr>
            <w:tcW w:w="1125" w:type="dxa"/>
          </w:tcPr>
          <w:p w14:paraId="51634DB3" w14:textId="44BA135F" w:rsidR="0062360C" w:rsidRDefault="00375197" w:rsidP="00EA105F">
            <w:pPr>
              <w:rPr>
                <w:sz w:val="22"/>
                <w:szCs w:val="22"/>
              </w:rPr>
            </w:pPr>
            <w:r>
              <w:rPr>
                <w:sz w:val="22"/>
                <w:szCs w:val="22"/>
              </w:rPr>
              <w:t>23</w:t>
            </w:r>
          </w:p>
        </w:tc>
        <w:tc>
          <w:tcPr>
            <w:tcW w:w="8145" w:type="dxa"/>
            <w:gridSpan w:val="2"/>
          </w:tcPr>
          <w:p w14:paraId="69A8BBBE" w14:textId="308F278C" w:rsidR="0062360C" w:rsidRDefault="00375197" w:rsidP="00EA105F">
            <w:pPr>
              <w:rPr>
                <w:sz w:val="22"/>
                <w:szCs w:val="22"/>
              </w:rPr>
            </w:pPr>
            <w:r>
              <w:rPr>
                <w:sz w:val="22"/>
                <w:szCs w:val="22"/>
              </w:rPr>
              <w:t>First part of sentence missing.</w:t>
            </w:r>
          </w:p>
        </w:tc>
      </w:tr>
      <w:tr w:rsidR="0062360C" w:rsidRPr="00B30682" w14:paraId="37D4DC36" w14:textId="77777777" w:rsidTr="00135D96">
        <w:trPr>
          <w:cantSplit/>
          <w:trHeight w:val="233"/>
        </w:trPr>
        <w:tc>
          <w:tcPr>
            <w:tcW w:w="918" w:type="dxa"/>
          </w:tcPr>
          <w:p w14:paraId="2CA67641" w14:textId="65650456" w:rsidR="0062360C" w:rsidRDefault="00375197" w:rsidP="00EA105F">
            <w:pPr>
              <w:rPr>
                <w:sz w:val="22"/>
                <w:szCs w:val="22"/>
              </w:rPr>
            </w:pPr>
            <w:r>
              <w:rPr>
                <w:sz w:val="22"/>
                <w:szCs w:val="22"/>
              </w:rPr>
              <w:t>12</w:t>
            </w:r>
          </w:p>
        </w:tc>
        <w:tc>
          <w:tcPr>
            <w:tcW w:w="1125" w:type="dxa"/>
          </w:tcPr>
          <w:p w14:paraId="09136426" w14:textId="7F3FFE62" w:rsidR="0062360C" w:rsidRDefault="00375197" w:rsidP="00EA105F">
            <w:pPr>
              <w:rPr>
                <w:sz w:val="22"/>
                <w:szCs w:val="22"/>
              </w:rPr>
            </w:pPr>
            <w:r>
              <w:rPr>
                <w:sz w:val="22"/>
                <w:szCs w:val="22"/>
              </w:rPr>
              <w:t>37, 38</w:t>
            </w:r>
          </w:p>
        </w:tc>
        <w:tc>
          <w:tcPr>
            <w:tcW w:w="8145" w:type="dxa"/>
            <w:gridSpan w:val="2"/>
          </w:tcPr>
          <w:p w14:paraId="47F5B2B0" w14:textId="5F239704" w:rsidR="0062360C" w:rsidRDefault="00375197" w:rsidP="00EA105F">
            <w:pPr>
              <w:rPr>
                <w:sz w:val="22"/>
                <w:szCs w:val="22"/>
              </w:rPr>
            </w:pPr>
            <w:r>
              <w:rPr>
                <w:sz w:val="22"/>
                <w:szCs w:val="22"/>
              </w:rPr>
              <w:t>Again, I see no justification for the recommendation that a new paradigm is need</w:t>
            </w:r>
            <w:r w:rsidR="002C6803">
              <w:rPr>
                <w:sz w:val="22"/>
                <w:szCs w:val="22"/>
              </w:rPr>
              <w:t>ed</w:t>
            </w:r>
            <w:r>
              <w:rPr>
                <w:sz w:val="22"/>
                <w:szCs w:val="22"/>
              </w:rPr>
              <w:t xml:space="preserve"> for regulating products of synthetic biology.  This may be the authors</w:t>
            </w:r>
            <w:r w:rsidR="00EE6DDB">
              <w:rPr>
                <w:sz w:val="22"/>
                <w:szCs w:val="22"/>
              </w:rPr>
              <w:t>’</w:t>
            </w:r>
            <w:r>
              <w:rPr>
                <w:sz w:val="22"/>
                <w:szCs w:val="22"/>
              </w:rPr>
              <w:t xml:space="preserve"> policy preference, but it is not a conclusion that has been justified</w:t>
            </w:r>
            <w:r w:rsidR="002C6803">
              <w:rPr>
                <w:sz w:val="22"/>
                <w:szCs w:val="22"/>
              </w:rPr>
              <w:t xml:space="preserve"> in the document</w:t>
            </w:r>
            <w:r>
              <w:rPr>
                <w:sz w:val="22"/>
                <w:szCs w:val="22"/>
              </w:rPr>
              <w:t>.  If the authors are referring to particular types of products, please be specific.</w:t>
            </w:r>
          </w:p>
        </w:tc>
      </w:tr>
      <w:tr w:rsidR="002C6803" w:rsidRPr="00B30682" w14:paraId="24F7F57C" w14:textId="77777777" w:rsidTr="00135D96">
        <w:trPr>
          <w:cantSplit/>
          <w:trHeight w:val="233"/>
        </w:trPr>
        <w:tc>
          <w:tcPr>
            <w:tcW w:w="918" w:type="dxa"/>
          </w:tcPr>
          <w:p w14:paraId="32D444A1" w14:textId="24BDDA83" w:rsidR="002C6803" w:rsidRDefault="002C6803" w:rsidP="00EA105F">
            <w:pPr>
              <w:rPr>
                <w:sz w:val="22"/>
                <w:szCs w:val="22"/>
              </w:rPr>
            </w:pPr>
            <w:r>
              <w:rPr>
                <w:sz w:val="22"/>
                <w:szCs w:val="22"/>
              </w:rPr>
              <w:t>13</w:t>
            </w:r>
          </w:p>
        </w:tc>
        <w:tc>
          <w:tcPr>
            <w:tcW w:w="1125" w:type="dxa"/>
          </w:tcPr>
          <w:p w14:paraId="1459ADE1" w14:textId="4FF0D25C" w:rsidR="002C6803" w:rsidRDefault="002C6803" w:rsidP="00EA105F">
            <w:pPr>
              <w:rPr>
                <w:sz w:val="22"/>
                <w:szCs w:val="22"/>
              </w:rPr>
            </w:pPr>
            <w:r>
              <w:rPr>
                <w:sz w:val="22"/>
                <w:szCs w:val="22"/>
              </w:rPr>
              <w:t>5-7</w:t>
            </w:r>
          </w:p>
        </w:tc>
        <w:tc>
          <w:tcPr>
            <w:tcW w:w="8145" w:type="dxa"/>
            <w:gridSpan w:val="2"/>
          </w:tcPr>
          <w:p w14:paraId="4F705EF6" w14:textId="1267CEAD" w:rsidR="002C6803" w:rsidRDefault="002C6803" w:rsidP="00EA105F">
            <w:pPr>
              <w:rPr>
                <w:sz w:val="22"/>
                <w:szCs w:val="22"/>
              </w:rPr>
            </w:pPr>
            <w:r>
              <w:rPr>
                <w:sz w:val="22"/>
                <w:szCs w:val="22"/>
              </w:rPr>
              <w:t>The statement in point 14: ‘Adapting existing frameworks in order to “future</w:t>
            </w:r>
            <w:r w:rsidR="00EE6DDB">
              <w:rPr>
                <w:sz w:val="22"/>
                <w:szCs w:val="22"/>
              </w:rPr>
              <w:t xml:space="preserve"> </w:t>
            </w:r>
            <w:r>
              <w:rPr>
                <w:sz w:val="22"/>
                <w:szCs w:val="22"/>
              </w:rPr>
              <w:t>proof” them for synthetic biology’, in my view, is a more justifiable and accurate statement than that a “new paradigm” is needed, as stated in point 12.</w:t>
            </w:r>
          </w:p>
        </w:tc>
      </w:tr>
      <w:tr w:rsidR="002C6803" w:rsidRPr="00B30682" w14:paraId="2560CD86" w14:textId="77777777" w:rsidTr="00135D96">
        <w:trPr>
          <w:cantSplit/>
          <w:trHeight w:val="233"/>
        </w:trPr>
        <w:tc>
          <w:tcPr>
            <w:tcW w:w="918" w:type="dxa"/>
          </w:tcPr>
          <w:p w14:paraId="57916206" w14:textId="22BD8ADF" w:rsidR="002C6803" w:rsidRDefault="00845874" w:rsidP="00EA105F">
            <w:pPr>
              <w:rPr>
                <w:sz w:val="22"/>
                <w:szCs w:val="22"/>
              </w:rPr>
            </w:pPr>
            <w:r>
              <w:rPr>
                <w:sz w:val="22"/>
                <w:szCs w:val="22"/>
              </w:rPr>
              <w:t>16</w:t>
            </w:r>
          </w:p>
        </w:tc>
        <w:tc>
          <w:tcPr>
            <w:tcW w:w="1125" w:type="dxa"/>
          </w:tcPr>
          <w:p w14:paraId="7F6A610F" w14:textId="32FF4FFB" w:rsidR="002C6803" w:rsidRDefault="00845874" w:rsidP="00EA105F">
            <w:pPr>
              <w:rPr>
                <w:sz w:val="22"/>
                <w:szCs w:val="22"/>
              </w:rPr>
            </w:pPr>
            <w:r>
              <w:rPr>
                <w:sz w:val="22"/>
                <w:szCs w:val="22"/>
              </w:rPr>
              <w:t>33,34</w:t>
            </w:r>
          </w:p>
        </w:tc>
        <w:tc>
          <w:tcPr>
            <w:tcW w:w="8145" w:type="dxa"/>
            <w:gridSpan w:val="2"/>
          </w:tcPr>
          <w:p w14:paraId="2F1A7755" w14:textId="4D2D529B" w:rsidR="002C6803" w:rsidRDefault="00845874" w:rsidP="00EA105F">
            <w:pPr>
              <w:rPr>
                <w:sz w:val="22"/>
                <w:szCs w:val="22"/>
              </w:rPr>
            </w:pPr>
            <w:r>
              <w:rPr>
                <w:sz w:val="22"/>
                <w:szCs w:val="22"/>
              </w:rPr>
              <w:t xml:space="preserve">Perhaps </w:t>
            </w:r>
            <w:r w:rsidR="005360DE">
              <w:rPr>
                <w:sz w:val="22"/>
                <w:szCs w:val="22"/>
              </w:rPr>
              <w:t>“</w:t>
            </w:r>
            <w:r>
              <w:rPr>
                <w:sz w:val="22"/>
                <w:szCs w:val="22"/>
              </w:rPr>
              <w:t>coordinated</w:t>
            </w:r>
            <w:r w:rsidR="005360DE">
              <w:rPr>
                <w:sz w:val="22"/>
                <w:szCs w:val="22"/>
              </w:rPr>
              <w:t>”</w:t>
            </w:r>
            <w:r>
              <w:rPr>
                <w:sz w:val="22"/>
                <w:szCs w:val="22"/>
              </w:rPr>
              <w:t xml:space="preserve"> </w:t>
            </w:r>
            <w:r w:rsidR="005360DE">
              <w:rPr>
                <w:sz w:val="22"/>
                <w:szCs w:val="22"/>
              </w:rPr>
              <w:t xml:space="preserve">international regulatory environment </w:t>
            </w:r>
            <w:r>
              <w:rPr>
                <w:sz w:val="22"/>
                <w:szCs w:val="22"/>
              </w:rPr>
              <w:t xml:space="preserve">is a better term than “cohesive” regulatory </w:t>
            </w:r>
            <w:r w:rsidR="005360DE">
              <w:rPr>
                <w:sz w:val="22"/>
                <w:szCs w:val="22"/>
              </w:rPr>
              <w:t>environment</w:t>
            </w:r>
            <w:r>
              <w:rPr>
                <w:sz w:val="22"/>
                <w:szCs w:val="22"/>
              </w:rPr>
              <w:t xml:space="preserve">.  This would be a good place to at least name the other international players discussed in the full document, e.g., WHO, FAO, WIPO, </w:t>
            </w:r>
            <w:r w:rsidR="005360DE">
              <w:rPr>
                <w:sz w:val="22"/>
                <w:szCs w:val="22"/>
              </w:rPr>
              <w:t>etc.</w:t>
            </w:r>
          </w:p>
        </w:tc>
      </w:tr>
      <w:tr w:rsidR="00593BC6" w:rsidRPr="00B30682" w14:paraId="1C656F45" w14:textId="77777777" w:rsidTr="00135D96">
        <w:trPr>
          <w:cantSplit/>
          <w:trHeight w:val="233"/>
        </w:trPr>
        <w:tc>
          <w:tcPr>
            <w:tcW w:w="918" w:type="dxa"/>
          </w:tcPr>
          <w:p w14:paraId="73652C5C" w14:textId="64DC46B2" w:rsidR="00593BC6" w:rsidRPr="00C658CD" w:rsidRDefault="00B65CB2" w:rsidP="00EA105F">
            <w:pPr>
              <w:rPr>
                <w:sz w:val="22"/>
                <w:szCs w:val="22"/>
              </w:rPr>
            </w:pPr>
            <w:r>
              <w:rPr>
                <w:sz w:val="22"/>
                <w:szCs w:val="22"/>
              </w:rPr>
              <w:t>18</w:t>
            </w:r>
          </w:p>
        </w:tc>
        <w:tc>
          <w:tcPr>
            <w:tcW w:w="1125" w:type="dxa"/>
          </w:tcPr>
          <w:p w14:paraId="0B63B7FE" w14:textId="35543419" w:rsidR="00593BC6" w:rsidRPr="00C658CD" w:rsidRDefault="00B65CB2" w:rsidP="00EA105F">
            <w:pPr>
              <w:rPr>
                <w:sz w:val="22"/>
                <w:szCs w:val="22"/>
              </w:rPr>
            </w:pPr>
            <w:r>
              <w:rPr>
                <w:sz w:val="22"/>
                <w:szCs w:val="22"/>
              </w:rPr>
              <w:t>2,3</w:t>
            </w:r>
          </w:p>
        </w:tc>
        <w:tc>
          <w:tcPr>
            <w:tcW w:w="8145" w:type="dxa"/>
            <w:gridSpan w:val="2"/>
          </w:tcPr>
          <w:p w14:paraId="0B96346A" w14:textId="542701DB" w:rsidR="00593BC6" w:rsidRPr="00F86F63" w:rsidRDefault="00052F91" w:rsidP="00EA105F">
            <w:pPr>
              <w:rPr>
                <w:sz w:val="22"/>
                <w:szCs w:val="22"/>
              </w:rPr>
            </w:pPr>
            <w:r>
              <w:rPr>
                <w:sz w:val="22"/>
                <w:szCs w:val="22"/>
              </w:rPr>
              <w:t>Clarify that benchtop DNA “assemblers” have been available for several years (Codex DNA) but enzymatic “printers” are expected in the next year or two.</w:t>
            </w:r>
          </w:p>
        </w:tc>
      </w:tr>
      <w:tr w:rsidR="00593BC6" w:rsidRPr="00AD22DE" w14:paraId="4CEEBB68" w14:textId="77777777" w:rsidTr="00135D96">
        <w:trPr>
          <w:cantSplit/>
          <w:trHeight w:val="233"/>
        </w:trPr>
        <w:tc>
          <w:tcPr>
            <w:tcW w:w="918" w:type="dxa"/>
          </w:tcPr>
          <w:p w14:paraId="7A6A7CB6" w14:textId="6553CB06" w:rsidR="00593BC6" w:rsidRPr="00F86F63" w:rsidRDefault="00C134C9" w:rsidP="00EA105F">
            <w:pPr>
              <w:rPr>
                <w:sz w:val="22"/>
                <w:szCs w:val="22"/>
              </w:rPr>
            </w:pPr>
            <w:r>
              <w:rPr>
                <w:sz w:val="22"/>
                <w:szCs w:val="22"/>
              </w:rPr>
              <w:t>30</w:t>
            </w:r>
          </w:p>
        </w:tc>
        <w:tc>
          <w:tcPr>
            <w:tcW w:w="1125" w:type="dxa"/>
          </w:tcPr>
          <w:p w14:paraId="623F395E" w14:textId="65A7645A" w:rsidR="00593BC6" w:rsidRPr="00F86F63" w:rsidRDefault="00C134C9" w:rsidP="00EA105F">
            <w:pPr>
              <w:rPr>
                <w:sz w:val="22"/>
                <w:szCs w:val="22"/>
              </w:rPr>
            </w:pPr>
            <w:r>
              <w:rPr>
                <w:sz w:val="22"/>
                <w:szCs w:val="22"/>
              </w:rPr>
              <w:t>2-26</w:t>
            </w:r>
          </w:p>
        </w:tc>
        <w:tc>
          <w:tcPr>
            <w:tcW w:w="8145" w:type="dxa"/>
            <w:gridSpan w:val="2"/>
          </w:tcPr>
          <w:p w14:paraId="2E88B0AD" w14:textId="6D72662C" w:rsidR="00593BC6" w:rsidRPr="00F86F63" w:rsidRDefault="00C134C9" w:rsidP="00EA105F">
            <w:pPr>
              <w:rPr>
                <w:sz w:val="22"/>
                <w:szCs w:val="22"/>
              </w:rPr>
            </w:pPr>
            <w:r>
              <w:rPr>
                <w:sz w:val="22"/>
                <w:szCs w:val="22"/>
              </w:rPr>
              <w:t>The bioremediation, biodegradation, and biomining examples would be better placed in the semi-managed/managed section that follows, rather than wild settings</w:t>
            </w:r>
          </w:p>
        </w:tc>
      </w:tr>
      <w:tr w:rsidR="00D8457F" w:rsidRPr="00AD22DE" w14:paraId="4CFA1EE3" w14:textId="77777777" w:rsidTr="00135D96">
        <w:trPr>
          <w:cantSplit/>
          <w:trHeight w:val="233"/>
        </w:trPr>
        <w:tc>
          <w:tcPr>
            <w:tcW w:w="918" w:type="dxa"/>
          </w:tcPr>
          <w:p w14:paraId="1002E5DB" w14:textId="55C199A7" w:rsidR="00D8457F" w:rsidRPr="00F86F63" w:rsidRDefault="00C134C9" w:rsidP="00EA105F">
            <w:pPr>
              <w:rPr>
                <w:sz w:val="22"/>
                <w:szCs w:val="22"/>
              </w:rPr>
            </w:pPr>
            <w:r>
              <w:rPr>
                <w:sz w:val="22"/>
                <w:szCs w:val="22"/>
              </w:rPr>
              <w:t>30</w:t>
            </w:r>
          </w:p>
        </w:tc>
        <w:tc>
          <w:tcPr>
            <w:tcW w:w="1125" w:type="dxa"/>
          </w:tcPr>
          <w:p w14:paraId="5A38C684" w14:textId="0399D110" w:rsidR="00D8457F" w:rsidRPr="00F86F63" w:rsidRDefault="00C134C9" w:rsidP="00EA105F">
            <w:pPr>
              <w:rPr>
                <w:sz w:val="22"/>
                <w:szCs w:val="22"/>
              </w:rPr>
            </w:pPr>
            <w:r>
              <w:rPr>
                <w:sz w:val="22"/>
                <w:szCs w:val="22"/>
              </w:rPr>
              <w:t>12</w:t>
            </w:r>
          </w:p>
        </w:tc>
        <w:tc>
          <w:tcPr>
            <w:tcW w:w="8145" w:type="dxa"/>
            <w:gridSpan w:val="2"/>
          </w:tcPr>
          <w:p w14:paraId="4F24AC7D" w14:textId="33708A1B" w:rsidR="00D8457F" w:rsidRPr="00F86F63" w:rsidRDefault="00C134C9" w:rsidP="00EA105F">
            <w:pPr>
              <w:rPr>
                <w:sz w:val="22"/>
                <w:szCs w:val="22"/>
              </w:rPr>
            </w:pPr>
            <w:r>
              <w:rPr>
                <w:sz w:val="22"/>
                <w:szCs w:val="22"/>
              </w:rPr>
              <w:t>Rather than the term “xenobiotic cleanup”, Rylott and Bruce refer to clean-up of environmental pollutants or clean-up of “inorganic and organic pollutants”.</w:t>
            </w:r>
          </w:p>
        </w:tc>
      </w:tr>
      <w:tr w:rsidR="00593BC6" w:rsidRPr="00AD22DE" w14:paraId="4A4D44A2" w14:textId="77777777" w:rsidTr="00135D96">
        <w:trPr>
          <w:cantSplit/>
          <w:trHeight w:val="233"/>
        </w:trPr>
        <w:tc>
          <w:tcPr>
            <w:tcW w:w="918" w:type="dxa"/>
          </w:tcPr>
          <w:p w14:paraId="7D986775" w14:textId="4C939C0D" w:rsidR="00593BC6" w:rsidRPr="00F86F63" w:rsidRDefault="00C134C9" w:rsidP="00EA105F">
            <w:pPr>
              <w:rPr>
                <w:sz w:val="22"/>
                <w:szCs w:val="22"/>
              </w:rPr>
            </w:pPr>
            <w:r>
              <w:rPr>
                <w:sz w:val="22"/>
                <w:szCs w:val="22"/>
              </w:rPr>
              <w:t>30</w:t>
            </w:r>
          </w:p>
        </w:tc>
        <w:tc>
          <w:tcPr>
            <w:tcW w:w="1125" w:type="dxa"/>
          </w:tcPr>
          <w:p w14:paraId="5AC5FC2C" w14:textId="1DCB15C8" w:rsidR="00593BC6" w:rsidRPr="00F86F63" w:rsidRDefault="00C134C9" w:rsidP="00EA105F">
            <w:pPr>
              <w:rPr>
                <w:sz w:val="22"/>
                <w:szCs w:val="22"/>
              </w:rPr>
            </w:pPr>
            <w:r>
              <w:rPr>
                <w:sz w:val="22"/>
                <w:szCs w:val="22"/>
              </w:rPr>
              <w:t>35</w:t>
            </w:r>
          </w:p>
        </w:tc>
        <w:tc>
          <w:tcPr>
            <w:tcW w:w="8145" w:type="dxa"/>
            <w:gridSpan w:val="2"/>
          </w:tcPr>
          <w:p w14:paraId="786809CF" w14:textId="2A83DD0A" w:rsidR="00593BC6" w:rsidRPr="00F86F63" w:rsidRDefault="00C134C9" w:rsidP="00EA105F">
            <w:pPr>
              <w:rPr>
                <w:sz w:val="22"/>
                <w:szCs w:val="22"/>
              </w:rPr>
            </w:pPr>
            <w:r>
              <w:rPr>
                <w:sz w:val="22"/>
                <w:szCs w:val="22"/>
              </w:rPr>
              <w:t xml:space="preserve">The gene-drive developed for mice was to </w:t>
            </w:r>
            <w:r w:rsidR="00EE6DDB">
              <w:rPr>
                <w:sz w:val="22"/>
                <w:szCs w:val="22"/>
              </w:rPr>
              <w:t xml:space="preserve">help </w:t>
            </w:r>
            <w:r>
              <w:rPr>
                <w:sz w:val="22"/>
                <w:szCs w:val="22"/>
              </w:rPr>
              <w:t xml:space="preserve">develop medical mouse models and </w:t>
            </w:r>
            <w:r w:rsidR="00CB2C3D">
              <w:rPr>
                <w:sz w:val="22"/>
                <w:szCs w:val="22"/>
              </w:rPr>
              <w:t>would</w:t>
            </w:r>
            <w:r>
              <w:rPr>
                <w:sz w:val="22"/>
                <w:szCs w:val="22"/>
              </w:rPr>
              <w:t xml:space="preserve"> not </w:t>
            </w:r>
            <w:r w:rsidR="00CB2C3D">
              <w:rPr>
                <w:sz w:val="22"/>
                <w:szCs w:val="22"/>
              </w:rPr>
              <w:t>work for</w:t>
            </w:r>
            <w:r>
              <w:rPr>
                <w:sz w:val="22"/>
                <w:szCs w:val="22"/>
              </w:rPr>
              <w:t xml:space="preserve"> </w:t>
            </w:r>
            <w:r w:rsidR="00CB2C3D">
              <w:rPr>
                <w:sz w:val="22"/>
                <w:szCs w:val="22"/>
              </w:rPr>
              <w:t>a biocontrol application.</w:t>
            </w:r>
          </w:p>
        </w:tc>
      </w:tr>
      <w:tr w:rsidR="00593BC6" w:rsidRPr="00AD22DE" w14:paraId="12F556C9" w14:textId="77777777" w:rsidTr="00135D96">
        <w:trPr>
          <w:cantSplit/>
          <w:trHeight w:val="233"/>
        </w:trPr>
        <w:tc>
          <w:tcPr>
            <w:tcW w:w="918" w:type="dxa"/>
          </w:tcPr>
          <w:p w14:paraId="114ECD33" w14:textId="7BFFDDAB" w:rsidR="00593BC6" w:rsidRPr="00F86F63" w:rsidRDefault="00CB2C3D" w:rsidP="00EA105F">
            <w:pPr>
              <w:rPr>
                <w:sz w:val="22"/>
                <w:szCs w:val="22"/>
              </w:rPr>
            </w:pPr>
            <w:r>
              <w:rPr>
                <w:sz w:val="22"/>
                <w:szCs w:val="22"/>
              </w:rPr>
              <w:t>31</w:t>
            </w:r>
          </w:p>
        </w:tc>
        <w:tc>
          <w:tcPr>
            <w:tcW w:w="1125" w:type="dxa"/>
          </w:tcPr>
          <w:p w14:paraId="1722E8E8" w14:textId="69D7E111" w:rsidR="00593BC6" w:rsidRPr="00F86F63" w:rsidRDefault="00CB2C3D" w:rsidP="00EA105F">
            <w:pPr>
              <w:rPr>
                <w:sz w:val="22"/>
                <w:szCs w:val="22"/>
              </w:rPr>
            </w:pPr>
            <w:r>
              <w:rPr>
                <w:sz w:val="22"/>
                <w:szCs w:val="22"/>
              </w:rPr>
              <w:t>27-32</w:t>
            </w:r>
          </w:p>
        </w:tc>
        <w:tc>
          <w:tcPr>
            <w:tcW w:w="8145" w:type="dxa"/>
            <w:gridSpan w:val="2"/>
          </w:tcPr>
          <w:p w14:paraId="314DDBC8" w14:textId="2F11F3D9" w:rsidR="00593BC6" w:rsidRPr="00F86F63" w:rsidRDefault="00CB2C3D" w:rsidP="00EA105F">
            <w:pPr>
              <w:rPr>
                <w:sz w:val="22"/>
                <w:szCs w:val="22"/>
              </w:rPr>
            </w:pPr>
            <w:r>
              <w:rPr>
                <w:sz w:val="22"/>
                <w:szCs w:val="22"/>
              </w:rPr>
              <w:t>Unless there is a very recent change, Oxitec insects are still in advanced development stage (as listed on page 32) or research.  I am not aware that Oxitec mosquitos can be commercially purchased and other insects are in earlier stages of development.</w:t>
            </w:r>
          </w:p>
        </w:tc>
      </w:tr>
      <w:tr w:rsidR="00593BC6" w:rsidRPr="00AD22DE" w14:paraId="077ECF3C" w14:textId="77777777" w:rsidTr="00135D96">
        <w:trPr>
          <w:cantSplit/>
          <w:trHeight w:val="233"/>
        </w:trPr>
        <w:tc>
          <w:tcPr>
            <w:tcW w:w="918" w:type="dxa"/>
          </w:tcPr>
          <w:p w14:paraId="3053276C" w14:textId="47FC205B" w:rsidR="00593BC6" w:rsidRPr="00F86F63" w:rsidRDefault="00B54700" w:rsidP="00EA105F">
            <w:pPr>
              <w:rPr>
                <w:sz w:val="22"/>
                <w:szCs w:val="22"/>
              </w:rPr>
            </w:pPr>
            <w:r>
              <w:rPr>
                <w:sz w:val="22"/>
                <w:szCs w:val="22"/>
              </w:rPr>
              <w:t>32</w:t>
            </w:r>
          </w:p>
        </w:tc>
        <w:tc>
          <w:tcPr>
            <w:tcW w:w="1125" w:type="dxa"/>
          </w:tcPr>
          <w:p w14:paraId="011C33C7" w14:textId="6B35D070" w:rsidR="00593BC6" w:rsidRPr="00F86F63" w:rsidRDefault="00B54700" w:rsidP="00EA105F">
            <w:pPr>
              <w:rPr>
                <w:sz w:val="22"/>
                <w:szCs w:val="22"/>
              </w:rPr>
            </w:pPr>
            <w:r>
              <w:rPr>
                <w:sz w:val="22"/>
                <w:szCs w:val="22"/>
              </w:rPr>
              <w:t>20</w:t>
            </w:r>
          </w:p>
        </w:tc>
        <w:tc>
          <w:tcPr>
            <w:tcW w:w="8145" w:type="dxa"/>
            <w:gridSpan w:val="2"/>
          </w:tcPr>
          <w:p w14:paraId="31FB0F18" w14:textId="1266F124" w:rsidR="00593BC6" w:rsidRPr="00F86F63" w:rsidRDefault="00B54700" w:rsidP="00EA105F">
            <w:pPr>
              <w:rPr>
                <w:sz w:val="22"/>
                <w:szCs w:val="22"/>
              </w:rPr>
            </w:pPr>
            <w:r>
              <w:rPr>
                <w:sz w:val="22"/>
                <w:szCs w:val="22"/>
              </w:rPr>
              <w:t>Inaccurate heading for this section.  “</w:t>
            </w:r>
            <w:r w:rsidR="00C23134">
              <w:rPr>
                <w:sz w:val="22"/>
                <w:szCs w:val="22"/>
              </w:rPr>
              <w:t>g</w:t>
            </w:r>
            <w:r>
              <w:rPr>
                <w:sz w:val="22"/>
                <w:szCs w:val="22"/>
              </w:rPr>
              <w:t xml:space="preserve">enetically engineered insects for biocontrol” </w:t>
            </w:r>
            <w:r w:rsidR="00C23134">
              <w:rPr>
                <w:sz w:val="22"/>
                <w:szCs w:val="22"/>
              </w:rPr>
              <w:t xml:space="preserve">or “self-limiting insects” </w:t>
            </w:r>
            <w:r w:rsidR="00003D15">
              <w:rPr>
                <w:sz w:val="22"/>
                <w:szCs w:val="22"/>
              </w:rPr>
              <w:t xml:space="preserve">as </w:t>
            </w:r>
            <w:r w:rsidR="00C23134">
              <w:rPr>
                <w:sz w:val="22"/>
                <w:szCs w:val="22"/>
              </w:rPr>
              <w:t>on the previous page.</w:t>
            </w:r>
          </w:p>
        </w:tc>
      </w:tr>
      <w:tr w:rsidR="00593BC6" w:rsidRPr="00AD22DE" w14:paraId="31B1A49C" w14:textId="77777777" w:rsidTr="00135D96">
        <w:trPr>
          <w:cantSplit/>
          <w:trHeight w:val="233"/>
        </w:trPr>
        <w:tc>
          <w:tcPr>
            <w:tcW w:w="918" w:type="dxa"/>
          </w:tcPr>
          <w:p w14:paraId="26E0E2AA" w14:textId="6EC3EEE6" w:rsidR="00593BC6" w:rsidRPr="00F86F63" w:rsidRDefault="00C23134" w:rsidP="00EA105F">
            <w:pPr>
              <w:rPr>
                <w:sz w:val="22"/>
                <w:szCs w:val="22"/>
              </w:rPr>
            </w:pPr>
            <w:r>
              <w:rPr>
                <w:sz w:val="22"/>
                <w:szCs w:val="22"/>
              </w:rPr>
              <w:t>33</w:t>
            </w:r>
          </w:p>
        </w:tc>
        <w:tc>
          <w:tcPr>
            <w:tcW w:w="1125" w:type="dxa"/>
          </w:tcPr>
          <w:p w14:paraId="1C6455E2" w14:textId="08CC8A95" w:rsidR="00593BC6" w:rsidRPr="00F86F63" w:rsidRDefault="00C23134" w:rsidP="00EA105F">
            <w:pPr>
              <w:rPr>
                <w:sz w:val="22"/>
                <w:szCs w:val="22"/>
              </w:rPr>
            </w:pPr>
            <w:r>
              <w:rPr>
                <w:sz w:val="22"/>
                <w:szCs w:val="22"/>
              </w:rPr>
              <w:t>17,18</w:t>
            </w:r>
          </w:p>
        </w:tc>
        <w:tc>
          <w:tcPr>
            <w:tcW w:w="8145" w:type="dxa"/>
            <w:gridSpan w:val="2"/>
          </w:tcPr>
          <w:p w14:paraId="503F912F" w14:textId="1E536372" w:rsidR="00593BC6" w:rsidRPr="00F86F63" w:rsidRDefault="00C23134" w:rsidP="00EA105F">
            <w:pPr>
              <w:rPr>
                <w:sz w:val="22"/>
                <w:szCs w:val="22"/>
              </w:rPr>
            </w:pPr>
            <w:r>
              <w:rPr>
                <w:sz w:val="22"/>
                <w:szCs w:val="22"/>
              </w:rPr>
              <w:t xml:space="preserve">Again, inaccurate heading.  None of the papers cited have anything to do </w:t>
            </w:r>
            <w:r w:rsidR="007E0C42">
              <w:rPr>
                <w:sz w:val="22"/>
                <w:szCs w:val="22"/>
              </w:rPr>
              <w:t>with insect delivery.  These are examples of virus vectors for genome editing used in the lab.  The notion of HEGAAs is an attention-getting headline but implying that</w:t>
            </w:r>
            <w:r w:rsidR="00003D15">
              <w:rPr>
                <w:sz w:val="22"/>
                <w:szCs w:val="22"/>
              </w:rPr>
              <w:t xml:space="preserve"> the examples listed</w:t>
            </w:r>
            <w:r w:rsidR="007E0C42">
              <w:rPr>
                <w:sz w:val="22"/>
                <w:szCs w:val="22"/>
              </w:rPr>
              <w:t xml:space="preserve"> are “environmental agents” is quite misleading.  It is also a bit odd to me that 50% more text is devoted to viral agents for genome editing than </w:t>
            </w:r>
            <w:r w:rsidR="007C297C">
              <w:rPr>
                <w:sz w:val="22"/>
                <w:szCs w:val="22"/>
              </w:rPr>
              <w:t>CRISPR edited plants and animals on p.31 and 32.</w:t>
            </w:r>
          </w:p>
        </w:tc>
      </w:tr>
      <w:tr w:rsidR="00593BC6" w:rsidRPr="00AD22DE" w14:paraId="7DA9A366" w14:textId="77777777" w:rsidTr="00135D96">
        <w:trPr>
          <w:cantSplit/>
          <w:trHeight w:val="233"/>
        </w:trPr>
        <w:tc>
          <w:tcPr>
            <w:tcW w:w="918" w:type="dxa"/>
          </w:tcPr>
          <w:p w14:paraId="0704BF74" w14:textId="187CC6A5" w:rsidR="00593BC6" w:rsidRPr="00F86F63" w:rsidRDefault="007C297C" w:rsidP="00EA105F">
            <w:pPr>
              <w:rPr>
                <w:sz w:val="22"/>
                <w:szCs w:val="22"/>
              </w:rPr>
            </w:pPr>
            <w:r>
              <w:rPr>
                <w:sz w:val="22"/>
                <w:szCs w:val="22"/>
              </w:rPr>
              <w:t>33</w:t>
            </w:r>
          </w:p>
        </w:tc>
        <w:tc>
          <w:tcPr>
            <w:tcW w:w="1125" w:type="dxa"/>
          </w:tcPr>
          <w:p w14:paraId="5C318341" w14:textId="176AD0A9" w:rsidR="00593BC6" w:rsidRPr="00F86F63" w:rsidRDefault="007C297C" w:rsidP="00EA105F">
            <w:pPr>
              <w:rPr>
                <w:sz w:val="22"/>
                <w:szCs w:val="22"/>
              </w:rPr>
            </w:pPr>
            <w:r>
              <w:rPr>
                <w:sz w:val="22"/>
                <w:szCs w:val="22"/>
              </w:rPr>
              <w:t>33</w:t>
            </w:r>
          </w:p>
        </w:tc>
        <w:tc>
          <w:tcPr>
            <w:tcW w:w="8145" w:type="dxa"/>
            <w:gridSpan w:val="2"/>
          </w:tcPr>
          <w:p w14:paraId="728544B4" w14:textId="0E7AEC26" w:rsidR="00593BC6" w:rsidRPr="00F86F63" w:rsidRDefault="007C297C" w:rsidP="00EA105F">
            <w:pPr>
              <w:rPr>
                <w:sz w:val="22"/>
                <w:szCs w:val="22"/>
              </w:rPr>
            </w:pPr>
            <w:r>
              <w:rPr>
                <w:sz w:val="22"/>
                <w:szCs w:val="22"/>
              </w:rPr>
              <w:t>Incomplete heading. Section includes both “de-extinction” and applications to species close to extinction (though these are cloning</w:t>
            </w:r>
            <w:r w:rsidR="00003D15">
              <w:rPr>
                <w:sz w:val="22"/>
                <w:szCs w:val="22"/>
              </w:rPr>
              <w:t>)</w:t>
            </w:r>
            <w:r>
              <w:rPr>
                <w:sz w:val="22"/>
                <w:szCs w:val="22"/>
              </w:rPr>
              <w:t xml:space="preserve">.  In addition to Przewalski’s foal, </w:t>
            </w:r>
            <w:r w:rsidR="00003D15">
              <w:rPr>
                <w:sz w:val="22"/>
                <w:szCs w:val="22"/>
              </w:rPr>
              <w:t xml:space="preserve">you might also include the </w:t>
            </w:r>
            <w:r>
              <w:rPr>
                <w:sz w:val="22"/>
                <w:szCs w:val="22"/>
              </w:rPr>
              <w:t xml:space="preserve">recent example of </w:t>
            </w:r>
            <w:r w:rsidR="00003D15">
              <w:rPr>
                <w:sz w:val="22"/>
                <w:szCs w:val="22"/>
              </w:rPr>
              <w:t>cloning to increase</w:t>
            </w:r>
            <w:r>
              <w:rPr>
                <w:sz w:val="22"/>
                <w:szCs w:val="22"/>
              </w:rPr>
              <w:t xml:space="preserve"> the genetic diversity of black-footed ferrets.</w:t>
            </w:r>
          </w:p>
        </w:tc>
      </w:tr>
      <w:tr w:rsidR="00593BC6" w:rsidRPr="00AD22DE" w14:paraId="27D65F93" w14:textId="77777777" w:rsidTr="00135D96">
        <w:trPr>
          <w:cantSplit/>
          <w:trHeight w:val="233"/>
        </w:trPr>
        <w:tc>
          <w:tcPr>
            <w:tcW w:w="918" w:type="dxa"/>
          </w:tcPr>
          <w:p w14:paraId="6FEE838D" w14:textId="218BB91F" w:rsidR="00593BC6" w:rsidRPr="00F86F63" w:rsidRDefault="007A5598" w:rsidP="00EA105F">
            <w:pPr>
              <w:rPr>
                <w:sz w:val="22"/>
                <w:szCs w:val="22"/>
              </w:rPr>
            </w:pPr>
            <w:r>
              <w:rPr>
                <w:sz w:val="22"/>
                <w:szCs w:val="22"/>
              </w:rPr>
              <w:t>34</w:t>
            </w:r>
          </w:p>
        </w:tc>
        <w:tc>
          <w:tcPr>
            <w:tcW w:w="1125" w:type="dxa"/>
          </w:tcPr>
          <w:p w14:paraId="2C39B009" w14:textId="0849B1B5" w:rsidR="00593BC6" w:rsidRPr="00F86F63" w:rsidRDefault="007A5598" w:rsidP="00EA105F">
            <w:pPr>
              <w:rPr>
                <w:sz w:val="22"/>
                <w:szCs w:val="22"/>
              </w:rPr>
            </w:pPr>
            <w:r>
              <w:rPr>
                <w:sz w:val="22"/>
                <w:szCs w:val="22"/>
              </w:rPr>
              <w:t>8</w:t>
            </w:r>
          </w:p>
        </w:tc>
        <w:tc>
          <w:tcPr>
            <w:tcW w:w="8145" w:type="dxa"/>
            <w:gridSpan w:val="2"/>
          </w:tcPr>
          <w:p w14:paraId="3C230DD4" w14:textId="7877BF47" w:rsidR="00593BC6" w:rsidRPr="00F86F63" w:rsidRDefault="007A5598" w:rsidP="00EA105F">
            <w:pPr>
              <w:rPr>
                <w:sz w:val="22"/>
                <w:szCs w:val="22"/>
              </w:rPr>
            </w:pPr>
            <w:r>
              <w:rPr>
                <w:sz w:val="22"/>
                <w:szCs w:val="22"/>
              </w:rPr>
              <w:t>Incomplete heading.  I believe several of the examples are RNA pesticides that act directly on agricultural pests.</w:t>
            </w:r>
          </w:p>
        </w:tc>
      </w:tr>
      <w:tr w:rsidR="00A650E9" w:rsidRPr="00AD22DE" w14:paraId="31BE7EA4" w14:textId="77777777" w:rsidTr="00135D96">
        <w:trPr>
          <w:cantSplit/>
          <w:trHeight w:val="233"/>
        </w:trPr>
        <w:tc>
          <w:tcPr>
            <w:tcW w:w="918" w:type="dxa"/>
          </w:tcPr>
          <w:p w14:paraId="278844AC" w14:textId="38C269D2" w:rsidR="00A650E9" w:rsidRDefault="00A650E9" w:rsidP="00EA105F">
            <w:pPr>
              <w:rPr>
                <w:sz w:val="22"/>
                <w:szCs w:val="22"/>
              </w:rPr>
            </w:pPr>
            <w:r>
              <w:rPr>
                <w:sz w:val="22"/>
                <w:szCs w:val="22"/>
              </w:rPr>
              <w:t>34</w:t>
            </w:r>
          </w:p>
        </w:tc>
        <w:tc>
          <w:tcPr>
            <w:tcW w:w="1125" w:type="dxa"/>
          </w:tcPr>
          <w:p w14:paraId="31BF3EAC" w14:textId="7CBD8773" w:rsidR="00A650E9" w:rsidRDefault="00A650E9" w:rsidP="00EA105F">
            <w:pPr>
              <w:rPr>
                <w:sz w:val="22"/>
                <w:szCs w:val="22"/>
              </w:rPr>
            </w:pPr>
            <w:r>
              <w:rPr>
                <w:sz w:val="22"/>
                <w:szCs w:val="22"/>
              </w:rPr>
              <w:t>34</w:t>
            </w:r>
          </w:p>
        </w:tc>
        <w:tc>
          <w:tcPr>
            <w:tcW w:w="8145" w:type="dxa"/>
            <w:gridSpan w:val="2"/>
          </w:tcPr>
          <w:p w14:paraId="10D40B34" w14:textId="681430B0" w:rsidR="00A650E9" w:rsidRDefault="00A650E9" w:rsidP="00EA105F">
            <w:pPr>
              <w:rPr>
                <w:sz w:val="22"/>
                <w:szCs w:val="22"/>
              </w:rPr>
            </w:pPr>
            <w:r>
              <w:rPr>
                <w:sz w:val="22"/>
                <w:szCs w:val="22"/>
              </w:rPr>
              <w:t>Several of the examples in the following 2.5 pages are more accurately described as advanced development.  I will point out a few, but I think the authors should reconsider their definition of “commercially available” to include some notion of c</w:t>
            </w:r>
            <w:r w:rsidR="00003D15">
              <w:rPr>
                <w:sz w:val="22"/>
                <w:szCs w:val="22"/>
              </w:rPr>
              <w:t>ommercially viability rather than just proof of concept.</w:t>
            </w:r>
          </w:p>
        </w:tc>
      </w:tr>
      <w:tr w:rsidR="00B65CB2" w:rsidRPr="00AD22DE" w14:paraId="3FFD118E" w14:textId="77777777" w:rsidTr="00135D96">
        <w:trPr>
          <w:cantSplit/>
          <w:trHeight w:val="233"/>
        </w:trPr>
        <w:tc>
          <w:tcPr>
            <w:tcW w:w="918" w:type="dxa"/>
          </w:tcPr>
          <w:p w14:paraId="6951710F" w14:textId="23BC8D7D" w:rsidR="00B65CB2" w:rsidRPr="00F86F63" w:rsidRDefault="007A5598" w:rsidP="00EA105F">
            <w:pPr>
              <w:rPr>
                <w:sz w:val="22"/>
                <w:szCs w:val="22"/>
              </w:rPr>
            </w:pPr>
            <w:r>
              <w:rPr>
                <w:sz w:val="22"/>
                <w:szCs w:val="22"/>
              </w:rPr>
              <w:t>34</w:t>
            </w:r>
            <w:r w:rsidR="00A650E9">
              <w:rPr>
                <w:sz w:val="22"/>
                <w:szCs w:val="22"/>
              </w:rPr>
              <w:t>, 35</w:t>
            </w:r>
          </w:p>
        </w:tc>
        <w:tc>
          <w:tcPr>
            <w:tcW w:w="1125" w:type="dxa"/>
          </w:tcPr>
          <w:p w14:paraId="746B4994" w14:textId="7C29C2F2" w:rsidR="00B65CB2" w:rsidRPr="00F86F63" w:rsidRDefault="00A650E9" w:rsidP="00EA105F">
            <w:pPr>
              <w:rPr>
                <w:sz w:val="22"/>
                <w:szCs w:val="22"/>
              </w:rPr>
            </w:pPr>
            <w:r>
              <w:rPr>
                <w:sz w:val="22"/>
                <w:szCs w:val="22"/>
              </w:rPr>
              <w:t>43</w:t>
            </w:r>
          </w:p>
        </w:tc>
        <w:tc>
          <w:tcPr>
            <w:tcW w:w="8145" w:type="dxa"/>
            <w:gridSpan w:val="2"/>
          </w:tcPr>
          <w:p w14:paraId="52F299A4" w14:textId="51CA838C" w:rsidR="00B65CB2" w:rsidRPr="00F86F63" w:rsidRDefault="00A650E9" w:rsidP="00EA105F">
            <w:pPr>
              <w:rPr>
                <w:sz w:val="22"/>
                <w:szCs w:val="22"/>
              </w:rPr>
            </w:pPr>
            <w:r>
              <w:rPr>
                <w:sz w:val="22"/>
                <w:szCs w:val="22"/>
              </w:rPr>
              <w:t>Cellbricks are cell scaffolds, not synthetic biology</w:t>
            </w:r>
          </w:p>
        </w:tc>
      </w:tr>
      <w:tr w:rsidR="00B65CB2" w:rsidRPr="00AD22DE" w14:paraId="6FA64596" w14:textId="77777777" w:rsidTr="00135D96">
        <w:trPr>
          <w:cantSplit/>
          <w:trHeight w:val="233"/>
        </w:trPr>
        <w:tc>
          <w:tcPr>
            <w:tcW w:w="918" w:type="dxa"/>
          </w:tcPr>
          <w:p w14:paraId="6A973A6B" w14:textId="7439DCD8" w:rsidR="00B65CB2" w:rsidRPr="00F86F63" w:rsidRDefault="00A650E9" w:rsidP="00EA105F">
            <w:pPr>
              <w:rPr>
                <w:sz w:val="22"/>
                <w:szCs w:val="22"/>
              </w:rPr>
            </w:pPr>
            <w:r>
              <w:rPr>
                <w:sz w:val="22"/>
                <w:szCs w:val="22"/>
              </w:rPr>
              <w:t>35</w:t>
            </w:r>
          </w:p>
        </w:tc>
        <w:tc>
          <w:tcPr>
            <w:tcW w:w="1125" w:type="dxa"/>
          </w:tcPr>
          <w:p w14:paraId="46A8FFCD" w14:textId="54233EDA" w:rsidR="00B65CB2" w:rsidRPr="00F86F63" w:rsidRDefault="00586612" w:rsidP="00EA105F">
            <w:pPr>
              <w:rPr>
                <w:sz w:val="22"/>
                <w:szCs w:val="22"/>
              </w:rPr>
            </w:pPr>
            <w:r>
              <w:rPr>
                <w:sz w:val="22"/>
                <w:szCs w:val="22"/>
              </w:rPr>
              <w:t>16-31</w:t>
            </w:r>
          </w:p>
        </w:tc>
        <w:tc>
          <w:tcPr>
            <w:tcW w:w="8145" w:type="dxa"/>
            <w:gridSpan w:val="2"/>
          </w:tcPr>
          <w:p w14:paraId="5C6A28A6" w14:textId="187CA277" w:rsidR="00B65CB2" w:rsidRPr="00F86F63" w:rsidRDefault="00586612" w:rsidP="00EA105F">
            <w:pPr>
              <w:rPr>
                <w:sz w:val="22"/>
                <w:szCs w:val="22"/>
              </w:rPr>
            </w:pPr>
            <w:r>
              <w:rPr>
                <w:sz w:val="22"/>
                <w:szCs w:val="22"/>
              </w:rPr>
              <w:t>I believe most (if not all) of these applications</w:t>
            </w:r>
            <w:r w:rsidR="00A650E9">
              <w:rPr>
                <w:sz w:val="22"/>
                <w:szCs w:val="22"/>
              </w:rPr>
              <w:t xml:space="preserve"> should be moved to “advanced development”</w:t>
            </w:r>
          </w:p>
        </w:tc>
      </w:tr>
      <w:tr w:rsidR="00B65CB2" w:rsidRPr="00AD22DE" w14:paraId="2BB3E4E1" w14:textId="77777777" w:rsidTr="00135D96">
        <w:trPr>
          <w:cantSplit/>
          <w:trHeight w:val="233"/>
        </w:trPr>
        <w:tc>
          <w:tcPr>
            <w:tcW w:w="918" w:type="dxa"/>
          </w:tcPr>
          <w:p w14:paraId="58C8912A" w14:textId="1ADE74AB" w:rsidR="00B65CB2" w:rsidRPr="00F86F63" w:rsidRDefault="00586612" w:rsidP="00EA105F">
            <w:pPr>
              <w:rPr>
                <w:sz w:val="22"/>
                <w:szCs w:val="22"/>
              </w:rPr>
            </w:pPr>
            <w:r>
              <w:rPr>
                <w:sz w:val="22"/>
                <w:szCs w:val="22"/>
              </w:rPr>
              <w:t>36</w:t>
            </w:r>
          </w:p>
        </w:tc>
        <w:tc>
          <w:tcPr>
            <w:tcW w:w="1125" w:type="dxa"/>
          </w:tcPr>
          <w:p w14:paraId="2175D3E6" w14:textId="0339E9C8" w:rsidR="00B65CB2" w:rsidRPr="00F86F63" w:rsidRDefault="00885B5F" w:rsidP="00EA105F">
            <w:pPr>
              <w:rPr>
                <w:sz w:val="22"/>
                <w:szCs w:val="22"/>
              </w:rPr>
            </w:pPr>
            <w:r>
              <w:rPr>
                <w:sz w:val="22"/>
                <w:szCs w:val="22"/>
              </w:rPr>
              <w:t>31-36</w:t>
            </w:r>
          </w:p>
        </w:tc>
        <w:tc>
          <w:tcPr>
            <w:tcW w:w="8145" w:type="dxa"/>
            <w:gridSpan w:val="2"/>
          </w:tcPr>
          <w:p w14:paraId="404ED7A6" w14:textId="63C0D549" w:rsidR="00B65CB2" w:rsidRPr="00F86F63" w:rsidRDefault="00885B5F" w:rsidP="00EA105F">
            <w:pPr>
              <w:rPr>
                <w:sz w:val="22"/>
                <w:szCs w:val="22"/>
              </w:rPr>
            </w:pPr>
            <w:r>
              <w:rPr>
                <w:sz w:val="22"/>
                <w:szCs w:val="22"/>
              </w:rPr>
              <w:t>Advanced development more appropriate?</w:t>
            </w:r>
          </w:p>
        </w:tc>
      </w:tr>
      <w:tr w:rsidR="00885B5F" w:rsidRPr="00AD22DE" w14:paraId="47F7E065" w14:textId="77777777" w:rsidTr="00135D96">
        <w:trPr>
          <w:cantSplit/>
          <w:trHeight w:val="233"/>
        </w:trPr>
        <w:tc>
          <w:tcPr>
            <w:tcW w:w="918" w:type="dxa"/>
          </w:tcPr>
          <w:p w14:paraId="2F6062F5" w14:textId="7972CA04" w:rsidR="00885B5F" w:rsidRPr="00F86F63" w:rsidRDefault="00885B5F" w:rsidP="00885B5F">
            <w:pPr>
              <w:rPr>
                <w:sz w:val="22"/>
                <w:szCs w:val="22"/>
              </w:rPr>
            </w:pPr>
            <w:r>
              <w:rPr>
                <w:sz w:val="22"/>
                <w:szCs w:val="22"/>
              </w:rPr>
              <w:t>37</w:t>
            </w:r>
          </w:p>
        </w:tc>
        <w:tc>
          <w:tcPr>
            <w:tcW w:w="1125" w:type="dxa"/>
          </w:tcPr>
          <w:p w14:paraId="1FC114F7" w14:textId="2F0FBF40" w:rsidR="00885B5F" w:rsidRPr="00F86F63" w:rsidRDefault="00885B5F" w:rsidP="00885B5F">
            <w:pPr>
              <w:rPr>
                <w:sz w:val="22"/>
                <w:szCs w:val="22"/>
              </w:rPr>
            </w:pPr>
            <w:r>
              <w:rPr>
                <w:sz w:val="22"/>
                <w:szCs w:val="22"/>
              </w:rPr>
              <w:t>12-19</w:t>
            </w:r>
          </w:p>
        </w:tc>
        <w:tc>
          <w:tcPr>
            <w:tcW w:w="8145" w:type="dxa"/>
            <w:gridSpan w:val="2"/>
          </w:tcPr>
          <w:p w14:paraId="4D4E17E7" w14:textId="39990D60" w:rsidR="00885B5F" w:rsidRPr="00F86F63" w:rsidRDefault="00885B5F" w:rsidP="00885B5F">
            <w:pPr>
              <w:rPr>
                <w:sz w:val="22"/>
                <w:szCs w:val="22"/>
              </w:rPr>
            </w:pPr>
            <w:r>
              <w:rPr>
                <w:sz w:val="22"/>
                <w:szCs w:val="22"/>
              </w:rPr>
              <w:t>Advanced development more appropriate?</w:t>
            </w:r>
          </w:p>
        </w:tc>
      </w:tr>
      <w:tr w:rsidR="00885B5F" w:rsidRPr="00AD22DE" w14:paraId="370C8A3D" w14:textId="77777777" w:rsidTr="00135D96">
        <w:trPr>
          <w:cantSplit/>
          <w:trHeight w:val="233"/>
        </w:trPr>
        <w:tc>
          <w:tcPr>
            <w:tcW w:w="918" w:type="dxa"/>
          </w:tcPr>
          <w:p w14:paraId="0B68569D" w14:textId="699F6050" w:rsidR="00885B5F" w:rsidRPr="00F86F63" w:rsidRDefault="00885B5F" w:rsidP="00885B5F">
            <w:pPr>
              <w:rPr>
                <w:sz w:val="22"/>
                <w:szCs w:val="22"/>
              </w:rPr>
            </w:pPr>
            <w:r>
              <w:rPr>
                <w:sz w:val="22"/>
                <w:szCs w:val="22"/>
              </w:rPr>
              <w:t>38</w:t>
            </w:r>
          </w:p>
        </w:tc>
        <w:tc>
          <w:tcPr>
            <w:tcW w:w="1125" w:type="dxa"/>
          </w:tcPr>
          <w:p w14:paraId="3CCF894C" w14:textId="72B9F5B9" w:rsidR="00885B5F" w:rsidRPr="00F86F63" w:rsidRDefault="00885B5F" w:rsidP="00885B5F">
            <w:pPr>
              <w:rPr>
                <w:sz w:val="22"/>
                <w:szCs w:val="22"/>
              </w:rPr>
            </w:pPr>
            <w:r>
              <w:rPr>
                <w:sz w:val="22"/>
                <w:szCs w:val="22"/>
              </w:rPr>
              <w:t>36-41</w:t>
            </w:r>
          </w:p>
        </w:tc>
        <w:tc>
          <w:tcPr>
            <w:tcW w:w="8145" w:type="dxa"/>
            <w:gridSpan w:val="2"/>
          </w:tcPr>
          <w:p w14:paraId="00D2EE4C" w14:textId="25FBFA4E" w:rsidR="00885B5F" w:rsidRPr="00F86F63" w:rsidRDefault="00885B5F" w:rsidP="00885B5F">
            <w:pPr>
              <w:rPr>
                <w:sz w:val="22"/>
                <w:szCs w:val="22"/>
              </w:rPr>
            </w:pPr>
            <w:r>
              <w:rPr>
                <w:sz w:val="22"/>
                <w:szCs w:val="22"/>
              </w:rPr>
              <w:t xml:space="preserve">The heading should refer to the application: </w:t>
            </w:r>
            <w:r w:rsidR="00003D15">
              <w:rPr>
                <w:sz w:val="22"/>
                <w:szCs w:val="22"/>
              </w:rPr>
              <w:t>“M</w:t>
            </w:r>
            <w:r w:rsidR="00117944">
              <w:rPr>
                <w:sz w:val="22"/>
                <w:szCs w:val="22"/>
              </w:rPr>
              <w:t>odified horsepox virus to use as a smallpox vaccine.</w:t>
            </w:r>
            <w:r w:rsidR="00003D15">
              <w:rPr>
                <w:sz w:val="22"/>
                <w:szCs w:val="22"/>
              </w:rPr>
              <w:t>”</w:t>
            </w:r>
            <w:r w:rsidR="00117944">
              <w:rPr>
                <w:sz w:val="22"/>
                <w:szCs w:val="22"/>
              </w:rPr>
              <w:t xml:space="preserve">  The company is also researching use of the virus for </w:t>
            </w:r>
            <w:r w:rsidR="00917C6D">
              <w:rPr>
                <w:sz w:val="22"/>
                <w:szCs w:val="22"/>
              </w:rPr>
              <w:t xml:space="preserve">a </w:t>
            </w:r>
            <w:r w:rsidR="00117944">
              <w:rPr>
                <w:sz w:val="22"/>
                <w:szCs w:val="22"/>
              </w:rPr>
              <w:t xml:space="preserve">COVID-19 vaccine.  </w:t>
            </w:r>
            <w:r w:rsidR="00917C6D">
              <w:rPr>
                <w:sz w:val="22"/>
                <w:szCs w:val="22"/>
              </w:rPr>
              <w:t>It is fine to</w:t>
            </w:r>
            <w:r w:rsidR="00117944">
              <w:rPr>
                <w:sz w:val="22"/>
                <w:szCs w:val="22"/>
              </w:rPr>
              <w:t xml:space="preserve"> mention that it was re-created in the text, but not as the title.  I do not understand the last sentence.  There was no physical sample to work with.</w:t>
            </w:r>
          </w:p>
        </w:tc>
      </w:tr>
      <w:tr w:rsidR="00885B5F" w:rsidRPr="00AD22DE" w14:paraId="4C3CCA93" w14:textId="77777777" w:rsidTr="00135D96">
        <w:trPr>
          <w:cantSplit/>
          <w:trHeight w:val="233"/>
        </w:trPr>
        <w:tc>
          <w:tcPr>
            <w:tcW w:w="918" w:type="dxa"/>
          </w:tcPr>
          <w:p w14:paraId="3FF8BAF3" w14:textId="6305B43D" w:rsidR="00885B5F" w:rsidRPr="00F86F63" w:rsidRDefault="00117944" w:rsidP="00885B5F">
            <w:pPr>
              <w:rPr>
                <w:sz w:val="22"/>
                <w:szCs w:val="22"/>
              </w:rPr>
            </w:pPr>
            <w:r>
              <w:rPr>
                <w:sz w:val="22"/>
                <w:szCs w:val="22"/>
              </w:rPr>
              <w:t>40</w:t>
            </w:r>
          </w:p>
        </w:tc>
        <w:tc>
          <w:tcPr>
            <w:tcW w:w="1125" w:type="dxa"/>
          </w:tcPr>
          <w:p w14:paraId="4428E0FB" w14:textId="054EDC04" w:rsidR="00885B5F" w:rsidRPr="00F86F63" w:rsidRDefault="00117944" w:rsidP="00885B5F">
            <w:pPr>
              <w:rPr>
                <w:sz w:val="22"/>
                <w:szCs w:val="22"/>
              </w:rPr>
            </w:pPr>
            <w:r>
              <w:rPr>
                <w:sz w:val="22"/>
                <w:szCs w:val="22"/>
              </w:rPr>
              <w:t>30-34</w:t>
            </w:r>
          </w:p>
        </w:tc>
        <w:tc>
          <w:tcPr>
            <w:tcW w:w="8145" w:type="dxa"/>
            <w:gridSpan w:val="2"/>
          </w:tcPr>
          <w:p w14:paraId="6F4BDBD1" w14:textId="720E45B0" w:rsidR="00885B5F" w:rsidRPr="00F86F63" w:rsidRDefault="00252F2F" w:rsidP="00885B5F">
            <w:pPr>
              <w:rPr>
                <w:sz w:val="22"/>
                <w:szCs w:val="22"/>
              </w:rPr>
            </w:pPr>
            <w:r>
              <w:rPr>
                <w:sz w:val="22"/>
                <w:szCs w:val="22"/>
              </w:rPr>
              <w:t>Perhaps this paragraph should have been included in the beginning of the Applications section, along with an explanation of the criteria used to distinguish “commercially available” from advanced development.</w:t>
            </w:r>
          </w:p>
        </w:tc>
      </w:tr>
      <w:tr w:rsidR="00252F2F" w:rsidRPr="00AD22DE" w14:paraId="00A4B5E2" w14:textId="77777777" w:rsidTr="00135D96">
        <w:trPr>
          <w:cantSplit/>
          <w:trHeight w:val="233"/>
        </w:trPr>
        <w:tc>
          <w:tcPr>
            <w:tcW w:w="918" w:type="dxa"/>
          </w:tcPr>
          <w:p w14:paraId="428CBCA4" w14:textId="2C373DAB" w:rsidR="00252F2F" w:rsidRPr="00F86F63" w:rsidRDefault="004C4A01" w:rsidP="00885B5F">
            <w:pPr>
              <w:rPr>
                <w:sz w:val="22"/>
                <w:szCs w:val="22"/>
              </w:rPr>
            </w:pPr>
            <w:r>
              <w:rPr>
                <w:sz w:val="22"/>
                <w:szCs w:val="22"/>
              </w:rPr>
              <w:t>44</w:t>
            </w:r>
          </w:p>
        </w:tc>
        <w:tc>
          <w:tcPr>
            <w:tcW w:w="1125" w:type="dxa"/>
          </w:tcPr>
          <w:p w14:paraId="2C2DAB08" w14:textId="4C54E327" w:rsidR="00252F2F" w:rsidRPr="00F86F63" w:rsidRDefault="004C4A01" w:rsidP="00885B5F">
            <w:pPr>
              <w:rPr>
                <w:sz w:val="22"/>
                <w:szCs w:val="22"/>
              </w:rPr>
            </w:pPr>
            <w:r>
              <w:rPr>
                <w:sz w:val="22"/>
                <w:szCs w:val="22"/>
              </w:rPr>
              <w:t>35-40</w:t>
            </w:r>
          </w:p>
        </w:tc>
        <w:tc>
          <w:tcPr>
            <w:tcW w:w="8145" w:type="dxa"/>
            <w:gridSpan w:val="2"/>
          </w:tcPr>
          <w:p w14:paraId="6F07285F" w14:textId="0729EF9A" w:rsidR="00252F2F" w:rsidRPr="00F86F63" w:rsidRDefault="004C4A01" w:rsidP="00885B5F">
            <w:pPr>
              <w:rPr>
                <w:sz w:val="22"/>
                <w:szCs w:val="22"/>
              </w:rPr>
            </w:pPr>
            <w:r>
              <w:rPr>
                <w:sz w:val="22"/>
                <w:szCs w:val="22"/>
              </w:rPr>
              <w:t>The most comprehensive review of conventional GMO crops is “Genetically Engineered Crops: Experiences and Prospects”, NASEM, 2016.  At minimum, it needs to be included as a reference.  A paragraph or two on its conclusions would be a very useful addition.</w:t>
            </w:r>
          </w:p>
        </w:tc>
      </w:tr>
      <w:tr w:rsidR="00252F2F" w:rsidRPr="00AD22DE" w14:paraId="70FC1274" w14:textId="77777777" w:rsidTr="00135D96">
        <w:trPr>
          <w:cantSplit/>
          <w:trHeight w:val="233"/>
        </w:trPr>
        <w:tc>
          <w:tcPr>
            <w:tcW w:w="918" w:type="dxa"/>
          </w:tcPr>
          <w:p w14:paraId="49E24BD5" w14:textId="6C1C3D44" w:rsidR="00252F2F" w:rsidRPr="00F86F63" w:rsidRDefault="003B2A1C" w:rsidP="00885B5F">
            <w:pPr>
              <w:rPr>
                <w:sz w:val="22"/>
                <w:szCs w:val="22"/>
              </w:rPr>
            </w:pPr>
            <w:r>
              <w:rPr>
                <w:sz w:val="22"/>
                <w:szCs w:val="22"/>
              </w:rPr>
              <w:t>54</w:t>
            </w:r>
          </w:p>
        </w:tc>
        <w:tc>
          <w:tcPr>
            <w:tcW w:w="1125" w:type="dxa"/>
          </w:tcPr>
          <w:p w14:paraId="09841515" w14:textId="13273B29" w:rsidR="00252F2F" w:rsidRPr="00F86F63" w:rsidRDefault="003B2A1C" w:rsidP="00885B5F">
            <w:pPr>
              <w:rPr>
                <w:sz w:val="22"/>
                <w:szCs w:val="22"/>
              </w:rPr>
            </w:pPr>
            <w:r>
              <w:rPr>
                <w:sz w:val="22"/>
                <w:szCs w:val="22"/>
              </w:rPr>
              <w:t>33-3</w:t>
            </w:r>
            <w:r w:rsidR="00F161B8">
              <w:rPr>
                <w:sz w:val="22"/>
                <w:szCs w:val="22"/>
              </w:rPr>
              <w:t>7</w:t>
            </w:r>
          </w:p>
        </w:tc>
        <w:tc>
          <w:tcPr>
            <w:tcW w:w="8145" w:type="dxa"/>
            <w:gridSpan w:val="2"/>
          </w:tcPr>
          <w:p w14:paraId="2B297862" w14:textId="52F534BD" w:rsidR="00252F2F" w:rsidRPr="00F86F63" w:rsidRDefault="003B2A1C" w:rsidP="00885B5F">
            <w:pPr>
              <w:rPr>
                <w:sz w:val="22"/>
                <w:szCs w:val="22"/>
              </w:rPr>
            </w:pPr>
            <w:r>
              <w:rPr>
                <w:sz w:val="22"/>
                <w:szCs w:val="22"/>
              </w:rPr>
              <w:t xml:space="preserve">As a co-author of Garfinkel et al. 2007, </w:t>
            </w:r>
            <w:r w:rsidR="005A0DC4">
              <w:rPr>
                <w:sz w:val="22"/>
                <w:szCs w:val="22"/>
              </w:rPr>
              <w:t xml:space="preserve">I was very surprised to see this extremely speculative statement ascribed to our study.  </w:t>
            </w:r>
            <w:r w:rsidR="00E056F2">
              <w:rPr>
                <w:sz w:val="22"/>
                <w:szCs w:val="22"/>
              </w:rPr>
              <w:t>We did not suggest this.</w:t>
            </w:r>
            <w:r w:rsidR="005A0DC4">
              <w:rPr>
                <w:sz w:val="22"/>
                <w:szCs w:val="22"/>
              </w:rPr>
              <w:t xml:space="preserve">  </w:t>
            </w:r>
            <w:r w:rsidR="00E056F2">
              <w:rPr>
                <w:sz w:val="22"/>
                <w:szCs w:val="22"/>
              </w:rPr>
              <w:t>The Mukunda paper includes this particular speculation among a long list of possible speculations for the future, one or some of which might happen in more than 10 years.  I suggest that these lines be deleted.</w:t>
            </w:r>
          </w:p>
        </w:tc>
      </w:tr>
      <w:tr w:rsidR="00252F2F" w:rsidRPr="00AD22DE" w14:paraId="7D24A4EE" w14:textId="77777777" w:rsidTr="00135D96">
        <w:trPr>
          <w:cantSplit/>
          <w:trHeight w:val="233"/>
        </w:trPr>
        <w:tc>
          <w:tcPr>
            <w:tcW w:w="918" w:type="dxa"/>
          </w:tcPr>
          <w:p w14:paraId="3DF86550" w14:textId="77777777" w:rsidR="0064514C" w:rsidRDefault="00F161B8" w:rsidP="00885B5F">
            <w:pPr>
              <w:rPr>
                <w:sz w:val="22"/>
                <w:szCs w:val="22"/>
              </w:rPr>
            </w:pPr>
            <w:r>
              <w:rPr>
                <w:sz w:val="22"/>
                <w:szCs w:val="22"/>
              </w:rPr>
              <w:t>54</w:t>
            </w:r>
          </w:p>
          <w:p w14:paraId="115CD797" w14:textId="0A186901" w:rsidR="00252F2F" w:rsidRPr="00F86F63" w:rsidRDefault="00F161B8" w:rsidP="00885B5F">
            <w:pPr>
              <w:rPr>
                <w:sz w:val="22"/>
                <w:szCs w:val="22"/>
              </w:rPr>
            </w:pPr>
            <w:r>
              <w:rPr>
                <w:sz w:val="22"/>
                <w:szCs w:val="22"/>
              </w:rPr>
              <w:t>55</w:t>
            </w:r>
          </w:p>
        </w:tc>
        <w:tc>
          <w:tcPr>
            <w:tcW w:w="1125" w:type="dxa"/>
          </w:tcPr>
          <w:p w14:paraId="7E467B74" w14:textId="77777777" w:rsidR="0064514C" w:rsidRDefault="00F161B8" w:rsidP="00885B5F">
            <w:pPr>
              <w:rPr>
                <w:sz w:val="22"/>
                <w:szCs w:val="22"/>
              </w:rPr>
            </w:pPr>
            <w:r>
              <w:rPr>
                <w:sz w:val="22"/>
                <w:szCs w:val="22"/>
              </w:rPr>
              <w:t>48-50</w:t>
            </w:r>
          </w:p>
          <w:p w14:paraId="31C7819D" w14:textId="583B3F6A" w:rsidR="00252F2F" w:rsidRPr="00F86F63" w:rsidRDefault="0064514C" w:rsidP="00885B5F">
            <w:pPr>
              <w:rPr>
                <w:sz w:val="22"/>
                <w:szCs w:val="22"/>
              </w:rPr>
            </w:pPr>
            <w:r>
              <w:rPr>
                <w:sz w:val="22"/>
                <w:szCs w:val="22"/>
              </w:rPr>
              <w:t>1</w:t>
            </w:r>
            <w:r w:rsidR="00F161B8">
              <w:rPr>
                <w:sz w:val="22"/>
                <w:szCs w:val="22"/>
              </w:rPr>
              <w:t>-14</w:t>
            </w:r>
          </w:p>
        </w:tc>
        <w:tc>
          <w:tcPr>
            <w:tcW w:w="8145" w:type="dxa"/>
            <w:gridSpan w:val="2"/>
          </w:tcPr>
          <w:p w14:paraId="4DC441FF" w14:textId="036C756D" w:rsidR="00252F2F" w:rsidRPr="00F86F63" w:rsidRDefault="00F161B8" w:rsidP="00885B5F">
            <w:pPr>
              <w:rPr>
                <w:sz w:val="22"/>
                <w:szCs w:val="22"/>
              </w:rPr>
            </w:pPr>
            <w:r>
              <w:rPr>
                <w:sz w:val="22"/>
                <w:szCs w:val="22"/>
              </w:rPr>
              <w:t xml:space="preserve">This is the second time the “insect allies” research program has been discussed in the report.  </w:t>
            </w:r>
            <w:r w:rsidR="00E056F2">
              <w:rPr>
                <w:sz w:val="22"/>
                <w:szCs w:val="22"/>
              </w:rPr>
              <w:t>Why is this much text devoted to what the report describes as speculations?</w:t>
            </w:r>
          </w:p>
        </w:tc>
      </w:tr>
      <w:tr w:rsidR="00252F2F" w:rsidRPr="00AD22DE" w14:paraId="6B32B146" w14:textId="77777777" w:rsidTr="00135D96">
        <w:trPr>
          <w:cantSplit/>
          <w:trHeight w:val="233"/>
        </w:trPr>
        <w:tc>
          <w:tcPr>
            <w:tcW w:w="918" w:type="dxa"/>
          </w:tcPr>
          <w:p w14:paraId="343C92D7" w14:textId="74A3303C" w:rsidR="00252F2F" w:rsidRPr="00F86F63" w:rsidRDefault="00F604E0" w:rsidP="00885B5F">
            <w:pPr>
              <w:rPr>
                <w:sz w:val="22"/>
                <w:szCs w:val="22"/>
              </w:rPr>
            </w:pPr>
            <w:r>
              <w:rPr>
                <w:sz w:val="22"/>
                <w:szCs w:val="22"/>
              </w:rPr>
              <w:t>57</w:t>
            </w:r>
          </w:p>
        </w:tc>
        <w:tc>
          <w:tcPr>
            <w:tcW w:w="1125" w:type="dxa"/>
          </w:tcPr>
          <w:p w14:paraId="12DA0252" w14:textId="2F0C1CFA" w:rsidR="00252F2F" w:rsidRPr="00F86F63" w:rsidRDefault="00F604E0" w:rsidP="00885B5F">
            <w:pPr>
              <w:rPr>
                <w:sz w:val="22"/>
                <w:szCs w:val="22"/>
              </w:rPr>
            </w:pPr>
            <w:r>
              <w:rPr>
                <w:sz w:val="22"/>
                <w:szCs w:val="22"/>
              </w:rPr>
              <w:t>14-16</w:t>
            </w:r>
          </w:p>
        </w:tc>
        <w:tc>
          <w:tcPr>
            <w:tcW w:w="8145" w:type="dxa"/>
            <w:gridSpan w:val="2"/>
          </w:tcPr>
          <w:p w14:paraId="5097D0D1" w14:textId="4E51EEBE" w:rsidR="00252F2F" w:rsidRPr="00F86F63" w:rsidRDefault="00F604E0" w:rsidP="00885B5F">
            <w:pPr>
              <w:rPr>
                <w:sz w:val="22"/>
                <w:szCs w:val="22"/>
              </w:rPr>
            </w:pPr>
            <w:r w:rsidRPr="00F604E0">
              <w:rPr>
                <w:sz w:val="22"/>
                <w:szCs w:val="22"/>
              </w:rPr>
              <w:t>Such</w:t>
            </w:r>
            <w:r>
              <w:rPr>
                <w:sz w:val="22"/>
                <w:szCs w:val="22"/>
              </w:rPr>
              <w:t xml:space="preserve"> </w:t>
            </w:r>
            <w:r w:rsidR="002014DC">
              <w:rPr>
                <w:sz w:val="22"/>
                <w:szCs w:val="22"/>
              </w:rPr>
              <w:t xml:space="preserve">a </w:t>
            </w:r>
            <w:r w:rsidRPr="00F604E0">
              <w:rPr>
                <w:sz w:val="22"/>
                <w:szCs w:val="22"/>
              </w:rPr>
              <w:t>sweeping generalization</w:t>
            </w:r>
            <w:r w:rsidR="002014DC">
              <w:rPr>
                <w:sz w:val="22"/>
                <w:szCs w:val="22"/>
              </w:rPr>
              <w:t xml:space="preserve"> is far too broad to apply to all </w:t>
            </w:r>
            <w:r>
              <w:rPr>
                <w:sz w:val="22"/>
                <w:szCs w:val="22"/>
              </w:rPr>
              <w:t>“synthetic biology applications”</w:t>
            </w:r>
            <w:r w:rsidR="004B2FF7">
              <w:rPr>
                <w:sz w:val="22"/>
                <w:szCs w:val="22"/>
              </w:rPr>
              <w:t xml:space="preserve"> and as stated, highly misleading about challenges to regulation</w:t>
            </w:r>
            <w:r>
              <w:rPr>
                <w:sz w:val="22"/>
                <w:szCs w:val="22"/>
              </w:rPr>
              <w:t>.  In fact, th</w:t>
            </w:r>
            <w:r w:rsidRPr="00F604E0">
              <w:rPr>
                <w:sz w:val="22"/>
                <w:szCs w:val="22"/>
              </w:rPr>
              <w:t>e Duensing article cited</w:t>
            </w:r>
            <w:r>
              <w:rPr>
                <w:sz w:val="22"/>
                <w:szCs w:val="22"/>
              </w:rPr>
              <w:t xml:space="preserve"> as the source of the statement comes to the opposite conclusion in the abstract: </w:t>
            </w:r>
            <w:r w:rsidRPr="00F604E0">
              <w:rPr>
                <w:sz w:val="22"/>
                <w:szCs w:val="22"/>
              </w:rPr>
              <w:t>“</w:t>
            </w:r>
            <w:r w:rsidRPr="00F604E0">
              <w:rPr>
                <w:sz w:val="22"/>
                <w:szCs w:val="22"/>
              </w:rPr>
              <w:t>Since genome editing can lead to the development of plants that could also have come into existence naturally or by conventional breeding techniques, there are strong arguments that these cases should not be classified as genetically modified organisms (GMOs) and be regulated no differently from conventionally bred crops.</w:t>
            </w:r>
            <w:r>
              <w:rPr>
                <w:sz w:val="22"/>
                <w:szCs w:val="22"/>
              </w:rPr>
              <w:t>”</w:t>
            </w:r>
            <w:r w:rsidRPr="00F604E0">
              <w:rPr>
                <w:sz w:val="22"/>
                <w:szCs w:val="22"/>
              </w:rPr>
              <w:t xml:space="preserve"> </w:t>
            </w:r>
            <w:r w:rsidR="004B2FF7">
              <w:rPr>
                <w:sz w:val="22"/>
                <w:szCs w:val="22"/>
              </w:rPr>
              <w:t xml:space="preserve">The introductory paragraph to section 7 (Governance and Regulation) is a much more accurate statement  </w:t>
            </w:r>
          </w:p>
        </w:tc>
      </w:tr>
      <w:tr w:rsidR="00252F2F" w:rsidRPr="00AD22DE" w14:paraId="056281D7" w14:textId="77777777" w:rsidTr="00135D96">
        <w:trPr>
          <w:cantSplit/>
          <w:trHeight w:val="233"/>
        </w:trPr>
        <w:tc>
          <w:tcPr>
            <w:tcW w:w="918" w:type="dxa"/>
          </w:tcPr>
          <w:p w14:paraId="640F6203" w14:textId="6D18E0D0" w:rsidR="00252F2F" w:rsidRDefault="0064514C" w:rsidP="00885B5F">
            <w:pPr>
              <w:rPr>
                <w:sz w:val="22"/>
                <w:szCs w:val="22"/>
              </w:rPr>
            </w:pPr>
            <w:r>
              <w:rPr>
                <w:sz w:val="22"/>
                <w:szCs w:val="22"/>
              </w:rPr>
              <w:t>6</w:t>
            </w:r>
            <w:r w:rsidR="00553487">
              <w:rPr>
                <w:sz w:val="22"/>
                <w:szCs w:val="22"/>
              </w:rPr>
              <w:t>2</w:t>
            </w:r>
          </w:p>
          <w:p w14:paraId="12C7B1FC" w14:textId="2C3B0A13" w:rsidR="0064514C" w:rsidRPr="00F86F63" w:rsidRDefault="0064514C" w:rsidP="00885B5F">
            <w:pPr>
              <w:rPr>
                <w:sz w:val="22"/>
                <w:szCs w:val="22"/>
              </w:rPr>
            </w:pPr>
            <w:r>
              <w:rPr>
                <w:sz w:val="22"/>
                <w:szCs w:val="22"/>
              </w:rPr>
              <w:t>6</w:t>
            </w:r>
            <w:r w:rsidR="00553487">
              <w:rPr>
                <w:sz w:val="22"/>
                <w:szCs w:val="22"/>
              </w:rPr>
              <w:t>3</w:t>
            </w:r>
          </w:p>
        </w:tc>
        <w:tc>
          <w:tcPr>
            <w:tcW w:w="1125" w:type="dxa"/>
          </w:tcPr>
          <w:p w14:paraId="06EF8EB7" w14:textId="77777777" w:rsidR="00252F2F" w:rsidRDefault="0064514C" w:rsidP="00885B5F">
            <w:pPr>
              <w:rPr>
                <w:sz w:val="22"/>
                <w:szCs w:val="22"/>
              </w:rPr>
            </w:pPr>
            <w:r>
              <w:rPr>
                <w:sz w:val="22"/>
                <w:szCs w:val="22"/>
              </w:rPr>
              <w:t>21-46</w:t>
            </w:r>
          </w:p>
          <w:p w14:paraId="1203C539" w14:textId="4FC4018D" w:rsidR="0064514C" w:rsidRPr="00F86F63" w:rsidRDefault="0064514C" w:rsidP="00885B5F">
            <w:pPr>
              <w:rPr>
                <w:sz w:val="22"/>
                <w:szCs w:val="22"/>
              </w:rPr>
            </w:pPr>
            <w:r>
              <w:rPr>
                <w:sz w:val="22"/>
                <w:szCs w:val="22"/>
              </w:rPr>
              <w:t>1-49</w:t>
            </w:r>
          </w:p>
        </w:tc>
        <w:tc>
          <w:tcPr>
            <w:tcW w:w="8145" w:type="dxa"/>
            <w:gridSpan w:val="2"/>
          </w:tcPr>
          <w:p w14:paraId="35B1E9C9" w14:textId="5FE0E033" w:rsidR="00252F2F" w:rsidRPr="00F86F63" w:rsidRDefault="00ED0043" w:rsidP="00885B5F">
            <w:pPr>
              <w:rPr>
                <w:sz w:val="22"/>
                <w:szCs w:val="22"/>
              </w:rPr>
            </w:pPr>
            <w:r>
              <w:rPr>
                <w:sz w:val="22"/>
                <w:szCs w:val="22"/>
              </w:rPr>
              <w:t>S</w:t>
            </w:r>
            <w:r w:rsidR="0064514C">
              <w:rPr>
                <w:sz w:val="22"/>
                <w:szCs w:val="22"/>
              </w:rPr>
              <w:t>ubs</w:t>
            </w:r>
            <w:r>
              <w:rPr>
                <w:sz w:val="22"/>
                <w:szCs w:val="22"/>
              </w:rPr>
              <w:t>ections 6.2.</w:t>
            </w:r>
            <w:r w:rsidR="0064514C">
              <w:rPr>
                <w:sz w:val="22"/>
                <w:szCs w:val="22"/>
              </w:rPr>
              <w:t>3</w:t>
            </w:r>
            <w:r>
              <w:rPr>
                <w:sz w:val="22"/>
                <w:szCs w:val="22"/>
              </w:rPr>
              <w:t xml:space="preserve"> and 6.2.</w:t>
            </w:r>
            <w:r w:rsidR="0064514C">
              <w:rPr>
                <w:sz w:val="22"/>
                <w:szCs w:val="22"/>
              </w:rPr>
              <w:t>4</w:t>
            </w:r>
            <w:r>
              <w:rPr>
                <w:sz w:val="22"/>
                <w:szCs w:val="22"/>
              </w:rPr>
              <w:t xml:space="preserve"> discuss two topics related to gene drives: 1) </w:t>
            </w:r>
            <w:r w:rsidR="0064514C">
              <w:rPr>
                <w:sz w:val="22"/>
                <w:szCs w:val="22"/>
              </w:rPr>
              <w:t>designs for temporal and geographic containment and 2) post-release removal.  The concepts are mixed into both sections in a confusing manner.  Headings should clearly refer to gene drives, not generaliz</w:t>
            </w:r>
            <w:r w:rsidR="00553487">
              <w:rPr>
                <w:sz w:val="22"/>
                <w:szCs w:val="22"/>
              </w:rPr>
              <w:t xml:space="preserve">e </w:t>
            </w:r>
            <w:r w:rsidR="0064514C">
              <w:rPr>
                <w:sz w:val="22"/>
                <w:szCs w:val="22"/>
              </w:rPr>
              <w:t>to “synthetic biology organisms</w:t>
            </w:r>
            <w:r w:rsidR="00553487">
              <w:rPr>
                <w:sz w:val="22"/>
                <w:szCs w:val="22"/>
              </w:rPr>
              <w:t>.”</w:t>
            </w:r>
          </w:p>
        </w:tc>
      </w:tr>
      <w:tr w:rsidR="00252F2F" w:rsidRPr="00AD22DE" w14:paraId="4DE00F4D" w14:textId="77777777" w:rsidTr="00135D96">
        <w:trPr>
          <w:cantSplit/>
          <w:trHeight w:val="233"/>
        </w:trPr>
        <w:tc>
          <w:tcPr>
            <w:tcW w:w="918" w:type="dxa"/>
          </w:tcPr>
          <w:p w14:paraId="2F1BC2F7" w14:textId="0A48173C" w:rsidR="00252F2F" w:rsidRPr="00F86F63" w:rsidRDefault="00553487" w:rsidP="00885B5F">
            <w:pPr>
              <w:rPr>
                <w:sz w:val="22"/>
                <w:szCs w:val="22"/>
              </w:rPr>
            </w:pPr>
            <w:r>
              <w:rPr>
                <w:sz w:val="22"/>
                <w:szCs w:val="22"/>
              </w:rPr>
              <w:t>64</w:t>
            </w:r>
          </w:p>
        </w:tc>
        <w:tc>
          <w:tcPr>
            <w:tcW w:w="1125" w:type="dxa"/>
          </w:tcPr>
          <w:p w14:paraId="57133780" w14:textId="78E92E24" w:rsidR="00252F2F" w:rsidRPr="00F86F63" w:rsidRDefault="00553487" w:rsidP="00885B5F">
            <w:pPr>
              <w:rPr>
                <w:sz w:val="22"/>
                <w:szCs w:val="22"/>
              </w:rPr>
            </w:pPr>
            <w:r>
              <w:rPr>
                <w:sz w:val="22"/>
                <w:szCs w:val="22"/>
              </w:rPr>
              <w:t>20</w:t>
            </w:r>
          </w:p>
        </w:tc>
        <w:tc>
          <w:tcPr>
            <w:tcW w:w="8145" w:type="dxa"/>
            <w:gridSpan w:val="2"/>
          </w:tcPr>
          <w:p w14:paraId="17450511" w14:textId="66886BE7" w:rsidR="00252F2F" w:rsidRPr="00F86F63" w:rsidRDefault="00553487" w:rsidP="00885B5F">
            <w:pPr>
              <w:rPr>
                <w:sz w:val="22"/>
                <w:szCs w:val="22"/>
              </w:rPr>
            </w:pPr>
            <w:r>
              <w:rPr>
                <w:sz w:val="22"/>
                <w:szCs w:val="22"/>
              </w:rPr>
              <w:t>Given the extensive discussion of gene drive organisms, one might explicitly point out that such organisms are easily detected with PCR-based methods</w:t>
            </w:r>
          </w:p>
        </w:tc>
      </w:tr>
      <w:tr w:rsidR="0076319E" w:rsidRPr="00AD22DE" w14:paraId="39E1FE81" w14:textId="77777777" w:rsidTr="00135D96">
        <w:trPr>
          <w:cantSplit/>
          <w:trHeight w:val="233"/>
        </w:trPr>
        <w:tc>
          <w:tcPr>
            <w:tcW w:w="918" w:type="dxa"/>
          </w:tcPr>
          <w:p w14:paraId="70BC8690" w14:textId="5298B46C" w:rsidR="0076319E" w:rsidRDefault="0076319E" w:rsidP="00885B5F">
            <w:pPr>
              <w:rPr>
                <w:sz w:val="22"/>
                <w:szCs w:val="22"/>
              </w:rPr>
            </w:pPr>
            <w:r>
              <w:rPr>
                <w:sz w:val="22"/>
                <w:szCs w:val="22"/>
              </w:rPr>
              <w:t>6</w:t>
            </w:r>
            <w:r w:rsidR="00C10263">
              <w:rPr>
                <w:sz w:val="22"/>
                <w:szCs w:val="22"/>
              </w:rPr>
              <w:t>5</w:t>
            </w:r>
          </w:p>
        </w:tc>
        <w:tc>
          <w:tcPr>
            <w:tcW w:w="1125" w:type="dxa"/>
          </w:tcPr>
          <w:p w14:paraId="0B8334BB" w14:textId="6904735B" w:rsidR="0076319E" w:rsidRDefault="00C10263" w:rsidP="00885B5F">
            <w:pPr>
              <w:rPr>
                <w:sz w:val="22"/>
                <w:szCs w:val="22"/>
              </w:rPr>
            </w:pPr>
            <w:r>
              <w:rPr>
                <w:sz w:val="22"/>
                <w:szCs w:val="22"/>
              </w:rPr>
              <w:t>19-32</w:t>
            </w:r>
          </w:p>
        </w:tc>
        <w:tc>
          <w:tcPr>
            <w:tcW w:w="8145" w:type="dxa"/>
            <w:gridSpan w:val="2"/>
          </w:tcPr>
          <w:p w14:paraId="438AAB7F" w14:textId="2D7D0968" w:rsidR="0076319E" w:rsidRDefault="00C10263" w:rsidP="00885B5F">
            <w:pPr>
              <w:rPr>
                <w:sz w:val="22"/>
                <w:szCs w:val="22"/>
              </w:rPr>
            </w:pPr>
            <w:r>
              <w:rPr>
                <w:sz w:val="22"/>
                <w:szCs w:val="22"/>
              </w:rPr>
              <w:t xml:space="preserve">This section needs an introduction to Section E, Synthetic Biology Governance.  The section includes approximately 3 pages on national regulation, 3 pages on self governance, 20 pages on the CBD, and 30 pages on </w:t>
            </w:r>
            <w:r w:rsidR="00BD5089">
              <w:rPr>
                <w:sz w:val="22"/>
                <w:szCs w:val="22"/>
              </w:rPr>
              <w:t>other international aspects of synthetic biology governance.  As correctly stated on p.68, lines 29-30, the majority of regulatory decision-masking will be at the national level.  Thus, the section needs an introduction that puts the three forms of governance into perspective. Otherwise, it is impossible to understand and contextualize the governance gaps</w:t>
            </w:r>
            <w:r w:rsidR="002478B6">
              <w:rPr>
                <w:sz w:val="22"/>
                <w:szCs w:val="22"/>
              </w:rPr>
              <w:t xml:space="preserve"> and overlaps</w:t>
            </w:r>
            <w:r w:rsidR="00BD5089">
              <w:rPr>
                <w:sz w:val="22"/>
                <w:szCs w:val="22"/>
              </w:rPr>
              <w:t xml:space="preserve"> identified in the 50 pages devoted to international governance.  Expanded discussions of national regulation and self </w:t>
            </w:r>
            <w:r w:rsidR="009C5E48">
              <w:rPr>
                <w:sz w:val="22"/>
                <w:szCs w:val="22"/>
              </w:rPr>
              <w:t>governance would also be useful, if time permits.</w:t>
            </w:r>
          </w:p>
        </w:tc>
      </w:tr>
      <w:tr w:rsidR="00C62C53" w:rsidRPr="00AD22DE" w14:paraId="6119C3F0" w14:textId="77777777" w:rsidTr="00135D96">
        <w:trPr>
          <w:cantSplit/>
          <w:trHeight w:val="233"/>
        </w:trPr>
        <w:tc>
          <w:tcPr>
            <w:tcW w:w="918" w:type="dxa"/>
          </w:tcPr>
          <w:p w14:paraId="51A37B72" w14:textId="3C8ED561" w:rsidR="00C62C53" w:rsidRDefault="00C62C53" w:rsidP="00885B5F">
            <w:pPr>
              <w:rPr>
                <w:sz w:val="22"/>
                <w:szCs w:val="22"/>
              </w:rPr>
            </w:pPr>
            <w:r>
              <w:rPr>
                <w:sz w:val="22"/>
                <w:szCs w:val="22"/>
              </w:rPr>
              <w:t>65</w:t>
            </w:r>
          </w:p>
        </w:tc>
        <w:tc>
          <w:tcPr>
            <w:tcW w:w="1125" w:type="dxa"/>
          </w:tcPr>
          <w:p w14:paraId="07C39ACF" w14:textId="4D468392" w:rsidR="00C62C53" w:rsidRDefault="00C62C53" w:rsidP="00885B5F">
            <w:pPr>
              <w:rPr>
                <w:sz w:val="22"/>
                <w:szCs w:val="22"/>
              </w:rPr>
            </w:pPr>
            <w:r>
              <w:rPr>
                <w:sz w:val="22"/>
                <w:szCs w:val="22"/>
              </w:rPr>
              <w:t>42-44</w:t>
            </w:r>
          </w:p>
        </w:tc>
        <w:tc>
          <w:tcPr>
            <w:tcW w:w="8145" w:type="dxa"/>
            <w:gridSpan w:val="2"/>
          </w:tcPr>
          <w:p w14:paraId="7616BB3B" w14:textId="2519F2EA" w:rsidR="00C62C53" w:rsidRDefault="00C62C53" w:rsidP="00885B5F">
            <w:pPr>
              <w:rPr>
                <w:sz w:val="22"/>
                <w:szCs w:val="22"/>
              </w:rPr>
            </w:pPr>
            <w:r>
              <w:rPr>
                <w:sz w:val="22"/>
                <w:szCs w:val="22"/>
              </w:rPr>
              <w:t>Th</w:t>
            </w:r>
            <w:r w:rsidR="00C5059F">
              <w:rPr>
                <w:sz w:val="22"/>
                <w:szCs w:val="22"/>
              </w:rPr>
              <w:t xml:space="preserve">is statement is misleading.  The sentence, and the 2.5 pages that follow, make it appear that the only applications of synthetic biology that have received regulatory review and attention are those that employ genome editing, gene drives, and RNAi technologies.  This is by no means true.  Most products of synthetic biology are well-covered by current regulatory regimes for biotechnology, as briefly covered in section 7.2.  The three technologies </w:t>
            </w:r>
            <w:r w:rsidR="007F58AD">
              <w:rPr>
                <w:sz w:val="22"/>
                <w:szCs w:val="22"/>
              </w:rPr>
              <w:t>highlighted in 7.1 are examples of those that have received additional scrutiny.</w:t>
            </w:r>
            <w:r w:rsidR="00C5059F">
              <w:rPr>
                <w:sz w:val="22"/>
                <w:szCs w:val="22"/>
              </w:rPr>
              <w:t xml:space="preserve"> </w:t>
            </w:r>
          </w:p>
        </w:tc>
      </w:tr>
      <w:tr w:rsidR="00C62C53" w:rsidRPr="00AD22DE" w14:paraId="47D915C4" w14:textId="77777777" w:rsidTr="00135D96">
        <w:trPr>
          <w:cantSplit/>
          <w:trHeight w:val="233"/>
        </w:trPr>
        <w:tc>
          <w:tcPr>
            <w:tcW w:w="918" w:type="dxa"/>
          </w:tcPr>
          <w:p w14:paraId="347EB19E" w14:textId="0263B227" w:rsidR="00C62C53" w:rsidRDefault="007F58AD" w:rsidP="00885B5F">
            <w:pPr>
              <w:rPr>
                <w:sz w:val="22"/>
                <w:szCs w:val="22"/>
              </w:rPr>
            </w:pPr>
            <w:r>
              <w:rPr>
                <w:sz w:val="22"/>
                <w:szCs w:val="22"/>
              </w:rPr>
              <w:t>65-69</w:t>
            </w:r>
          </w:p>
        </w:tc>
        <w:tc>
          <w:tcPr>
            <w:tcW w:w="1125" w:type="dxa"/>
          </w:tcPr>
          <w:p w14:paraId="7B70D5A8" w14:textId="77777777" w:rsidR="00C62C53" w:rsidRDefault="00C62C53" w:rsidP="00885B5F">
            <w:pPr>
              <w:rPr>
                <w:sz w:val="22"/>
                <w:szCs w:val="22"/>
              </w:rPr>
            </w:pPr>
          </w:p>
        </w:tc>
        <w:tc>
          <w:tcPr>
            <w:tcW w:w="8145" w:type="dxa"/>
            <w:gridSpan w:val="2"/>
          </w:tcPr>
          <w:p w14:paraId="32C19760" w14:textId="1104D1AE" w:rsidR="00C62C53" w:rsidRDefault="007F58AD" w:rsidP="00885B5F">
            <w:pPr>
              <w:rPr>
                <w:sz w:val="22"/>
                <w:szCs w:val="22"/>
              </w:rPr>
            </w:pPr>
            <w:r>
              <w:rPr>
                <w:sz w:val="22"/>
                <w:szCs w:val="22"/>
              </w:rPr>
              <w:t>Following the comment above, I think reversing the order of sections 7.1 and 7.2 will give readers a more accurate understanding of national regulatory frameworks for synthetic biology.</w:t>
            </w:r>
          </w:p>
        </w:tc>
      </w:tr>
      <w:tr w:rsidR="00F05FB1" w:rsidRPr="00AD22DE" w14:paraId="71710615" w14:textId="77777777" w:rsidTr="00135D96">
        <w:trPr>
          <w:cantSplit/>
          <w:trHeight w:val="233"/>
        </w:trPr>
        <w:tc>
          <w:tcPr>
            <w:tcW w:w="918" w:type="dxa"/>
          </w:tcPr>
          <w:p w14:paraId="78D1ECD7" w14:textId="77777777" w:rsidR="00F05FB1" w:rsidRDefault="00F05FB1" w:rsidP="00885B5F">
            <w:pPr>
              <w:rPr>
                <w:sz w:val="22"/>
                <w:szCs w:val="22"/>
              </w:rPr>
            </w:pPr>
            <w:r>
              <w:rPr>
                <w:sz w:val="22"/>
                <w:szCs w:val="22"/>
              </w:rPr>
              <w:t>70</w:t>
            </w:r>
          </w:p>
          <w:p w14:paraId="67DFC8A4" w14:textId="19551585" w:rsidR="00F05FB1" w:rsidRDefault="00F05FB1" w:rsidP="00885B5F">
            <w:pPr>
              <w:rPr>
                <w:sz w:val="22"/>
                <w:szCs w:val="22"/>
              </w:rPr>
            </w:pPr>
            <w:r>
              <w:rPr>
                <w:sz w:val="22"/>
                <w:szCs w:val="22"/>
              </w:rPr>
              <w:t>71</w:t>
            </w:r>
          </w:p>
        </w:tc>
        <w:tc>
          <w:tcPr>
            <w:tcW w:w="1125" w:type="dxa"/>
          </w:tcPr>
          <w:p w14:paraId="2F8D3CA6" w14:textId="0135D0E1" w:rsidR="00F05FB1" w:rsidRDefault="004625B1" w:rsidP="00885B5F">
            <w:pPr>
              <w:rPr>
                <w:sz w:val="22"/>
                <w:szCs w:val="22"/>
              </w:rPr>
            </w:pPr>
            <w:r>
              <w:rPr>
                <w:sz w:val="22"/>
                <w:szCs w:val="22"/>
              </w:rPr>
              <w:t>33</w:t>
            </w:r>
            <w:r w:rsidR="00F05FB1">
              <w:rPr>
                <w:sz w:val="22"/>
                <w:szCs w:val="22"/>
              </w:rPr>
              <w:t>-47</w:t>
            </w:r>
          </w:p>
          <w:p w14:paraId="0F2135A4" w14:textId="1D9CE336" w:rsidR="00F05FB1" w:rsidRDefault="00F05FB1" w:rsidP="00885B5F">
            <w:pPr>
              <w:rPr>
                <w:sz w:val="22"/>
                <w:szCs w:val="22"/>
              </w:rPr>
            </w:pPr>
            <w:r>
              <w:rPr>
                <w:sz w:val="22"/>
                <w:szCs w:val="22"/>
              </w:rPr>
              <w:t>1-</w:t>
            </w:r>
            <w:r w:rsidR="004625B1">
              <w:rPr>
                <w:sz w:val="22"/>
                <w:szCs w:val="22"/>
              </w:rPr>
              <w:t>12</w:t>
            </w:r>
          </w:p>
        </w:tc>
        <w:tc>
          <w:tcPr>
            <w:tcW w:w="8145" w:type="dxa"/>
            <w:gridSpan w:val="2"/>
          </w:tcPr>
          <w:p w14:paraId="08138F67" w14:textId="03EB1197" w:rsidR="00F05FB1" w:rsidRDefault="00F05FB1" w:rsidP="00885B5F">
            <w:pPr>
              <w:rPr>
                <w:sz w:val="22"/>
                <w:szCs w:val="22"/>
              </w:rPr>
            </w:pPr>
            <w:r>
              <w:rPr>
                <w:sz w:val="22"/>
                <w:szCs w:val="22"/>
              </w:rPr>
              <w:t xml:space="preserve">This section </w:t>
            </w:r>
            <w:r w:rsidR="004625B1">
              <w:rPr>
                <w:sz w:val="22"/>
                <w:szCs w:val="22"/>
              </w:rPr>
              <w:t>mixes calls for moratoria with discussions of self-regulation. Line 41 (p.70) is clearly contradicted by Lines 13-</w:t>
            </w:r>
            <w:r w:rsidR="00162B2B">
              <w:rPr>
                <w:sz w:val="22"/>
                <w:szCs w:val="22"/>
              </w:rPr>
              <w:t>24</w:t>
            </w:r>
            <w:r w:rsidR="004625B1">
              <w:rPr>
                <w:sz w:val="22"/>
                <w:szCs w:val="22"/>
              </w:rPr>
              <w:t xml:space="preserve"> (p.71) and subsections 7.3.3 and subsections 7.3.4.  I suggested deleting lines 41-47 (p.70) completely.  </w:t>
            </w:r>
          </w:p>
        </w:tc>
      </w:tr>
      <w:tr w:rsidR="00252F2F" w:rsidRPr="00AD22DE" w14:paraId="7405F365" w14:textId="77777777" w:rsidTr="00135D96">
        <w:trPr>
          <w:cantSplit/>
          <w:trHeight w:val="233"/>
        </w:trPr>
        <w:tc>
          <w:tcPr>
            <w:tcW w:w="918" w:type="dxa"/>
          </w:tcPr>
          <w:p w14:paraId="27B7EAAB" w14:textId="19CA617D" w:rsidR="00252F2F" w:rsidRPr="00F86F63" w:rsidRDefault="00553487" w:rsidP="00885B5F">
            <w:pPr>
              <w:rPr>
                <w:sz w:val="22"/>
                <w:szCs w:val="22"/>
              </w:rPr>
            </w:pPr>
            <w:r>
              <w:rPr>
                <w:sz w:val="22"/>
                <w:szCs w:val="22"/>
              </w:rPr>
              <w:t>71</w:t>
            </w:r>
          </w:p>
        </w:tc>
        <w:tc>
          <w:tcPr>
            <w:tcW w:w="1125" w:type="dxa"/>
          </w:tcPr>
          <w:p w14:paraId="55B278F6" w14:textId="1B4A6E6C" w:rsidR="00252F2F" w:rsidRPr="00F86F63" w:rsidRDefault="00553487" w:rsidP="00885B5F">
            <w:pPr>
              <w:rPr>
                <w:sz w:val="22"/>
                <w:szCs w:val="22"/>
              </w:rPr>
            </w:pPr>
            <w:r>
              <w:rPr>
                <w:sz w:val="22"/>
                <w:szCs w:val="22"/>
              </w:rPr>
              <w:t>13-24</w:t>
            </w:r>
          </w:p>
        </w:tc>
        <w:tc>
          <w:tcPr>
            <w:tcW w:w="8145" w:type="dxa"/>
            <w:gridSpan w:val="2"/>
          </w:tcPr>
          <w:p w14:paraId="3AD76336" w14:textId="5AD21427" w:rsidR="00252F2F" w:rsidRPr="00F86F63" w:rsidRDefault="00553487" w:rsidP="00885B5F">
            <w:pPr>
              <w:rPr>
                <w:sz w:val="22"/>
                <w:szCs w:val="22"/>
              </w:rPr>
            </w:pPr>
            <w:r>
              <w:rPr>
                <w:sz w:val="22"/>
                <w:szCs w:val="22"/>
              </w:rPr>
              <w:t>This paragraph discussing establishment of community norms is incorrectly included in the subsection on calls for moratoria. This deserves a separate subsection</w:t>
            </w:r>
            <w:r w:rsidR="00F05FB1">
              <w:rPr>
                <w:sz w:val="22"/>
                <w:szCs w:val="22"/>
              </w:rPr>
              <w:t>.</w:t>
            </w:r>
          </w:p>
        </w:tc>
      </w:tr>
      <w:tr w:rsidR="00252F2F" w:rsidRPr="00AD22DE" w14:paraId="1BA4AC08" w14:textId="77777777" w:rsidTr="00135D96">
        <w:trPr>
          <w:cantSplit/>
          <w:trHeight w:val="233"/>
        </w:trPr>
        <w:tc>
          <w:tcPr>
            <w:tcW w:w="918" w:type="dxa"/>
          </w:tcPr>
          <w:p w14:paraId="498307E2" w14:textId="77BD89EF" w:rsidR="00252F2F" w:rsidRPr="00F86F63" w:rsidRDefault="008D6209" w:rsidP="00885B5F">
            <w:pPr>
              <w:rPr>
                <w:sz w:val="22"/>
                <w:szCs w:val="22"/>
              </w:rPr>
            </w:pPr>
            <w:r>
              <w:rPr>
                <w:sz w:val="22"/>
                <w:szCs w:val="22"/>
              </w:rPr>
              <w:t>76</w:t>
            </w:r>
          </w:p>
        </w:tc>
        <w:tc>
          <w:tcPr>
            <w:tcW w:w="1125" w:type="dxa"/>
          </w:tcPr>
          <w:p w14:paraId="42D23B73" w14:textId="3996599C" w:rsidR="00252F2F" w:rsidRPr="00F86F63" w:rsidRDefault="008D6209" w:rsidP="00885B5F">
            <w:pPr>
              <w:rPr>
                <w:sz w:val="22"/>
                <w:szCs w:val="22"/>
              </w:rPr>
            </w:pPr>
            <w:r>
              <w:rPr>
                <w:sz w:val="22"/>
                <w:szCs w:val="22"/>
              </w:rPr>
              <w:t>8-11</w:t>
            </w:r>
          </w:p>
        </w:tc>
        <w:tc>
          <w:tcPr>
            <w:tcW w:w="8145" w:type="dxa"/>
            <w:gridSpan w:val="2"/>
          </w:tcPr>
          <w:p w14:paraId="163F7628" w14:textId="6A81101E" w:rsidR="00252F2F" w:rsidRPr="00F86F63" w:rsidRDefault="008D6209" w:rsidP="00885B5F">
            <w:pPr>
              <w:rPr>
                <w:sz w:val="22"/>
                <w:szCs w:val="22"/>
              </w:rPr>
            </w:pPr>
            <w:r>
              <w:rPr>
                <w:sz w:val="22"/>
                <w:szCs w:val="22"/>
              </w:rPr>
              <w:t xml:space="preserve">This is incorrect and misleading.  </w:t>
            </w:r>
            <w:r w:rsidR="00AA33ED">
              <w:rPr>
                <w:sz w:val="22"/>
                <w:szCs w:val="22"/>
              </w:rPr>
              <w:t>Most of these a</w:t>
            </w:r>
            <w:r w:rsidR="00766CB0">
              <w:rPr>
                <w:sz w:val="22"/>
                <w:szCs w:val="22"/>
              </w:rPr>
              <w:t xml:space="preserve">reas of research </w:t>
            </w:r>
            <w:r w:rsidR="00AA33ED">
              <w:rPr>
                <w:sz w:val="22"/>
                <w:szCs w:val="22"/>
              </w:rPr>
              <w:t>cannot be categorized as</w:t>
            </w:r>
            <w:r w:rsidR="00766CB0">
              <w:rPr>
                <w:sz w:val="22"/>
                <w:szCs w:val="22"/>
              </w:rPr>
              <w:t xml:space="preserve"> “living” </w:t>
            </w:r>
            <w:r w:rsidR="00AA33ED">
              <w:rPr>
                <w:sz w:val="22"/>
                <w:szCs w:val="22"/>
              </w:rPr>
              <w:t>vs</w:t>
            </w:r>
            <w:r w:rsidR="00766CB0">
              <w:rPr>
                <w:sz w:val="22"/>
                <w:szCs w:val="22"/>
              </w:rPr>
              <w:t xml:space="preserve"> “non-living”.  </w:t>
            </w:r>
            <w:r>
              <w:rPr>
                <w:sz w:val="22"/>
                <w:szCs w:val="22"/>
              </w:rPr>
              <w:t xml:space="preserve">For example, one can </w:t>
            </w:r>
            <w:r w:rsidR="00766CB0">
              <w:rPr>
                <w:sz w:val="22"/>
                <w:szCs w:val="22"/>
              </w:rPr>
              <w:t>engineer</w:t>
            </w:r>
            <w:r>
              <w:rPr>
                <w:sz w:val="22"/>
                <w:szCs w:val="22"/>
              </w:rPr>
              <w:t xml:space="preserve"> a non-living genome,</w:t>
            </w:r>
            <w:r w:rsidR="00766CB0">
              <w:rPr>
                <w:sz w:val="22"/>
                <w:szCs w:val="22"/>
              </w:rPr>
              <w:t xml:space="preserve"> but</w:t>
            </w:r>
            <w:r>
              <w:rPr>
                <w:sz w:val="22"/>
                <w:szCs w:val="22"/>
              </w:rPr>
              <w:t xml:space="preserve"> the reason for doing this is </w:t>
            </w:r>
            <w:r w:rsidR="00766CB0">
              <w:rPr>
                <w:sz w:val="22"/>
                <w:szCs w:val="22"/>
              </w:rPr>
              <w:t>to use it in a</w:t>
            </w:r>
            <w:r>
              <w:rPr>
                <w:sz w:val="22"/>
                <w:szCs w:val="22"/>
              </w:rPr>
              <w:t xml:space="preserve"> living organism.  </w:t>
            </w:r>
            <w:r w:rsidR="001B0499">
              <w:rPr>
                <w:sz w:val="22"/>
                <w:szCs w:val="22"/>
              </w:rPr>
              <w:t>This applies to most of this list. Cell-free systems</w:t>
            </w:r>
            <w:r w:rsidR="00766CB0">
              <w:rPr>
                <w:sz w:val="22"/>
                <w:szCs w:val="22"/>
              </w:rPr>
              <w:t>, however,</w:t>
            </w:r>
            <w:r w:rsidR="001B0499">
              <w:rPr>
                <w:sz w:val="22"/>
                <w:szCs w:val="22"/>
              </w:rPr>
              <w:t xml:space="preserve"> are non-living.  </w:t>
            </w:r>
          </w:p>
        </w:tc>
      </w:tr>
      <w:tr w:rsidR="00252F2F" w:rsidRPr="00AD22DE" w14:paraId="47D95256" w14:textId="77777777" w:rsidTr="00135D96">
        <w:trPr>
          <w:cantSplit/>
          <w:trHeight w:val="233"/>
        </w:trPr>
        <w:tc>
          <w:tcPr>
            <w:tcW w:w="918" w:type="dxa"/>
          </w:tcPr>
          <w:p w14:paraId="17687E09" w14:textId="1241C87A" w:rsidR="00252F2F" w:rsidRPr="00F86F63" w:rsidRDefault="00E10637" w:rsidP="00885B5F">
            <w:pPr>
              <w:rPr>
                <w:sz w:val="22"/>
                <w:szCs w:val="22"/>
              </w:rPr>
            </w:pPr>
            <w:r>
              <w:rPr>
                <w:sz w:val="22"/>
                <w:szCs w:val="22"/>
              </w:rPr>
              <w:t>90</w:t>
            </w:r>
          </w:p>
        </w:tc>
        <w:tc>
          <w:tcPr>
            <w:tcW w:w="1125" w:type="dxa"/>
          </w:tcPr>
          <w:p w14:paraId="1EB7CB8E" w14:textId="39FC6F04" w:rsidR="00252F2F" w:rsidRPr="00F86F63" w:rsidRDefault="00E10637" w:rsidP="00885B5F">
            <w:pPr>
              <w:rPr>
                <w:sz w:val="22"/>
                <w:szCs w:val="22"/>
              </w:rPr>
            </w:pPr>
            <w:r>
              <w:rPr>
                <w:sz w:val="22"/>
                <w:szCs w:val="22"/>
              </w:rPr>
              <w:t>1-5</w:t>
            </w:r>
          </w:p>
        </w:tc>
        <w:tc>
          <w:tcPr>
            <w:tcW w:w="8145" w:type="dxa"/>
            <w:gridSpan w:val="2"/>
          </w:tcPr>
          <w:p w14:paraId="0C08C77A" w14:textId="0E196470" w:rsidR="00252F2F" w:rsidRPr="00F86F63" w:rsidRDefault="00E10637" w:rsidP="00885B5F">
            <w:pPr>
              <w:rPr>
                <w:sz w:val="22"/>
                <w:szCs w:val="22"/>
              </w:rPr>
            </w:pPr>
            <w:r>
              <w:rPr>
                <w:sz w:val="22"/>
                <w:szCs w:val="22"/>
              </w:rPr>
              <w:t>The notion that vaccines and biologics are not “addressed by other international agreements or organizations” strikes me as very odd.  World Health Organization, International Council for Harmonization, and many other international bodies address pharmaceuticals, including vaccines and biologics.</w:t>
            </w:r>
          </w:p>
        </w:tc>
      </w:tr>
      <w:tr w:rsidR="00AD0536" w:rsidRPr="00AD22DE" w14:paraId="37BCFB7C" w14:textId="77777777" w:rsidTr="00135D96">
        <w:trPr>
          <w:cantSplit/>
          <w:trHeight w:val="233"/>
        </w:trPr>
        <w:tc>
          <w:tcPr>
            <w:tcW w:w="918" w:type="dxa"/>
          </w:tcPr>
          <w:p w14:paraId="01E4B77B" w14:textId="10A04E4C" w:rsidR="00AD0536" w:rsidRDefault="00AD0536" w:rsidP="00885B5F">
            <w:pPr>
              <w:rPr>
                <w:sz w:val="22"/>
                <w:szCs w:val="22"/>
              </w:rPr>
            </w:pPr>
            <w:r>
              <w:rPr>
                <w:sz w:val="22"/>
                <w:szCs w:val="22"/>
              </w:rPr>
              <w:t>126</w:t>
            </w:r>
          </w:p>
        </w:tc>
        <w:tc>
          <w:tcPr>
            <w:tcW w:w="1125" w:type="dxa"/>
          </w:tcPr>
          <w:p w14:paraId="3E5F9298" w14:textId="03900DF1" w:rsidR="0070664B" w:rsidRDefault="0070664B" w:rsidP="00D90105">
            <w:pPr>
              <w:rPr>
                <w:sz w:val="22"/>
                <w:szCs w:val="22"/>
              </w:rPr>
            </w:pPr>
            <w:r>
              <w:rPr>
                <w:sz w:val="22"/>
                <w:szCs w:val="22"/>
              </w:rPr>
              <w:t>11-15</w:t>
            </w:r>
          </w:p>
        </w:tc>
        <w:tc>
          <w:tcPr>
            <w:tcW w:w="8145" w:type="dxa"/>
            <w:gridSpan w:val="2"/>
          </w:tcPr>
          <w:p w14:paraId="7387B1CD" w14:textId="0596CC3B" w:rsidR="00AD0536" w:rsidRDefault="0070664B" w:rsidP="00885B5F">
            <w:pPr>
              <w:rPr>
                <w:sz w:val="22"/>
                <w:szCs w:val="22"/>
              </w:rPr>
            </w:pPr>
            <w:r>
              <w:rPr>
                <w:sz w:val="22"/>
                <w:szCs w:val="22"/>
              </w:rPr>
              <w:t>I think it is important to point out that this is as it should be.  Synthetic biology is too broad a collection of tools and can be applied to so many and varied applications that “no specific governance… on an international scale” would be possible or appropriate.</w:t>
            </w:r>
          </w:p>
        </w:tc>
      </w:tr>
      <w:tr w:rsidR="00102F78" w:rsidRPr="00AD22DE" w14:paraId="36763BD3" w14:textId="77777777" w:rsidTr="00135D96">
        <w:trPr>
          <w:cantSplit/>
          <w:trHeight w:val="233"/>
        </w:trPr>
        <w:tc>
          <w:tcPr>
            <w:tcW w:w="918" w:type="dxa"/>
          </w:tcPr>
          <w:p w14:paraId="03A5EEBE" w14:textId="1F524156" w:rsidR="00102F78" w:rsidRPr="00F86F63" w:rsidRDefault="00AA54C9" w:rsidP="00885B5F">
            <w:pPr>
              <w:rPr>
                <w:sz w:val="22"/>
                <w:szCs w:val="22"/>
              </w:rPr>
            </w:pPr>
            <w:r>
              <w:rPr>
                <w:sz w:val="22"/>
                <w:szCs w:val="22"/>
              </w:rPr>
              <w:t>127</w:t>
            </w:r>
          </w:p>
        </w:tc>
        <w:tc>
          <w:tcPr>
            <w:tcW w:w="1125" w:type="dxa"/>
          </w:tcPr>
          <w:p w14:paraId="0FC49E15" w14:textId="54ADBA40" w:rsidR="00102F78" w:rsidRPr="00F86F63" w:rsidRDefault="00AA54C9" w:rsidP="00885B5F">
            <w:pPr>
              <w:rPr>
                <w:sz w:val="22"/>
                <w:szCs w:val="22"/>
              </w:rPr>
            </w:pPr>
            <w:r>
              <w:rPr>
                <w:sz w:val="22"/>
                <w:szCs w:val="22"/>
              </w:rPr>
              <w:t>20</w:t>
            </w:r>
            <w:r w:rsidR="00D90105">
              <w:rPr>
                <w:sz w:val="22"/>
                <w:szCs w:val="22"/>
              </w:rPr>
              <w:t xml:space="preserve">, </w:t>
            </w:r>
            <w:r>
              <w:rPr>
                <w:sz w:val="22"/>
                <w:szCs w:val="22"/>
              </w:rPr>
              <w:t>21</w:t>
            </w:r>
          </w:p>
        </w:tc>
        <w:tc>
          <w:tcPr>
            <w:tcW w:w="8145" w:type="dxa"/>
            <w:gridSpan w:val="2"/>
          </w:tcPr>
          <w:p w14:paraId="04F141CE" w14:textId="640F5985" w:rsidR="00102F78" w:rsidRPr="00F86F63" w:rsidRDefault="00AA54C9" w:rsidP="00885B5F">
            <w:pPr>
              <w:rPr>
                <w:sz w:val="22"/>
                <w:szCs w:val="22"/>
              </w:rPr>
            </w:pPr>
            <w:r>
              <w:rPr>
                <w:sz w:val="22"/>
                <w:szCs w:val="22"/>
              </w:rPr>
              <w:t>This is not correct.  Nefarious applications of synthetic biology have been discussed under the Biological Weapons Convention.</w:t>
            </w:r>
          </w:p>
        </w:tc>
      </w:tr>
      <w:tr w:rsidR="00102F78" w:rsidRPr="00AD22DE" w14:paraId="08C69DA3" w14:textId="77777777" w:rsidTr="00135D96">
        <w:trPr>
          <w:cantSplit/>
          <w:trHeight w:val="233"/>
        </w:trPr>
        <w:tc>
          <w:tcPr>
            <w:tcW w:w="918" w:type="dxa"/>
          </w:tcPr>
          <w:p w14:paraId="70E1EC22" w14:textId="327C99C4" w:rsidR="00102F78" w:rsidRPr="00F86F63" w:rsidRDefault="00AA54C9" w:rsidP="00885B5F">
            <w:pPr>
              <w:rPr>
                <w:sz w:val="22"/>
                <w:szCs w:val="22"/>
              </w:rPr>
            </w:pPr>
            <w:r>
              <w:rPr>
                <w:sz w:val="22"/>
                <w:szCs w:val="22"/>
              </w:rPr>
              <w:t>128</w:t>
            </w:r>
          </w:p>
        </w:tc>
        <w:tc>
          <w:tcPr>
            <w:tcW w:w="1125" w:type="dxa"/>
          </w:tcPr>
          <w:p w14:paraId="262CD66E" w14:textId="03400938" w:rsidR="00102F78" w:rsidRPr="00F86F63" w:rsidRDefault="00AA54C9" w:rsidP="00885B5F">
            <w:pPr>
              <w:rPr>
                <w:sz w:val="22"/>
                <w:szCs w:val="22"/>
              </w:rPr>
            </w:pPr>
            <w:r>
              <w:rPr>
                <w:sz w:val="22"/>
                <w:szCs w:val="22"/>
              </w:rPr>
              <w:t>26</w:t>
            </w:r>
          </w:p>
        </w:tc>
        <w:tc>
          <w:tcPr>
            <w:tcW w:w="8145" w:type="dxa"/>
            <w:gridSpan w:val="2"/>
          </w:tcPr>
          <w:p w14:paraId="212AFA07" w14:textId="4DFAE9E7" w:rsidR="00102F78" w:rsidRPr="00F86F63" w:rsidRDefault="00AA54C9" w:rsidP="00885B5F">
            <w:pPr>
              <w:rPr>
                <w:sz w:val="22"/>
                <w:szCs w:val="22"/>
              </w:rPr>
            </w:pPr>
            <w:r>
              <w:rPr>
                <w:sz w:val="22"/>
                <w:szCs w:val="22"/>
              </w:rPr>
              <w:t xml:space="preserve">Following section “10.1 Risk of Harm,” the report needs a section “10.2 Balancing Risks and Potential Benefits.”  </w:t>
            </w:r>
            <w:r w:rsidR="00AA33ED">
              <w:rPr>
                <w:sz w:val="22"/>
                <w:szCs w:val="22"/>
              </w:rPr>
              <w:t>In my opinion, t</w:t>
            </w:r>
            <w:r>
              <w:rPr>
                <w:sz w:val="22"/>
                <w:szCs w:val="22"/>
              </w:rPr>
              <w:t xml:space="preserve">his is the single greatest challenge associated with synthetic biology governance (the topic of Section 10).  </w:t>
            </w:r>
            <w:r w:rsidR="0070664B">
              <w:rPr>
                <w:sz w:val="22"/>
                <w:szCs w:val="22"/>
              </w:rPr>
              <w:t xml:space="preserve">Though the report stresses the varied nature of the products using synthetic biology techniques, Section 10 overlooks this.  How one balances risks and harms from </w:t>
            </w:r>
            <w:r w:rsidR="00872ABE">
              <w:rPr>
                <w:sz w:val="22"/>
                <w:szCs w:val="22"/>
              </w:rPr>
              <w:t xml:space="preserve">simple </w:t>
            </w:r>
            <w:r w:rsidR="00AA33ED">
              <w:rPr>
                <w:sz w:val="22"/>
                <w:szCs w:val="22"/>
              </w:rPr>
              <w:t xml:space="preserve">crop </w:t>
            </w:r>
            <w:r w:rsidR="00872ABE">
              <w:rPr>
                <w:sz w:val="22"/>
                <w:szCs w:val="22"/>
              </w:rPr>
              <w:t>genome editing (e.g., SDN-1) vs gene drives will be very different.  Some of this is alluded to in lines 15 through 19 on this page.  The WHO will view gene drives “through the lens” of 500,000 deaths/year from Malaria.  FAO will view genome editing through the opportunities it provides for food security.</w:t>
            </w:r>
          </w:p>
        </w:tc>
      </w:tr>
      <w:tr w:rsidR="00102F78" w:rsidRPr="00AD22DE" w14:paraId="6DB3EDF9" w14:textId="77777777" w:rsidTr="00135D96">
        <w:trPr>
          <w:cantSplit/>
          <w:trHeight w:val="233"/>
        </w:trPr>
        <w:tc>
          <w:tcPr>
            <w:tcW w:w="918" w:type="dxa"/>
          </w:tcPr>
          <w:p w14:paraId="469A2771" w14:textId="2EB430CF" w:rsidR="00102F78" w:rsidRPr="00F86F63" w:rsidRDefault="00872ABE" w:rsidP="00885B5F">
            <w:pPr>
              <w:rPr>
                <w:sz w:val="22"/>
                <w:szCs w:val="22"/>
              </w:rPr>
            </w:pPr>
            <w:r>
              <w:rPr>
                <w:sz w:val="22"/>
                <w:szCs w:val="22"/>
              </w:rPr>
              <w:t>128</w:t>
            </w:r>
          </w:p>
        </w:tc>
        <w:tc>
          <w:tcPr>
            <w:tcW w:w="1125" w:type="dxa"/>
          </w:tcPr>
          <w:p w14:paraId="22E800DB" w14:textId="7D9DBFD9" w:rsidR="00102F78" w:rsidRPr="00F86F63" w:rsidRDefault="00872ABE" w:rsidP="00885B5F">
            <w:pPr>
              <w:rPr>
                <w:sz w:val="22"/>
                <w:szCs w:val="22"/>
              </w:rPr>
            </w:pPr>
            <w:r>
              <w:rPr>
                <w:sz w:val="22"/>
                <w:szCs w:val="22"/>
              </w:rPr>
              <w:t>48</w:t>
            </w:r>
          </w:p>
        </w:tc>
        <w:tc>
          <w:tcPr>
            <w:tcW w:w="8145" w:type="dxa"/>
            <w:gridSpan w:val="2"/>
          </w:tcPr>
          <w:p w14:paraId="39758D21" w14:textId="64C5B760" w:rsidR="00102F78" w:rsidRPr="00F86F63" w:rsidRDefault="00CD001A" w:rsidP="00885B5F">
            <w:pPr>
              <w:rPr>
                <w:sz w:val="22"/>
                <w:szCs w:val="22"/>
              </w:rPr>
            </w:pPr>
            <w:r>
              <w:rPr>
                <w:sz w:val="22"/>
                <w:szCs w:val="22"/>
              </w:rPr>
              <w:t xml:space="preserve">Subsection 10.3 omits the </w:t>
            </w:r>
            <w:r w:rsidR="00D90105">
              <w:rPr>
                <w:sz w:val="22"/>
                <w:szCs w:val="22"/>
              </w:rPr>
              <w:t xml:space="preserve">potential </w:t>
            </w:r>
            <w:r>
              <w:rPr>
                <w:sz w:val="22"/>
                <w:szCs w:val="22"/>
              </w:rPr>
              <w:t xml:space="preserve">benefits </w:t>
            </w:r>
            <w:r w:rsidR="00D90105">
              <w:rPr>
                <w:sz w:val="22"/>
                <w:szCs w:val="22"/>
              </w:rPr>
              <w:t>from the tools of synthetic biology as enabling technologies that will allow countries to benefit from their own genetic resources.  “C</w:t>
            </w:r>
            <w:r w:rsidR="00ED6719">
              <w:rPr>
                <w:sz w:val="22"/>
                <w:szCs w:val="22"/>
              </w:rPr>
              <w:t>lassic</w:t>
            </w:r>
            <w:r w:rsidR="00D90105">
              <w:rPr>
                <w:sz w:val="22"/>
                <w:szCs w:val="22"/>
              </w:rPr>
              <w:t>al” 20</w:t>
            </w:r>
            <w:r w:rsidR="00D90105" w:rsidRPr="00D90105">
              <w:rPr>
                <w:sz w:val="22"/>
                <w:szCs w:val="22"/>
                <w:vertAlign w:val="superscript"/>
              </w:rPr>
              <w:t>th</w:t>
            </w:r>
            <w:r w:rsidR="00D90105">
              <w:rPr>
                <w:sz w:val="22"/>
                <w:szCs w:val="22"/>
              </w:rPr>
              <w:t xml:space="preserve"> century tools of biotechnology were far less capable for harnessing genetic resources in productive ways.  This is not just as issue of DSI.</w:t>
            </w:r>
          </w:p>
        </w:tc>
      </w:tr>
      <w:tr w:rsidR="00102F78" w:rsidRPr="00AD22DE" w14:paraId="0B635E20" w14:textId="77777777" w:rsidTr="00135D96">
        <w:trPr>
          <w:cantSplit/>
          <w:trHeight w:val="233"/>
        </w:trPr>
        <w:tc>
          <w:tcPr>
            <w:tcW w:w="918" w:type="dxa"/>
          </w:tcPr>
          <w:p w14:paraId="2ABD5222" w14:textId="780B8D9D" w:rsidR="00102F78" w:rsidRPr="00F86F63" w:rsidRDefault="00D90105" w:rsidP="00885B5F">
            <w:pPr>
              <w:rPr>
                <w:sz w:val="22"/>
                <w:szCs w:val="22"/>
              </w:rPr>
            </w:pPr>
            <w:r>
              <w:rPr>
                <w:sz w:val="22"/>
                <w:szCs w:val="22"/>
              </w:rPr>
              <w:t>129</w:t>
            </w:r>
          </w:p>
        </w:tc>
        <w:tc>
          <w:tcPr>
            <w:tcW w:w="1125" w:type="dxa"/>
          </w:tcPr>
          <w:p w14:paraId="3C04B2C0" w14:textId="7B9E382D" w:rsidR="00102F78" w:rsidRPr="00F86F63" w:rsidRDefault="00D90105" w:rsidP="00885B5F">
            <w:pPr>
              <w:rPr>
                <w:sz w:val="22"/>
                <w:szCs w:val="22"/>
              </w:rPr>
            </w:pPr>
            <w:r>
              <w:rPr>
                <w:sz w:val="22"/>
                <w:szCs w:val="22"/>
              </w:rPr>
              <w:t>25, 26</w:t>
            </w:r>
          </w:p>
        </w:tc>
        <w:tc>
          <w:tcPr>
            <w:tcW w:w="8145" w:type="dxa"/>
            <w:gridSpan w:val="2"/>
          </w:tcPr>
          <w:p w14:paraId="1B4A45C5" w14:textId="3D42477E" w:rsidR="00102F78" w:rsidRPr="00F86F63" w:rsidRDefault="00D90105" w:rsidP="00885B5F">
            <w:pPr>
              <w:rPr>
                <w:sz w:val="22"/>
                <w:szCs w:val="22"/>
              </w:rPr>
            </w:pPr>
            <w:r>
              <w:rPr>
                <w:sz w:val="22"/>
                <w:szCs w:val="22"/>
              </w:rPr>
              <w:t xml:space="preserve">Again, “synthetic biology” </w:t>
            </w:r>
            <w:r w:rsidR="00665852">
              <w:rPr>
                <w:sz w:val="22"/>
                <w:szCs w:val="22"/>
              </w:rPr>
              <w:t>covers too many technologies to allow such general statements as “many potential synthetic biology organisms may not be easily detectable”.  This is true only when the changes to the genome are so minor as to not be differentiated from mutations that might occur naturally.</w:t>
            </w:r>
          </w:p>
        </w:tc>
      </w:tr>
      <w:tr w:rsidR="00102F78" w:rsidRPr="00AD22DE" w14:paraId="1E728584" w14:textId="77777777" w:rsidTr="00135D96">
        <w:trPr>
          <w:cantSplit/>
          <w:trHeight w:val="233"/>
        </w:trPr>
        <w:tc>
          <w:tcPr>
            <w:tcW w:w="918" w:type="dxa"/>
          </w:tcPr>
          <w:p w14:paraId="7E1EB701" w14:textId="46F7936E" w:rsidR="00102F78" w:rsidRPr="00F86F63" w:rsidRDefault="00665852" w:rsidP="00885B5F">
            <w:pPr>
              <w:rPr>
                <w:sz w:val="22"/>
                <w:szCs w:val="22"/>
              </w:rPr>
            </w:pPr>
            <w:r>
              <w:rPr>
                <w:sz w:val="22"/>
                <w:szCs w:val="22"/>
              </w:rPr>
              <w:t>129</w:t>
            </w:r>
          </w:p>
        </w:tc>
        <w:tc>
          <w:tcPr>
            <w:tcW w:w="1125" w:type="dxa"/>
          </w:tcPr>
          <w:p w14:paraId="7B5FA934" w14:textId="3B936F75" w:rsidR="00102F78" w:rsidRPr="00F86F63" w:rsidRDefault="00665852" w:rsidP="00885B5F">
            <w:pPr>
              <w:rPr>
                <w:sz w:val="22"/>
                <w:szCs w:val="22"/>
              </w:rPr>
            </w:pPr>
            <w:r>
              <w:rPr>
                <w:sz w:val="22"/>
                <w:szCs w:val="22"/>
              </w:rPr>
              <w:t>32-33</w:t>
            </w:r>
          </w:p>
        </w:tc>
        <w:tc>
          <w:tcPr>
            <w:tcW w:w="8145" w:type="dxa"/>
            <w:gridSpan w:val="2"/>
          </w:tcPr>
          <w:p w14:paraId="1FEB3C3C" w14:textId="3A4D2950" w:rsidR="00102F78" w:rsidRPr="00F86F63" w:rsidRDefault="00665852" w:rsidP="00885B5F">
            <w:pPr>
              <w:rPr>
                <w:sz w:val="22"/>
                <w:szCs w:val="22"/>
              </w:rPr>
            </w:pPr>
            <w:r>
              <w:rPr>
                <w:sz w:val="22"/>
                <w:szCs w:val="22"/>
              </w:rPr>
              <w:t xml:space="preserve">This is a very odd </w:t>
            </w:r>
            <w:r w:rsidR="00806560">
              <w:rPr>
                <w:sz w:val="22"/>
                <w:szCs w:val="22"/>
              </w:rPr>
              <w:t>way to characterize</w:t>
            </w:r>
            <w:r>
              <w:rPr>
                <w:sz w:val="22"/>
                <w:szCs w:val="22"/>
              </w:rPr>
              <w:t xml:space="preserve"> an article that concludes “</w:t>
            </w:r>
            <w:r w:rsidRPr="00665852">
              <w:rPr>
                <w:sz w:val="22"/>
                <w:szCs w:val="22"/>
              </w:rPr>
              <w:t>synthetic biology is at the cusp of</w:t>
            </w:r>
            <w:r w:rsidRPr="00665852">
              <w:rPr>
                <w:sz w:val="22"/>
                <w:szCs w:val="22"/>
              </w:rPr>
              <w:t xml:space="preserve"> </w:t>
            </w:r>
            <w:r w:rsidRPr="00665852">
              <w:rPr>
                <w:sz w:val="22"/>
                <w:szCs w:val="22"/>
              </w:rPr>
              <w:t>many</w:t>
            </w:r>
            <w:r w:rsidRPr="00665852">
              <w:rPr>
                <w:sz w:val="22"/>
                <w:szCs w:val="22"/>
              </w:rPr>
              <w:t xml:space="preserve"> </w:t>
            </w:r>
            <w:r w:rsidRPr="00665852">
              <w:rPr>
                <w:sz w:val="22"/>
                <w:szCs w:val="22"/>
              </w:rPr>
              <w:t>major breakthroughs</w:t>
            </w:r>
            <w:r>
              <w:rPr>
                <w:sz w:val="22"/>
                <w:szCs w:val="22"/>
              </w:rPr>
              <w:t xml:space="preserve">.”  </w:t>
            </w:r>
            <w:r w:rsidR="00806560">
              <w:rPr>
                <w:sz w:val="22"/>
                <w:szCs w:val="22"/>
              </w:rPr>
              <w:t>Glass half empty vs glass half full…</w:t>
            </w:r>
          </w:p>
        </w:tc>
      </w:tr>
      <w:tr w:rsidR="00102F78" w:rsidRPr="00AD22DE" w14:paraId="41104996" w14:textId="77777777" w:rsidTr="00135D96">
        <w:trPr>
          <w:cantSplit/>
          <w:trHeight w:val="233"/>
        </w:trPr>
        <w:tc>
          <w:tcPr>
            <w:tcW w:w="918" w:type="dxa"/>
          </w:tcPr>
          <w:p w14:paraId="2A78E9E1" w14:textId="345EB78E" w:rsidR="00102F78" w:rsidRPr="00F86F63" w:rsidRDefault="00806560" w:rsidP="00885B5F">
            <w:pPr>
              <w:rPr>
                <w:sz w:val="22"/>
                <w:szCs w:val="22"/>
              </w:rPr>
            </w:pPr>
            <w:r>
              <w:rPr>
                <w:sz w:val="22"/>
                <w:szCs w:val="22"/>
              </w:rPr>
              <w:t>129</w:t>
            </w:r>
          </w:p>
        </w:tc>
        <w:tc>
          <w:tcPr>
            <w:tcW w:w="1125" w:type="dxa"/>
          </w:tcPr>
          <w:p w14:paraId="7BB116CE" w14:textId="2FF826A4" w:rsidR="00102F78" w:rsidRPr="00F86F63" w:rsidRDefault="00806560" w:rsidP="00885B5F">
            <w:pPr>
              <w:rPr>
                <w:sz w:val="22"/>
                <w:szCs w:val="22"/>
              </w:rPr>
            </w:pPr>
            <w:r>
              <w:rPr>
                <w:sz w:val="22"/>
                <w:szCs w:val="22"/>
              </w:rPr>
              <w:t>34-37</w:t>
            </w:r>
          </w:p>
        </w:tc>
        <w:tc>
          <w:tcPr>
            <w:tcW w:w="8145" w:type="dxa"/>
            <w:gridSpan w:val="2"/>
          </w:tcPr>
          <w:p w14:paraId="53C4D445" w14:textId="51FC05CC" w:rsidR="00102F78" w:rsidRPr="00F86F63" w:rsidRDefault="00AA33ED" w:rsidP="00885B5F">
            <w:pPr>
              <w:rPr>
                <w:sz w:val="22"/>
                <w:szCs w:val="22"/>
              </w:rPr>
            </w:pPr>
            <w:r>
              <w:rPr>
                <w:sz w:val="22"/>
                <w:szCs w:val="22"/>
              </w:rPr>
              <w:t xml:space="preserve">Of course there is a “knowledge gap” in how nature works.  </w:t>
            </w:r>
            <w:r w:rsidR="00806560">
              <w:rPr>
                <w:sz w:val="22"/>
                <w:szCs w:val="22"/>
              </w:rPr>
              <w:t>The authors should explain that the T and L i</w:t>
            </w:r>
            <w:r>
              <w:rPr>
                <w:sz w:val="22"/>
                <w:szCs w:val="22"/>
              </w:rPr>
              <w:t>n</w:t>
            </w:r>
            <w:r w:rsidR="00806560">
              <w:rPr>
                <w:sz w:val="22"/>
                <w:szCs w:val="22"/>
              </w:rPr>
              <w:t xml:space="preserve"> DBTL stand for “test and learn” and the reason it is called a “cycle” is that process is iterative</w:t>
            </w:r>
            <w:r w:rsidR="00ED6719">
              <w:rPr>
                <w:sz w:val="22"/>
                <w:szCs w:val="22"/>
              </w:rPr>
              <w:t>, with redesign based on the knowledge gained through each iteration</w:t>
            </w:r>
            <w:r w:rsidR="00806560">
              <w:rPr>
                <w:sz w:val="22"/>
                <w:szCs w:val="22"/>
              </w:rPr>
              <w:t>.  This is one of the most powerful aspects of synthetic biology.  Narrowing the knowledge gap about how the organism works is very much part of the process</w:t>
            </w:r>
            <w:r w:rsidR="00ED6719">
              <w:rPr>
                <w:sz w:val="22"/>
                <w:szCs w:val="22"/>
              </w:rPr>
              <w:t>.</w:t>
            </w:r>
          </w:p>
        </w:tc>
      </w:tr>
      <w:tr w:rsidR="00102F78" w:rsidRPr="00AD22DE" w14:paraId="4DA17FD3" w14:textId="77777777" w:rsidTr="00135D96">
        <w:trPr>
          <w:cantSplit/>
          <w:trHeight w:val="233"/>
        </w:trPr>
        <w:tc>
          <w:tcPr>
            <w:tcW w:w="918" w:type="dxa"/>
          </w:tcPr>
          <w:p w14:paraId="3161A918" w14:textId="27EB9618" w:rsidR="00102F78" w:rsidRPr="00F86F63" w:rsidRDefault="00ED6719" w:rsidP="00885B5F">
            <w:pPr>
              <w:rPr>
                <w:sz w:val="22"/>
                <w:szCs w:val="22"/>
              </w:rPr>
            </w:pPr>
            <w:r>
              <w:rPr>
                <w:sz w:val="22"/>
                <w:szCs w:val="22"/>
              </w:rPr>
              <w:t>130</w:t>
            </w:r>
          </w:p>
        </w:tc>
        <w:tc>
          <w:tcPr>
            <w:tcW w:w="1125" w:type="dxa"/>
          </w:tcPr>
          <w:p w14:paraId="0AA0BBB0" w14:textId="2A7322B0" w:rsidR="00102F78" w:rsidRPr="00F86F63" w:rsidRDefault="00ED6719" w:rsidP="00885B5F">
            <w:pPr>
              <w:rPr>
                <w:sz w:val="22"/>
                <w:szCs w:val="22"/>
              </w:rPr>
            </w:pPr>
            <w:r>
              <w:rPr>
                <w:sz w:val="22"/>
                <w:szCs w:val="22"/>
              </w:rPr>
              <w:t>6-8</w:t>
            </w:r>
          </w:p>
        </w:tc>
        <w:tc>
          <w:tcPr>
            <w:tcW w:w="8145" w:type="dxa"/>
            <w:gridSpan w:val="2"/>
          </w:tcPr>
          <w:p w14:paraId="534D0ABB" w14:textId="2C277812" w:rsidR="00102F78" w:rsidRPr="00F86F63" w:rsidRDefault="00ED6719" w:rsidP="00885B5F">
            <w:pPr>
              <w:rPr>
                <w:sz w:val="22"/>
                <w:szCs w:val="22"/>
              </w:rPr>
            </w:pPr>
            <w:r>
              <w:rPr>
                <w:sz w:val="22"/>
                <w:szCs w:val="22"/>
              </w:rPr>
              <w:t xml:space="preserve">I do wish that the authors would expand on the lessons learned from “previous experience with classical genetical engineering”.  Again, the most authoritative review I know of is </w:t>
            </w:r>
            <w:r>
              <w:rPr>
                <w:sz w:val="22"/>
                <w:szCs w:val="22"/>
              </w:rPr>
              <w:t>“Genetically Engineered Crops: Experiences and Prospects”, NASEM, 2016</w:t>
            </w:r>
            <w:r>
              <w:rPr>
                <w:sz w:val="22"/>
                <w:szCs w:val="22"/>
              </w:rPr>
              <w:t>.  This would be helpful for readers who have only heard the “hypothetical/speculative concerns.</w:t>
            </w:r>
          </w:p>
        </w:tc>
      </w:tr>
      <w:tr w:rsidR="00102F78" w:rsidRPr="00AD22DE" w14:paraId="7BD00BC0" w14:textId="77777777" w:rsidTr="00135D96">
        <w:trPr>
          <w:cantSplit/>
          <w:trHeight w:val="233"/>
        </w:trPr>
        <w:tc>
          <w:tcPr>
            <w:tcW w:w="918" w:type="dxa"/>
          </w:tcPr>
          <w:p w14:paraId="47B19DF7" w14:textId="2675E3F8" w:rsidR="00102F78" w:rsidRPr="00F86F63" w:rsidRDefault="00ED6719" w:rsidP="00885B5F">
            <w:pPr>
              <w:rPr>
                <w:sz w:val="22"/>
                <w:szCs w:val="22"/>
              </w:rPr>
            </w:pPr>
            <w:r>
              <w:rPr>
                <w:sz w:val="22"/>
                <w:szCs w:val="22"/>
              </w:rPr>
              <w:t>130</w:t>
            </w:r>
          </w:p>
        </w:tc>
        <w:tc>
          <w:tcPr>
            <w:tcW w:w="1125" w:type="dxa"/>
          </w:tcPr>
          <w:p w14:paraId="0405DE2E" w14:textId="565690B3" w:rsidR="00102F78" w:rsidRPr="00F86F63" w:rsidRDefault="00ED6719" w:rsidP="00885B5F">
            <w:pPr>
              <w:rPr>
                <w:sz w:val="22"/>
                <w:szCs w:val="22"/>
              </w:rPr>
            </w:pPr>
            <w:r>
              <w:rPr>
                <w:sz w:val="22"/>
                <w:szCs w:val="22"/>
              </w:rPr>
              <w:t>14</w:t>
            </w:r>
            <w:r w:rsidR="00092ACC">
              <w:rPr>
                <w:sz w:val="22"/>
                <w:szCs w:val="22"/>
              </w:rPr>
              <w:t>-38</w:t>
            </w:r>
          </w:p>
        </w:tc>
        <w:tc>
          <w:tcPr>
            <w:tcW w:w="8145" w:type="dxa"/>
            <w:gridSpan w:val="2"/>
          </w:tcPr>
          <w:p w14:paraId="70294F31" w14:textId="4C77535A" w:rsidR="00102F78" w:rsidRPr="00F86F63" w:rsidRDefault="00092ACC" w:rsidP="00885B5F">
            <w:pPr>
              <w:rPr>
                <w:sz w:val="22"/>
                <w:szCs w:val="22"/>
              </w:rPr>
            </w:pPr>
            <w:r>
              <w:rPr>
                <w:sz w:val="22"/>
                <w:szCs w:val="22"/>
              </w:rPr>
              <w:t xml:space="preserve">Again, such broad generalizations about synthetic biology are not warranted nor are they helpful.  Do all applications of synthetic biology require “inclusive decision-making and community engagement”?  I </w:t>
            </w:r>
            <w:r w:rsidR="00BB5BDD">
              <w:rPr>
                <w:sz w:val="22"/>
                <w:szCs w:val="22"/>
              </w:rPr>
              <w:t>hope</w:t>
            </w:r>
            <w:r>
              <w:rPr>
                <w:sz w:val="22"/>
                <w:szCs w:val="22"/>
              </w:rPr>
              <w:t xml:space="preserve"> the authors </w:t>
            </w:r>
            <w:r w:rsidR="00BB5BDD">
              <w:rPr>
                <w:sz w:val="22"/>
                <w:szCs w:val="22"/>
              </w:rPr>
              <w:t xml:space="preserve">do not </w:t>
            </w:r>
            <w:r>
              <w:rPr>
                <w:sz w:val="22"/>
                <w:szCs w:val="22"/>
              </w:rPr>
              <w:t xml:space="preserve">mean to imply that most synthetic biology research is </w:t>
            </w:r>
            <w:r w:rsidR="00BB5BDD">
              <w:rPr>
                <w:sz w:val="22"/>
                <w:szCs w:val="22"/>
              </w:rPr>
              <w:t>ir</w:t>
            </w:r>
            <w:r>
              <w:rPr>
                <w:sz w:val="22"/>
                <w:szCs w:val="22"/>
              </w:rPr>
              <w:t>responsible, but that is the conclusion from such sweeping and misleading generalizations.  Is FPIC appropriate for all applications</w:t>
            </w:r>
            <w:r w:rsidR="00BB5BDD">
              <w:rPr>
                <w:sz w:val="22"/>
                <w:szCs w:val="22"/>
              </w:rPr>
              <w:t>?  This section needs to be sharpened, with generalizations deleted.</w:t>
            </w:r>
          </w:p>
        </w:tc>
      </w:tr>
      <w:tr w:rsidR="00102F78" w:rsidRPr="00AD22DE" w14:paraId="1618B52C" w14:textId="77777777" w:rsidTr="00135D96">
        <w:trPr>
          <w:cantSplit/>
          <w:trHeight w:val="233"/>
        </w:trPr>
        <w:tc>
          <w:tcPr>
            <w:tcW w:w="918" w:type="dxa"/>
          </w:tcPr>
          <w:p w14:paraId="775FB5D0" w14:textId="4F172575" w:rsidR="00102F78" w:rsidRPr="00F86F63" w:rsidRDefault="00BB5BDD" w:rsidP="00885B5F">
            <w:pPr>
              <w:rPr>
                <w:sz w:val="22"/>
                <w:szCs w:val="22"/>
              </w:rPr>
            </w:pPr>
            <w:r>
              <w:rPr>
                <w:sz w:val="22"/>
                <w:szCs w:val="22"/>
              </w:rPr>
              <w:t>131</w:t>
            </w:r>
          </w:p>
        </w:tc>
        <w:tc>
          <w:tcPr>
            <w:tcW w:w="1125" w:type="dxa"/>
          </w:tcPr>
          <w:p w14:paraId="2DCEF083" w14:textId="42C3291D" w:rsidR="00102F78" w:rsidRPr="00F86F63" w:rsidRDefault="00BB5BDD" w:rsidP="00885B5F">
            <w:pPr>
              <w:rPr>
                <w:sz w:val="22"/>
                <w:szCs w:val="22"/>
              </w:rPr>
            </w:pPr>
            <w:r>
              <w:rPr>
                <w:sz w:val="22"/>
                <w:szCs w:val="22"/>
              </w:rPr>
              <w:t>36-38</w:t>
            </w:r>
          </w:p>
        </w:tc>
        <w:tc>
          <w:tcPr>
            <w:tcW w:w="8145" w:type="dxa"/>
            <w:gridSpan w:val="2"/>
          </w:tcPr>
          <w:p w14:paraId="76EDA67B" w14:textId="4B500A5B" w:rsidR="00102F78" w:rsidRPr="00F86F63" w:rsidRDefault="00BB5BDD" w:rsidP="00885B5F">
            <w:pPr>
              <w:rPr>
                <w:sz w:val="22"/>
                <w:szCs w:val="22"/>
              </w:rPr>
            </w:pPr>
            <w:r>
              <w:rPr>
                <w:sz w:val="22"/>
                <w:szCs w:val="22"/>
              </w:rPr>
              <w:t xml:space="preserve">Another sweeping generalization </w:t>
            </w:r>
            <w:r w:rsidR="008331E8">
              <w:rPr>
                <w:sz w:val="22"/>
                <w:szCs w:val="22"/>
              </w:rPr>
              <w:t>that is misleading</w:t>
            </w:r>
            <w:r>
              <w:rPr>
                <w:sz w:val="22"/>
                <w:szCs w:val="22"/>
              </w:rPr>
              <w:t xml:space="preserve">. </w:t>
            </w:r>
            <w:r w:rsidR="008331E8">
              <w:rPr>
                <w:sz w:val="22"/>
                <w:szCs w:val="22"/>
              </w:rPr>
              <w:t>As pointed out earlier in the document, most products will be adequately covered by existing governance frameworks.   Others are being adapted</w:t>
            </w:r>
            <w:r w:rsidR="007B2804">
              <w:rPr>
                <w:sz w:val="22"/>
                <w:szCs w:val="22"/>
              </w:rPr>
              <w:t xml:space="preserve"> in real time</w:t>
            </w:r>
            <w:r w:rsidR="008331E8">
              <w:rPr>
                <w:sz w:val="22"/>
                <w:szCs w:val="22"/>
              </w:rPr>
              <w:t xml:space="preserve"> (e.g</w:t>
            </w:r>
            <w:r w:rsidR="00953B81">
              <w:rPr>
                <w:sz w:val="22"/>
                <w:szCs w:val="22"/>
              </w:rPr>
              <w:t>.</w:t>
            </w:r>
            <w:r w:rsidR="008331E8">
              <w:rPr>
                <w:sz w:val="22"/>
                <w:szCs w:val="22"/>
              </w:rPr>
              <w:t>, genome editing), as pointed out in several reviews referenced in the report.  Clearly some are posing challenges.</w:t>
            </w:r>
          </w:p>
        </w:tc>
      </w:tr>
      <w:tr w:rsidR="00102F78" w:rsidRPr="00AD22DE" w14:paraId="49AF3217" w14:textId="77777777" w:rsidTr="00135D96">
        <w:trPr>
          <w:cantSplit/>
          <w:trHeight w:val="233"/>
        </w:trPr>
        <w:tc>
          <w:tcPr>
            <w:tcW w:w="918" w:type="dxa"/>
          </w:tcPr>
          <w:p w14:paraId="4CEB0F75" w14:textId="3A77A74D" w:rsidR="00102F78" w:rsidRPr="00F86F63" w:rsidRDefault="008331E8" w:rsidP="00885B5F">
            <w:pPr>
              <w:rPr>
                <w:sz w:val="22"/>
                <w:szCs w:val="22"/>
              </w:rPr>
            </w:pPr>
            <w:r>
              <w:rPr>
                <w:sz w:val="22"/>
                <w:szCs w:val="22"/>
              </w:rPr>
              <w:t>132</w:t>
            </w:r>
          </w:p>
        </w:tc>
        <w:tc>
          <w:tcPr>
            <w:tcW w:w="1125" w:type="dxa"/>
          </w:tcPr>
          <w:p w14:paraId="70BCD75D" w14:textId="69FF5827" w:rsidR="00102F78" w:rsidRPr="00F86F63" w:rsidRDefault="008331E8" w:rsidP="00885B5F">
            <w:pPr>
              <w:rPr>
                <w:sz w:val="22"/>
                <w:szCs w:val="22"/>
              </w:rPr>
            </w:pPr>
            <w:r>
              <w:rPr>
                <w:sz w:val="22"/>
                <w:szCs w:val="22"/>
              </w:rPr>
              <w:t>7-30</w:t>
            </w:r>
          </w:p>
        </w:tc>
        <w:tc>
          <w:tcPr>
            <w:tcW w:w="8145" w:type="dxa"/>
            <w:gridSpan w:val="2"/>
          </w:tcPr>
          <w:p w14:paraId="179EFF27" w14:textId="467C0425" w:rsidR="00102F78" w:rsidRPr="00F86F63" w:rsidRDefault="008331E8" w:rsidP="00885B5F">
            <w:pPr>
              <w:rPr>
                <w:sz w:val="22"/>
                <w:szCs w:val="22"/>
              </w:rPr>
            </w:pPr>
            <w:r>
              <w:rPr>
                <w:sz w:val="22"/>
                <w:szCs w:val="22"/>
              </w:rPr>
              <w:t xml:space="preserve">I agree that gene drives </w:t>
            </w:r>
            <w:r w:rsidR="00953B81">
              <w:rPr>
                <w:sz w:val="22"/>
                <w:szCs w:val="22"/>
              </w:rPr>
              <w:t xml:space="preserve">“provide a useful lens” for considering the governance of at least </w:t>
            </w:r>
            <w:r w:rsidR="00631D47">
              <w:rPr>
                <w:sz w:val="22"/>
                <w:szCs w:val="22"/>
              </w:rPr>
              <w:t>a few</w:t>
            </w:r>
            <w:r w:rsidR="00953B81">
              <w:rPr>
                <w:sz w:val="22"/>
                <w:szCs w:val="22"/>
              </w:rPr>
              <w:t xml:space="preserve"> of the </w:t>
            </w:r>
            <w:r w:rsidR="00631D47">
              <w:rPr>
                <w:sz w:val="22"/>
                <w:szCs w:val="22"/>
              </w:rPr>
              <w:t xml:space="preserve">proposed </w:t>
            </w:r>
            <w:r w:rsidR="00953B81">
              <w:rPr>
                <w:sz w:val="22"/>
                <w:szCs w:val="22"/>
              </w:rPr>
              <w:t>applications of synthetic biology.  (I also agree with the conclusion stated in lines 27-30.)  But when presented as the sole “lens”, it is actually quite misleading.  A</w:t>
            </w:r>
            <w:r w:rsidR="007B2804">
              <w:rPr>
                <w:sz w:val="22"/>
                <w:szCs w:val="22"/>
              </w:rPr>
              <w:t>nother</w:t>
            </w:r>
            <w:r w:rsidR="00953B81">
              <w:rPr>
                <w:sz w:val="22"/>
                <w:szCs w:val="22"/>
              </w:rPr>
              <w:t xml:space="preserve"> example (perhaps genome editing</w:t>
            </w:r>
            <w:r w:rsidR="007B2804">
              <w:rPr>
                <w:sz w:val="22"/>
                <w:szCs w:val="22"/>
              </w:rPr>
              <w:t xml:space="preserve">, </w:t>
            </w:r>
            <w:r w:rsidR="00953B81">
              <w:rPr>
                <w:sz w:val="22"/>
                <w:szCs w:val="22"/>
              </w:rPr>
              <w:t>products intended for contained use</w:t>
            </w:r>
            <w:r w:rsidR="007B2804">
              <w:rPr>
                <w:sz w:val="22"/>
                <w:szCs w:val="22"/>
              </w:rPr>
              <w:t>, or even both</w:t>
            </w:r>
            <w:r w:rsidR="00953B81">
              <w:rPr>
                <w:sz w:val="22"/>
                <w:szCs w:val="22"/>
              </w:rPr>
              <w:t xml:space="preserve">) would illustrate the difficulty and even danger from attempting to </w:t>
            </w:r>
            <w:r w:rsidR="00631D47">
              <w:rPr>
                <w:sz w:val="22"/>
                <w:szCs w:val="22"/>
              </w:rPr>
              <w:t>draw</w:t>
            </w:r>
            <w:r w:rsidR="00953B81">
              <w:rPr>
                <w:sz w:val="22"/>
                <w:szCs w:val="22"/>
              </w:rPr>
              <w:t xml:space="preserve"> </w:t>
            </w:r>
            <w:r w:rsidR="00631D47">
              <w:rPr>
                <w:sz w:val="22"/>
                <w:szCs w:val="22"/>
              </w:rPr>
              <w:t xml:space="preserve">general conclusions about such a varied set of potential applications as is anticipated from synthetic biology. </w:t>
            </w:r>
          </w:p>
        </w:tc>
      </w:tr>
      <w:tr w:rsidR="00102F78" w:rsidRPr="00AD22DE" w14:paraId="14247962" w14:textId="77777777" w:rsidTr="00135D96">
        <w:trPr>
          <w:cantSplit/>
          <w:trHeight w:val="233"/>
        </w:trPr>
        <w:tc>
          <w:tcPr>
            <w:tcW w:w="918" w:type="dxa"/>
          </w:tcPr>
          <w:p w14:paraId="61217BAA" w14:textId="08B897FD" w:rsidR="00102F78" w:rsidRPr="00F86F63" w:rsidRDefault="00631D47" w:rsidP="00885B5F">
            <w:pPr>
              <w:rPr>
                <w:sz w:val="22"/>
                <w:szCs w:val="22"/>
              </w:rPr>
            </w:pPr>
            <w:r>
              <w:rPr>
                <w:sz w:val="22"/>
                <w:szCs w:val="22"/>
              </w:rPr>
              <w:t>133</w:t>
            </w:r>
          </w:p>
        </w:tc>
        <w:tc>
          <w:tcPr>
            <w:tcW w:w="1125" w:type="dxa"/>
          </w:tcPr>
          <w:p w14:paraId="5C920465" w14:textId="2B63EAA7" w:rsidR="00102F78" w:rsidRPr="00F86F63" w:rsidRDefault="00631D47" w:rsidP="00885B5F">
            <w:pPr>
              <w:rPr>
                <w:sz w:val="22"/>
                <w:szCs w:val="22"/>
              </w:rPr>
            </w:pPr>
            <w:r>
              <w:rPr>
                <w:sz w:val="22"/>
                <w:szCs w:val="22"/>
              </w:rPr>
              <w:t>21-23</w:t>
            </w:r>
          </w:p>
        </w:tc>
        <w:tc>
          <w:tcPr>
            <w:tcW w:w="8145" w:type="dxa"/>
            <w:gridSpan w:val="2"/>
          </w:tcPr>
          <w:p w14:paraId="68BF7626" w14:textId="7CF0744E" w:rsidR="00102F78" w:rsidRPr="00F86F63" w:rsidRDefault="00631D47" w:rsidP="00885B5F">
            <w:pPr>
              <w:rPr>
                <w:sz w:val="22"/>
                <w:szCs w:val="22"/>
              </w:rPr>
            </w:pPr>
            <w:r>
              <w:rPr>
                <w:sz w:val="22"/>
                <w:szCs w:val="22"/>
              </w:rPr>
              <w:t xml:space="preserve">Rather than referring to the discussions in Section 5, I think it makes more sense to review the applications discussed in Section 3.  Yes, some will “challenge regulatory oversight”, most will not.  </w:t>
            </w:r>
          </w:p>
        </w:tc>
      </w:tr>
    </w:tbl>
    <w:p w14:paraId="6E675E30" w14:textId="77777777" w:rsidR="00593BC6" w:rsidRDefault="00593BC6" w:rsidP="00593BC6">
      <w:pPr>
        <w:tabs>
          <w:tab w:val="left" w:pos="7020"/>
        </w:tabs>
        <w:ind w:right="44"/>
        <w:jc w:val="both"/>
        <w:rPr>
          <w:szCs w:val="22"/>
        </w:rPr>
      </w:pPr>
    </w:p>
    <w:p w14:paraId="0E955578" w14:textId="77777777" w:rsidR="00593BC6" w:rsidRDefault="00593BC6" w:rsidP="00593BC6">
      <w:pPr>
        <w:tabs>
          <w:tab w:val="left" w:pos="7020"/>
        </w:tabs>
        <w:ind w:right="44"/>
        <w:jc w:val="both"/>
        <w:rPr>
          <w:szCs w:val="22"/>
        </w:rPr>
      </w:pPr>
    </w:p>
    <w:p w14:paraId="11FCA427" w14:textId="77777777" w:rsidR="00593BC6" w:rsidRDefault="00593BC6" w:rsidP="00593BC6">
      <w:pPr>
        <w:tabs>
          <w:tab w:val="left" w:pos="7020"/>
        </w:tabs>
        <w:ind w:right="44"/>
        <w:jc w:val="both"/>
        <w:rPr>
          <w:szCs w:val="22"/>
        </w:rPr>
      </w:pPr>
    </w:p>
    <w:p w14:paraId="2432318E" w14:textId="1E7BC26A" w:rsidR="004D6145" w:rsidRPr="00593BC6" w:rsidRDefault="00593BC6" w:rsidP="004B6042">
      <w:pPr>
        <w:pStyle w:val="Footer"/>
        <w:jc w:val="center"/>
        <w:rPr>
          <w:lang w:val="en-CA"/>
        </w:rPr>
      </w:pPr>
      <w:r w:rsidRPr="00C658CD">
        <w:rPr>
          <w:sz w:val="22"/>
          <w:szCs w:val="22"/>
          <w:lang w:val="en-CA"/>
        </w:rPr>
        <w:t xml:space="preserve">Please submit your comments to </w:t>
      </w:r>
      <w:hyperlink r:id="rId6" w:history="1">
        <w:r w:rsidRPr="00C658CD">
          <w:rPr>
            <w:rStyle w:val="Hyperlink"/>
            <w:sz w:val="22"/>
            <w:szCs w:val="22"/>
            <w:lang w:val="en-CA"/>
          </w:rPr>
          <w:t>secretariat@cbd.int</w:t>
        </w:r>
      </w:hyperlink>
      <w:r w:rsidRPr="00C658CD">
        <w:rPr>
          <w:sz w:val="22"/>
          <w:szCs w:val="22"/>
          <w:lang w:val="en-CA"/>
        </w:rPr>
        <w:t>.</w:t>
      </w:r>
    </w:p>
    <w:sectPr w:rsidR="004D6145" w:rsidRPr="00593BC6" w:rsidSect="00EA105F">
      <w:headerReference w:type="first" r:id="rId7"/>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53E0" w14:textId="77777777" w:rsidR="00953C95" w:rsidRDefault="00953C95" w:rsidP="00593BC6">
      <w:r>
        <w:separator/>
      </w:r>
    </w:p>
  </w:endnote>
  <w:endnote w:type="continuationSeparator" w:id="0">
    <w:p w14:paraId="74039C1F" w14:textId="77777777" w:rsidR="00953C95" w:rsidRDefault="00953C95"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1A8B" w14:textId="77777777" w:rsidR="00953C95" w:rsidRDefault="00953C95" w:rsidP="00593BC6">
      <w:r>
        <w:separator/>
      </w:r>
    </w:p>
  </w:footnote>
  <w:footnote w:type="continuationSeparator" w:id="0">
    <w:p w14:paraId="4E66AE31" w14:textId="77777777" w:rsidR="00953C95" w:rsidRDefault="00953C95" w:rsidP="0059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1991" w14:textId="77777777" w:rsidR="00EA105F" w:rsidRDefault="00EA105F" w:rsidP="00EA105F">
    <w:pPr>
      <w:pStyle w:val="Header"/>
      <w:tabs>
        <w:tab w:val="clear" w:pos="8640"/>
        <w:tab w:val="right" w:pos="10260"/>
      </w:tabs>
      <w:spacing w:line="480" w:lineRule="auto"/>
      <w:ind w:left="-1260" w:right="-856"/>
      <w:jc w:val="center"/>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C6"/>
    <w:rsid w:val="00003D15"/>
    <w:rsid w:val="00052F91"/>
    <w:rsid w:val="00054613"/>
    <w:rsid w:val="0005772E"/>
    <w:rsid w:val="00091F4D"/>
    <w:rsid w:val="00092ACC"/>
    <w:rsid w:val="0009717D"/>
    <w:rsid w:val="000A54FC"/>
    <w:rsid w:val="000B52E2"/>
    <w:rsid w:val="000C2AD6"/>
    <w:rsid w:val="000E2E07"/>
    <w:rsid w:val="000F6C84"/>
    <w:rsid w:val="00102F78"/>
    <w:rsid w:val="00117944"/>
    <w:rsid w:val="00135D96"/>
    <w:rsid w:val="00162B2B"/>
    <w:rsid w:val="001B0499"/>
    <w:rsid w:val="002014DC"/>
    <w:rsid w:val="0020317E"/>
    <w:rsid w:val="0024383F"/>
    <w:rsid w:val="002478B6"/>
    <w:rsid w:val="00252F2F"/>
    <w:rsid w:val="00293F84"/>
    <w:rsid w:val="002C2AC6"/>
    <w:rsid w:val="002C6803"/>
    <w:rsid w:val="0032155A"/>
    <w:rsid w:val="00363EF2"/>
    <w:rsid w:val="00375197"/>
    <w:rsid w:val="003925B2"/>
    <w:rsid w:val="00393449"/>
    <w:rsid w:val="003A5A65"/>
    <w:rsid w:val="003B2A1C"/>
    <w:rsid w:val="003C5737"/>
    <w:rsid w:val="003E03E0"/>
    <w:rsid w:val="00401346"/>
    <w:rsid w:val="00430349"/>
    <w:rsid w:val="004625B1"/>
    <w:rsid w:val="004B2FF7"/>
    <w:rsid w:val="004B6042"/>
    <w:rsid w:val="004C4A01"/>
    <w:rsid w:val="004D6145"/>
    <w:rsid w:val="004E426F"/>
    <w:rsid w:val="00504A19"/>
    <w:rsid w:val="00524BE0"/>
    <w:rsid w:val="005360DE"/>
    <w:rsid w:val="005411E6"/>
    <w:rsid w:val="00553487"/>
    <w:rsid w:val="00586612"/>
    <w:rsid w:val="00593BC6"/>
    <w:rsid w:val="00594E31"/>
    <w:rsid w:val="005A0DC4"/>
    <w:rsid w:val="005C4C24"/>
    <w:rsid w:val="0062360C"/>
    <w:rsid w:val="00631D47"/>
    <w:rsid w:val="0064514C"/>
    <w:rsid w:val="00652D1D"/>
    <w:rsid w:val="00665852"/>
    <w:rsid w:val="006C3233"/>
    <w:rsid w:val="006D6AF9"/>
    <w:rsid w:val="006E7BF8"/>
    <w:rsid w:val="0070664B"/>
    <w:rsid w:val="00735FF1"/>
    <w:rsid w:val="0076319E"/>
    <w:rsid w:val="00766CB0"/>
    <w:rsid w:val="00780EC4"/>
    <w:rsid w:val="007A5598"/>
    <w:rsid w:val="007B2804"/>
    <w:rsid w:val="007C297C"/>
    <w:rsid w:val="007C6D35"/>
    <w:rsid w:val="007E0C42"/>
    <w:rsid w:val="007E5E2E"/>
    <w:rsid w:val="007F3A4F"/>
    <w:rsid w:val="007F58AD"/>
    <w:rsid w:val="00806560"/>
    <w:rsid w:val="008331E8"/>
    <w:rsid w:val="00840E39"/>
    <w:rsid w:val="00845874"/>
    <w:rsid w:val="00854B69"/>
    <w:rsid w:val="00860A3F"/>
    <w:rsid w:val="00872ABE"/>
    <w:rsid w:val="00872EB7"/>
    <w:rsid w:val="008859DF"/>
    <w:rsid w:val="00885B5F"/>
    <w:rsid w:val="008C05B8"/>
    <w:rsid w:val="008D6209"/>
    <w:rsid w:val="00917C6D"/>
    <w:rsid w:val="0092125B"/>
    <w:rsid w:val="00953B81"/>
    <w:rsid w:val="00953C95"/>
    <w:rsid w:val="00991F51"/>
    <w:rsid w:val="009C5E48"/>
    <w:rsid w:val="00A012D0"/>
    <w:rsid w:val="00A05BE6"/>
    <w:rsid w:val="00A545C6"/>
    <w:rsid w:val="00A650E9"/>
    <w:rsid w:val="00AA33ED"/>
    <w:rsid w:val="00AA3C58"/>
    <w:rsid w:val="00AA54C9"/>
    <w:rsid w:val="00AB7802"/>
    <w:rsid w:val="00AD0536"/>
    <w:rsid w:val="00AD22DE"/>
    <w:rsid w:val="00B30682"/>
    <w:rsid w:val="00B373CC"/>
    <w:rsid w:val="00B54700"/>
    <w:rsid w:val="00B65CB2"/>
    <w:rsid w:val="00B662B0"/>
    <w:rsid w:val="00BB14D8"/>
    <w:rsid w:val="00BB5BDD"/>
    <w:rsid w:val="00BC17A8"/>
    <w:rsid w:val="00BD5089"/>
    <w:rsid w:val="00BD5D26"/>
    <w:rsid w:val="00C10263"/>
    <w:rsid w:val="00C134C9"/>
    <w:rsid w:val="00C23134"/>
    <w:rsid w:val="00C33566"/>
    <w:rsid w:val="00C5059F"/>
    <w:rsid w:val="00C5369C"/>
    <w:rsid w:val="00C62C53"/>
    <w:rsid w:val="00CB2C3D"/>
    <w:rsid w:val="00CD001A"/>
    <w:rsid w:val="00D16410"/>
    <w:rsid w:val="00D22CDE"/>
    <w:rsid w:val="00D56B57"/>
    <w:rsid w:val="00D60758"/>
    <w:rsid w:val="00D8457F"/>
    <w:rsid w:val="00D90105"/>
    <w:rsid w:val="00D97576"/>
    <w:rsid w:val="00DA4EFB"/>
    <w:rsid w:val="00DA52EE"/>
    <w:rsid w:val="00DD4F55"/>
    <w:rsid w:val="00E056F2"/>
    <w:rsid w:val="00E059D0"/>
    <w:rsid w:val="00E10637"/>
    <w:rsid w:val="00E227B2"/>
    <w:rsid w:val="00EA105F"/>
    <w:rsid w:val="00ED0043"/>
    <w:rsid w:val="00ED6719"/>
    <w:rsid w:val="00EE6DDB"/>
    <w:rsid w:val="00F05FB1"/>
    <w:rsid w:val="00F161B8"/>
    <w:rsid w:val="00F604E0"/>
    <w:rsid w:val="00F73C17"/>
    <w:rsid w:val="00F754C0"/>
    <w:rsid w:val="00F8658F"/>
    <w:rsid w:val="00F86F63"/>
    <w:rsid w:val="00F94D0C"/>
    <w:rsid w:val="00FA094B"/>
    <w:rsid w:val="00FB07C1"/>
    <w:rsid w:val="00FB1BA9"/>
    <w:rsid w:val="00FF1A2A"/>
    <w:rsid w:val="00FF685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5135"/>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rsid w:val="00593BC6"/>
    <w:pPr>
      <w:tabs>
        <w:tab w:val="center" w:pos="4320"/>
        <w:tab w:val="right" w:pos="8640"/>
      </w:tabs>
    </w:pPr>
  </w:style>
  <w:style w:type="character" w:customStyle="1" w:styleId="FooterChar">
    <w:name w:val="Footer Char"/>
    <w:link w:val="Footer"/>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4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cbd.i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5917</TotalTime>
  <Pages>5</Pages>
  <Words>2552</Words>
  <Characters>15625</Characters>
  <Application>Microsoft Office Word</Application>
  <DocSecurity>0</DocSecurity>
  <Lines>223</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18138</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Robert Friedman</cp:lastModifiedBy>
  <cp:revision>28</cp:revision>
  <cp:lastPrinted>2021-06-11T20:48:00Z</cp:lastPrinted>
  <dcterms:created xsi:type="dcterms:W3CDTF">2021-06-07T22:38:00Z</dcterms:created>
  <dcterms:modified xsi:type="dcterms:W3CDTF">2021-06-12T20:09:00Z</dcterms:modified>
</cp:coreProperties>
</file>