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6FDFC" w14:textId="759E47D6" w:rsidR="00593BC6" w:rsidRDefault="00593BC6" w:rsidP="00732E61">
      <w:pPr>
        <w:pStyle w:val="Header"/>
        <w:jc w:val="both"/>
        <w:rPr>
          <w:rFonts w:ascii="Times New Roman Bold" w:hAnsi="Times New Roman Bold"/>
          <w:b/>
          <w:caps/>
          <w:sz w:val="22"/>
          <w:szCs w:val="22"/>
        </w:rPr>
      </w:pPr>
      <w:r w:rsidRPr="00C658CD">
        <w:rPr>
          <w:rFonts w:ascii="Times New Roman Bold" w:hAnsi="Times New Roman Bold"/>
          <w:b/>
          <w:caps/>
          <w:sz w:val="22"/>
          <w:szCs w:val="22"/>
        </w:rPr>
        <w:t xml:space="preserve">template for </w:t>
      </w:r>
      <w:r w:rsidR="00054613">
        <w:rPr>
          <w:rFonts w:ascii="Times New Roman Bold" w:hAnsi="Times New Roman Bold"/>
          <w:b/>
          <w:caps/>
          <w:sz w:val="22"/>
          <w:szCs w:val="22"/>
        </w:rPr>
        <w:t xml:space="preserve">Peer Review </w:t>
      </w:r>
      <w:r w:rsidRPr="00C658CD">
        <w:rPr>
          <w:rFonts w:ascii="Times New Roman Bold" w:hAnsi="Times New Roman Bold"/>
          <w:b/>
          <w:caps/>
          <w:sz w:val="22"/>
          <w:szCs w:val="22"/>
        </w:rPr>
        <w:t xml:space="preserve">comments </w:t>
      </w:r>
    </w:p>
    <w:p w14:paraId="26EA7AB3" w14:textId="6E3D4903" w:rsidR="00D97576" w:rsidRPr="00C658CD" w:rsidRDefault="0032155A" w:rsidP="00732E61">
      <w:pPr>
        <w:pStyle w:val="Header"/>
        <w:jc w:val="both"/>
        <w:rPr>
          <w:rFonts w:ascii="Times New Roman Bold" w:hAnsi="Times New Roman Bold"/>
          <w:b/>
          <w:caps/>
          <w:sz w:val="22"/>
          <w:szCs w:val="22"/>
        </w:rPr>
      </w:pPr>
      <w:r>
        <w:rPr>
          <w:rFonts w:ascii="Times New Roman Bold" w:hAnsi="Times New Roman Bold"/>
          <w:b/>
          <w:caps/>
          <w:sz w:val="22"/>
          <w:szCs w:val="22"/>
        </w:rPr>
        <w:t>Technical series on synthetic biology</w:t>
      </w:r>
    </w:p>
    <w:tbl>
      <w:tblPr>
        <w:tblpPr w:leftFromText="180" w:rightFromText="180" w:vertAnchor="page" w:horzAnchor="margin" w:tblpY="177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1125"/>
        <w:gridCol w:w="107"/>
        <w:gridCol w:w="8038"/>
      </w:tblGrid>
      <w:tr w:rsidR="00593BC6" w:rsidRPr="00C658CD" w14:paraId="7DBA9CF5" w14:textId="77777777" w:rsidTr="00EA105F">
        <w:trPr>
          <w:cantSplit/>
          <w:trHeight w:val="233"/>
        </w:trPr>
        <w:tc>
          <w:tcPr>
            <w:tcW w:w="10188" w:type="dxa"/>
            <w:gridSpan w:val="4"/>
            <w:shd w:val="clear" w:color="auto" w:fill="C0C0C0"/>
          </w:tcPr>
          <w:p w14:paraId="0C71E9D1" w14:textId="77777777" w:rsidR="00593BC6" w:rsidRPr="00C658CD" w:rsidRDefault="00593BC6" w:rsidP="00732E61">
            <w:pPr>
              <w:jc w:val="both"/>
              <w:rPr>
                <w:b/>
                <w:sz w:val="22"/>
                <w:szCs w:val="22"/>
              </w:rPr>
            </w:pPr>
          </w:p>
          <w:p w14:paraId="0923A0AA" w14:textId="77777777" w:rsidR="00593BC6" w:rsidRPr="00C658CD" w:rsidRDefault="00593BC6" w:rsidP="00732E61">
            <w:pPr>
              <w:jc w:val="both"/>
              <w:rPr>
                <w:b/>
                <w:sz w:val="22"/>
                <w:szCs w:val="22"/>
              </w:rPr>
            </w:pPr>
            <w:r w:rsidRPr="00C658CD">
              <w:rPr>
                <w:b/>
                <w:sz w:val="22"/>
                <w:szCs w:val="22"/>
              </w:rPr>
              <w:t>Contact information</w:t>
            </w:r>
          </w:p>
          <w:p w14:paraId="36D753E7" w14:textId="77777777" w:rsidR="00593BC6" w:rsidRPr="00C658CD" w:rsidRDefault="00593BC6" w:rsidP="00732E61">
            <w:pPr>
              <w:jc w:val="both"/>
              <w:rPr>
                <w:b/>
                <w:sz w:val="22"/>
                <w:szCs w:val="22"/>
              </w:rPr>
            </w:pPr>
          </w:p>
        </w:tc>
      </w:tr>
      <w:tr w:rsidR="00593BC6" w:rsidRPr="00C658CD" w14:paraId="399E2057" w14:textId="77777777" w:rsidTr="00EA105F">
        <w:trPr>
          <w:cantSplit/>
          <w:trHeight w:val="270"/>
        </w:trPr>
        <w:tc>
          <w:tcPr>
            <w:tcW w:w="2150" w:type="dxa"/>
            <w:gridSpan w:val="3"/>
          </w:tcPr>
          <w:p w14:paraId="7B244D40" w14:textId="77777777" w:rsidR="00593BC6" w:rsidRPr="00C658CD" w:rsidRDefault="00593BC6" w:rsidP="00732E61">
            <w:pPr>
              <w:jc w:val="both"/>
              <w:rPr>
                <w:b/>
                <w:sz w:val="22"/>
                <w:szCs w:val="22"/>
              </w:rPr>
            </w:pPr>
            <w:r w:rsidRPr="00C658CD">
              <w:rPr>
                <w:b/>
                <w:sz w:val="22"/>
                <w:szCs w:val="22"/>
              </w:rPr>
              <w:t>Surname:</w:t>
            </w:r>
          </w:p>
        </w:tc>
        <w:tc>
          <w:tcPr>
            <w:tcW w:w="8038" w:type="dxa"/>
          </w:tcPr>
          <w:p w14:paraId="3AB47FF8" w14:textId="1C586C3C" w:rsidR="00593BC6" w:rsidRPr="00C658CD" w:rsidRDefault="00732E61" w:rsidP="00732E61">
            <w:pPr>
              <w:jc w:val="both"/>
              <w:rPr>
                <w:sz w:val="22"/>
                <w:szCs w:val="22"/>
              </w:rPr>
            </w:pPr>
            <w:r>
              <w:rPr>
                <w:sz w:val="22"/>
                <w:szCs w:val="22"/>
              </w:rPr>
              <w:t>von Bredow</w:t>
            </w:r>
          </w:p>
        </w:tc>
      </w:tr>
      <w:tr w:rsidR="00593BC6" w:rsidRPr="00C658CD" w14:paraId="2D70246E" w14:textId="77777777" w:rsidTr="00EA105F">
        <w:trPr>
          <w:cantSplit/>
          <w:trHeight w:val="280"/>
        </w:trPr>
        <w:tc>
          <w:tcPr>
            <w:tcW w:w="2150" w:type="dxa"/>
            <w:gridSpan w:val="3"/>
          </w:tcPr>
          <w:p w14:paraId="024B7BE1" w14:textId="77777777" w:rsidR="00593BC6" w:rsidRPr="00C658CD" w:rsidRDefault="00593BC6" w:rsidP="00732E61">
            <w:pPr>
              <w:jc w:val="both"/>
              <w:rPr>
                <w:b/>
                <w:sz w:val="22"/>
                <w:szCs w:val="22"/>
              </w:rPr>
            </w:pPr>
          </w:p>
        </w:tc>
        <w:tc>
          <w:tcPr>
            <w:tcW w:w="8038" w:type="dxa"/>
          </w:tcPr>
          <w:p w14:paraId="24DC2B26" w14:textId="77777777" w:rsidR="00593BC6" w:rsidRPr="00C658CD" w:rsidRDefault="00593BC6" w:rsidP="00732E61">
            <w:pPr>
              <w:jc w:val="both"/>
              <w:rPr>
                <w:sz w:val="22"/>
                <w:szCs w:val="22"/>
              </w:rPr>
            </w:pPr>
          </w:p>
        </w:tc>
      </w:tr>
      <w:tr w:rsidR="00593BC6" w:rsidRPr="00C658CD" w14:paraId="6960F46D" w14:textId="77777777" w:rsidTr="00EA105F">
        <w:trPr>
          <w:cantSplit/>
          <w:trHeight w:val="270"/>
        </w:trPr>
        <w:tc>
          <w:tcPr>
            <w:tcW w:w="2150" w:type="dxa"/>
            <w:gridSpan w:val="3"/>
          </w:tcPr>
          <w:p w14:paraId="42324F5A" w14:textId="77777777" w:rsidR="00593BC6" w:rsidRPr="00C658CD" w:rsidRDefault="00593BC6" w:rsidP="00732E61">
            <w:pPr>
              <w:jc w:val="both"/>
              <w:rPr>
                <w:b/>
                <w:sz w:val="22"/>
                <w:szCs w:val="22"/>
              </w:rPr>
            </w:pPr>
            <w:r w:rsidRPr="00C658CD">
              <w:rPr>
                <w:b/>
                <w:sz w:val="22"/>
                <w:szCs w:val="22"/>
              </w:rPr>
              <w:t>Given Name:</w:t>
            </w:r>
          </w:p>
        </w:tc>
        <w:tc>
          <w:tcPr>
            <w:tcW w:w="8038" w:type="dxa"/>
          </w:tcPr>
          <w:p w14:paraId="1F1AFCCD" w14:textId="63B85B77" w:rsidR="00593BC6" w:rsidRPr="00C658CD" w:rsidRDefault="00732E61" w:rsidP="00732E61">
            <w:pPr>
              <w:jc w:val="both"/>
              <w:rPr>
                <w:sz w:val="22"/>
                <w:szCs w:val="22"/>
              </w:rPr>
            </w:pPr>
            <w:r>
              <w:rPr>
                <w:sz w:val="22"/>
                <w:szCs w:val="22"/>
              </w:rPr>
              <w:t>Lucia</w:t>
            </w:r>
          </w:p>
        </w:tc>
      </w:tr>
      <w:tr w:rsidR="00593BC6" w:rsidRPr="00C658CD" w14:paraId="4D0E31D1" w14:textId="77777777" w:rsidTr="00EA105F">
        <w:trPr>
          <w:cantSplit/>
          <w:trHeight w:val="280"/>
        </w:trPr>
        <w:tc>
          <w:tcPr>
            <w:tcW w:w="2150" w:type="dxa"/>
            <w:gridSpan w:val="3"/>
          </w:tcPr>
          <w:p w14:paraId="478DDD07" w14:textId="77777777" w:rsidR="00593BC6" w:rsidRPr="00C658CD" w:rsidRDefault="00593BC6" w:rsidP="00732E61">
            <w:pPr>
              <w:jc w:val="both"/>
              <w:rPr>
                <w:b/>
                <w:sz w:val="22"/>
                <w:szCs w:val="22"/>
              </w:rPr>
            </w:pPr>
          </w:p>
        </w:tc>
        <w:tc>
          <w:tcPr>
            <w:tcW w:w="8038" w:type="dxa"/>
          </w:tcPr>
          <w:p w14:paraId="286530CF" w14:textId="77777777" w:rsidR="00593BC6" w:rsidRPr="00C658CD" w:rsidRDefault="00593BC6" w:rsidP="00732E61">
            <w:pPr>
              <w:jc w:val="both"/>
              <w:rPr>
                <w:sz w:val="22"/>
                <w:szCs w:val="22"/>
              </w:rPr>
            </w:pPr>
          </w:p>
        </w:tc>
      </w:tr>
      <w:tr w:rsidR="00593BC6" w:rsidRPr="00FF1A2A" w14:paraId="1C3067B8" w14:textId="77777777" w:rsidTr="00EA105F">
        <w:trPr>
          <w:cantSplit/>
          <w:trHeight w:val="270"/>
        </w:trPr>
        <w:tc>
          <w:tcPr>
            <w:tcW w:w="2150" w:type="dxa"/>
            <w:gridSpan w:val="3"/>
          </w:tcPr>
          <w:p w14:paraId="3499F6BE" w14:textId="77777777" w:rsidR="00593BC6" w:rsidRPr="00C658CD" w:rsidRDefault="00593BC6" w:rsidP="00732E61">
            <w:pPr>
              <w:jc w:val="both"/>
              <w:rPr>
                <w:b/>
                <w:sz w:val="22"/>
                <w:szCs w:val="22"/>
              </w:rPr>
            </w:pPr>
            <w:r w:rsidRPr="00C658CD">
              <w:rPr>
                <w:b/>
                <w:sz w:val="22"/>
                <w:szCs w:val="22"/>
              </w:rPr>
              <w:t>Government</w:t>
            </w:r>
          </w:p>
        </w:tc>
        <w:tc>
          <w:tcPr>
            <w:tcW w:w="8038" w:type="dxa"/>
          </w:tcPr>
          <w:p w14:paraId="119BAC5F" w14:textId="3AEEBBB0" w:rsidR="00593BC6" w:rsidRPr="00F86F63" w:rsidRDefault="00732E61" w:rsidP="00732E61">
            <w:pPr>
              <w:jc w:val="both"/>
              <w:rPr>
                <w:sz w:val="22"/>
                <w:szCs w:val="22"/>
              </w:rPr>
            </w:pPr>
            <w:r>
              <w:rPr>
                <w:sz w:val="22"/>
                <w:szCs w:val="22"/>
              </w:rPr>
              <w:t>N/A</w:t>
            </w:r>
          </w:p>
        </w:tc>
      </w:tr>
      <w:tr w:rsidR="00593BC6" w:rsidRPr="00C658CD" w14:paraId="590623FC" w14:textId="77777777" w:rsidTr="00EA105F">
        <w:trPr>
          <w:cantSplit/>
          <w:trHeight w:val="280"/>
        </w:trPr>
        <w:tc>
          <w:tcPr>
            <w:tcW w:w="2150" w:type="dxa"/>
            <w:gridSpan w:val="3"/>
          </w:tcPr>
          <w:p w14:paraId="0807C1F5" w14:textId="77777777" w:rsidR="00593BC6" w:rsidRPr="00C658CD" w:rsidRDefault="00593BC6" w:rsidP="00732E61">
            <w:pPr>
              <w:jc w:val="both"/>
              <w:rPr>
                <w:b/>
                <w:sz w:val="22"/>
                <w:szCs w:val="22"/>
              </w:rPr>
            </w:pPr>
            <w:r w:rsidRPr="00C658CD">
              <w:rPr>
                <w:b/>
                <w:sz w:val="22"/>
                <w:szCs w:val="22"/>
              </w:rPr>
              <w:t>(if applicable):</w:t>
            </w:r>
          </w:p>
        </w:tc>
        <w:tc>
          <w:tcPr>
            <w:tcW w:w="8038" w:type="dxa"/>
          </w:tcPr>
          <w:p w14:paraId="2CA88BC1" w14:textId="77777777" w:rsidR="00593BC6" w:rsidRPr="00C658CD" w:rsidRDefault="00593BC6" w:rsidP="00732E61">
            <w:pPr>
              <w:jc w:val="both"/>
              <w:rPr>
                <w:sz w:val="22"/>
                <w:szCs w:val="22"/>
              </w:rPr>
            </w:pPr>
          </w:p>
        </w:tc>
      </w:tr>
      <w:tr w:rsidR="00593BC6" w:rsidRPr="00C658CD" w14:paraId="131D5B27" w14:textId="77777777" w:rsidTr="00EA105F">
        <w:trPr>
          <w:cantSplit/>
          <w:trHeight w:val="270"/>
        </w:trPr>
        <w:tc>
          <w:tcPr>
            <w:tcW w:w="2150" w:type="dxa"/>
            <w:gridSpan w:val="3"/>
          </w:tcPr>
          <w:p w14:paraId="5B9F4F37" w14:textId="77777777" w:rsidR="00593BC6" w:rsidRPr="00C658CD" w:rsidRDefault="00593BC6" w:rsidP="00732E61">
            <w:pPr>
              <w:jc w:val="both"/>
              <w:rPr>
                <w:b/>
                <w:sz w:val="22"/>
                <w:szCs w:val="22"/>
              </w:rPr>
            </w:pPr>
          </w:p>
        </w:tc>
        <w:tc>
          <w:tcPr>
            <w:tcW w:w="8038" w:type="dxa"/>
          </w:tcPr>
          <w:p w14:paraId="09AED490" w14:textId="77777777" w:rsidR="00593BC6" w:rsidRPr="00C658CD" w:rsidRDefault="00593BC6" w:rsidP="00732E61">
            <w:pPr>
              <w:jc w:val="both"/>
              <w:rPr>
                <w:sz w:val="22"/>
                <w:szCs w:val="22"/>
              </w:rPr>
            </w:pPr>
          </w:p>
        </w:tc>
      </w:tr>
      <w:tr w:rsidR="00593BC6" w:rsidRPr="00C658CD" w14:paraId="2C8FC01D" w14:textId="77777777" w:rsidTr="00EA105F">
        <w:trPr>
          <w:cantSplit/>
          <w:trHeight w:val="270"/>
        </w:trPr>
        <w:tc>
          <w:tcPr>
            <w:tcW w:w="2150" w:type="dxa"/>
            <w:gridSpan w:val="3"/>
          </w:tcPr>
          <w:p w14:paraId="683E9B8A" w14:textId="77777777" w:rsidR="00593BC6" w:rsidRPr="00C658CD" w:rsidRDefault="00593BC6" w:rsidP="00732E61">
            <w:pPr>
              <w:jc w:val="both"/>
              <w:rPr>
                <w:b/>
                <w:sz w:val="22"/>
                <w:szCs w:val="22"/>
              </w:rPr>
            </w:pPr>
            <w:r w:rsidRPr="00C658CD">
              <w:rPr>
                <w:b/>
                <w:sz w:val="22"/>
                <w:szCs w:val="22"/>
              </w:rPr>
              <w:t>Organization:</w:t>
            </w:r>
          </w:p>
        </w:tc>
        <w:tc>
          <w:tcPr>
            <w:tcW w:w="8038" w:type="dxa"/>
          </w:tcPr>
          <w:p w14:paraId="44E1FC10" w14:textId="71F00660" w:rsidR="00593BC6" w:rsidRPr="00C658CD" w:rsidRDefault="00732E61" w:rsidP="00732E61">
            <w:pPr>
              <w:jc w:val="both"/>
              <w:rPr>
                <w:sz w:val="22"/>
                <w:szCs w:val="22"/>
              </w:rPr>
            </w:pPr>
            <w:r>
              <w:rPr>
                <w:sz w:val="22"/>
                <w:szCs w:val="22"/>
              </w:rPr>
              <w:t>European Molecular Biology Laboratory  (EMBL)</w:t>
            </w:r>
          </w:p>
        </w:tc>
      </w:tr>
      <w:tr w:rsidR="00593BC6" w:rsidRPr="00C658CD" w14:paraId="3ED36EA3" w14:textId="77777777" w:rsidTr="00EA105F">
        <w:trPr>
          <w:cantSplit/>
          <w:trHeight w:val="233"/>
        </w:trPr>
        <w:tc>
          <w:tcPr>
            <w:tcW w:w="2150" w:type="dxa"/>
            <w:gridSpan w:val="3"/>
          </w:tcPr>
          <w:p w14:paraId="21C9EB42" w14:textId="77777777" w:rsidR="00593BC6" w:rsidRPr="00C658CD" w:rsidRDefault="00593BC6" w:rsidP="00732E61">
            <w:pPr>
              <w:jc w:val="both"/>
              <w:rPr>
                <w:b/>
                <w:sz w:val="22"/>
                <w:szCs w:val="22"/>
              </w:rPr>
            </w:pPr>
          </w:p>
        </w:tc>
        <w:tc>
          <w:tcPr>
            <w:tcW w:w="8038" w:type="dxa"/>
          </w:tcPr>
          <w:p w14:paraId="5A530AD5" w14:textId="77777777" w:rsidR="00593BC6" w:rsidRPr="00C658CD" w:rsidRDefault="00593BC6" w:rsidP="00732E61">
            <w:pPr>
              <w:jc w:val="both"/>
              <w:rPr>
                <w:sz w:val="22"/>
                <w:szCs w:val="22"/>
              </w:rPr>
            </w:pPr>
          </w:p>
        </w:tc>
      </w:tr>
      <w:tr w:rsidR="00593BC6" w:rsidRPr="00C658CD" w14:paraId="329D03C5" w14:textId="77777777" w:rsidTr="00EA105F">
        <w:trPr>
          <w:cantSplit/>
          <w:trHeight w:val="233"/>
        </w:trPr>
        <w:tc>
          <w:tcPr>
            <w:tcW w:w="2150" w:type="dxa"/>
            <w:gridSpan w:val="3"/>
          </w:tcPr>
          <w:p w14:paraId="50483436" w14:textId="77777777" w:rsidR="00593BC6" w:rsidRPr="00C658CD" w:rsidRDefault="00593BC6" w:rsidP="00732E61">
            <w:pPr>
              <w:jc w:val="both"/>
              <w:rPr>
                <w:b/>
                <w:sz w:val="22"/>
                <w:szCs w:val="22"/>
              </w:rPr>
            </w:pPr>
            <w:r w:rsidRPr="00C658CD">
              <w:rPr>
                <w:b/>
                <w:sz w:val="22"/>
                <w:szCs w:val="22"/>
              </w:rPr>
              <w:t>E-mail:</w:t>
            </w:r>
          </w:p>
        </w:tc>
        <w:tc>
          <w:tcPr>
            <w:tcW w:w="8038" w:type="dxa"/>
          </w:tcPr>
          <w:p w14:paraId="7D07E304" w14:textId="0C687B5A" w:rsidR="00593BC6" w:rsidRPr="00C658CD" w:rsidRDefault="00AB02D1" w:rsidP="00732E61">
            <w:pPr>
              <w:jc w:val="both"/>
              <w:rPr>
                <w:sz w:val="22"/>
                <w:szCs w:val="22"/>
              </w:rPr>
            </w:pPr>
            <w:hyperlink r:id="rId7" w:history="1">
              <w:r w:rsidR="00732E61" w:rsidRPr="00153A96">
                <w:rPr>
                  <w:rStyle w:val="Hyperlink"/>
                  <w:sz w:val="22"/>
                  <w:szCs w:val="22"/>
                </w:rPr>
                <w:t>lucia.von.bredow@embl.de</w:t>
              </w:r>
            </w:hyperlink>
            <w:r w:rsidR="00732E61">
              <w:rPr>
                <w:sz w:val="22"/>
                <w:szCs w:val="22"/>
              </w:rPr>
              <w:t xml:space="preserve"> (Bioethics Manager)</w:t>
            </w:r>
          </w:p>
        </w:tc>
      </w:tr>
      <w:tr w:rsidR="00593BC6" w:rsidRPr="00C658CD" w14:paraId="59BA55E5" w14:textId="77777777" w:rsidTr="00EA105F">
        <w:trPr>
          <w:cantSplit/>
          <w:trHeight w:val="233"/>
        </w:trPr>
        <w:tc>
          <w:tcPr>
            <w:tcW w:w="2150" w:type="dxa"/>
            <w:gridSpan w:val="3"/>
          </w:tcPr>
          <w:p w14:paraId="4CA66506" w14:textId="77777777" w:rsidR="00593BC6" w:rsidRPr="00C658CD" w:rsidRDefault="00593BC6" w:rsidP="00732E61">
            <w:pPr>
              <w:jc w:val="both"/>
              <w:rPr>
                <w:b/>
                <w:sz w:val="22"/>
                <w:szCs w:val="22"/>
              </w:rPr>
            </w:pPr>
          </w:p>
        </w:tc>
        <w:tc>
          <w:tcPr>
            <w:tcW w:w="8038" w:type="dxa"/>
          </w:tcPr>
          <w:p w14:paraId="267E6375" w14:textId="77777777" w:rsidR="00593BC6" w:rsidRPr="00C658CD" w:rsidRDefault="00593BC6" w:rsidP="00732E61">
            <w:pPr>
              <w:jc w:val="both"/>
              <w:rPr>
                <w:sz w:val="22"/>
                <w:szCs w:val="22"/>
              </w:rPr>
            </w:pPr>
          </w:p>
        </w:tc>
      </w:tr>
      <w:tr w:rsidR="00593BC6" w:rsidRPr="00C658CD" w14:paraId="333DFC97" w14:textId="77777777" w:rsidTr="00EA105F">
        <w:trPr>
          <w:cantSplit/>
          <w:trHeight w:val="233"/>
        </w:trPr>
        <w:tc>
          <w:tcPr>
            <w:tcW w:w="10188" w:type="dxa"/>
            <w:gridSpan w:val="4"/>
            <w:shd w:val="clear" w:color="auto" w:fill="BFBFBF"/>
          </w:tcPr>
          <w:p w14:paraId="21278E85" w14:textId="77777777" w:rsidR="00593BC6" w:rsidRPr="00C658CD" w:rsidRDefault="00593BC6" w:rsidP="00732E61">
            <w:pPr>
              <w:jc w:val="both"/>
              <w:rPr>
                <w:b/>
                <w:sz w:val="22"/>
                <w:szCs w:val="22"/>
              </w:rPr>
            </w:pPr>
          </w:p>
          <w:p w14:paraId="05933792" w14:textId="14B8E253" w:rsidR="00593BC6" w:rsidRPr="00C658CD" w:rsidRDefault="00593BC6" w:rsidP="00732E61">
            <w:pPr>
              <w:jc w:val="both"/>
              <w:rPr>
                <w:b/>
                <w:sz w:val="22"/>
                <w:szCs w:val="22"/>
              </w:rPr>
            </w:pPr>
            <w:r w:rsidRPr="00C658CD">
              <w:rPr>
                <w:b/>
                <w:sz w:val="22"/>
                <w:szCs w:val="22"/>
              </w:rPr>
              <w:t>Comments on th</w:t>
            </w:r>
            <w:r w:rsidR="00363EF2">
              <w:rPr>
                <w:b/>
                <w:sz w:val="22"/>
                <w:szCs w:val="22"/>
              </w:rPr>
              <w:t>e Technical Series on Synthetic Biology</w:t>
            </w:r>
          </w:p>
          <w:p w14:paraId="7BC798CD" w14:textId="77777777" w:rsidR="00593BC6" w:rsidRPr="00C658CD" w:rsidRDefault="00593BC6" w:rsidP="00732E61">
            <w:pPr>
              <w:jc w:val="both"/>
              <w:rPr>
                <w:b/>
                <w:sz w:val="22"/>
                <w:szCs w:val="22"/>
              </w:rPr>
            </w:pPr>
          </w:p>
        </w:tc>
      </w:tr>
      <w:tr w:rsidR="00593BC6" w:rsidRPr="00C658CD" w14:paraId="2A5F8AC1" w14:textId="77777777" w:rsidTr="00135D96">
        <w:trPr>
          <w:cantSplit/>
          <w:trHeight w:val="233"/>
        </w:trPr>
        <w:tc>
          <w:tcPr>
            <w:tcW w:w="918" w:type="dxa"/>
          </w:tcPr>
          <w:p w14:paraId="6C0FFA1B" w14:textId="77777777" w:rsidR="00593BC6" w:rsidRPr="00C658CD" w:rsidRDefault="00593BC6" w:rsidP="00732E61">
            <w:pPr>
              <w:jc w:val="both"/>
              <w:rPr>
                <w:b/>
                <w:sz w:val="22"/>
                <w:szCs w:val="22"/>
              </w:rPr>
            </w:pPr>
            <w:r w:rsidRPr="00C658CD">
              <w:rPr>
                <w:b/>
                <w:sz w:val="22"/>
                <w:szCs w:val="22"/>
              </w:rPr>
              <w:t>Page</w:t>
            </w:r>
            <w:r w:rsidR="00F94D0C">
              <w:rPr>
                <w:b/>
                <w:sz w:val="22"/>
                <w:szCs w:val="22"/>
              </w:rPr>
              <w:t xml:space="preserve"> #</w:t>
            </w:r>
          </w:p>
        </w:tc>
        <w:tc>
          <w:tcPr>
            <w:tcW w:w="1125" w:type="dxa"/>
          </w:tcPr>
          <w:p w14:paraId="3BFAC210" w14:textId="77777777" w:rsidR="00593BC6" w:rsidRPr="00C658CD" w:rsidRDefault="005411E6" w:rsidP="00732E61">
            <w:pPr>
              <w:jc w:val="both"/>
              <w:rPr>
                <w:b/>
                <w:sz w:val="22"/>
                <w:szCs w:val="22"/>
              </w:rPr>
            </w:pPr>
            <w:r>
              <w:rPr>
                <w:b/>
                <w:sz w:val="22"/>
                <w:szCs w:val="22"/>
              </w:rPr>
              <w:t xml:space="preserve">Line </w:t>
            </w:r>
            <w:r w:rsidR="00135D96">
              <w:rPr>
                <w:b/>
                <w:sz w:val="22"/>
                <w:szCs w:val="22"/>
              </w:rPr>
              <w:t>#</w:t>
            </w:r>
          </w:p>
        </w:tc>
        <w:tc>
          <w:tcPr>
            <w:tcW w:w="8145" w:type="dxa"/>
            <w:gridSpan w:val="2"/>
          </w:tcPr>
          <w:p w14:paraId="1DF3BB27" w14:textId="77777777" w:rsidR="00593BC6" w:rsidRPr="00C658CD" w:rsidRDefault="00593BC6" w:rsidP="00732E61">
            <w:pPr>
              <w:jc w:val="both"/>
              <w:rPr>
                <w:b/>
                <w:sz w:val="22"/>
                <w:szCs w:val="22"/>
              </w:rPr>
            </w:pPr>
            <w:r w:rsidRPr="00C658CD">
              <w:rPr>
                <w:b/>
                <w:sz w:val="22"/>
                <w:szCs w:val="22"/>
              </w:rPr>
              <w:t>Comment</w:t>
            </w:r>
          </w:p>
        </w:tc>
      </w:tr>
      <w:tr w:rsidR="00593BC6" w:rsidRPr="00C658CD" w14:paraId="52D4B2D0" w14:textId="77777777" w:rsidTr="00135D96">
        <w:trPr>
          <w:cantSplit/>
          <w:trHeight w:val="233"/>
        </w:trPr>
        <w:tc>
          <w:tcPr>
            <w:tcW w:w="918" w:type="dxa"/>
          </w:tcPr>
          <w:p w14:paraId="2E5AE1CF" w14:textId="77777777" w:rsidR="00593BC6" w:rsidRPr="00C658CD" w:rsidRDefault="00593BC6" w:rsidP="00732E61">
            <w:pPr>
              <w:jc w:val="both"/>
              <w:rPr>
                <w:sz w:val="22"/>
                <w:szCs w:val="22"/>
              </w:rPr>
            </w:pPr>
            <w:r w:rsidRPr="00C658CD">
              <w:rPr>
                <w:sz w:val="22"/>
                <w:szCs w:val="22"/>
              </w:rPr>
              <w:t>0</w:t>
            </w:r>
          </w:p>
        </w:tc>
        <w:tc>
          <w:tcPr>
            <w:tcW w:w="1125" w:type="dxa"/>
          </w:tcPr>
          <w:p w14:paraId="6F9597EA" w14:textId="77777777" w:rsidR="00593BC6" w:rsidRPr="00C658CD" w:rsidRDefault="00593BC6" w:rsidP="00732E61">
            <w:pPr>
              <w:jc w:val="both"/>
              <w:rPr>
                <w:sz w:val="22"/>
                <w:szCs w:val="22"/>
              </w:rPr>
            </w:pPr>
            <w:r w:rsidRPr="00C658CD">
              <w:rPr>
                <w:sz w:val="22"/>
                <w:szCs w:val="22"/>
              </w:rPr>
              <w:t>0</w:t>
            </w:r>
          </w:p>
        </w:tc>
        <w:tc>
          <w:tcPr>
            <w:tcW w:w="8145" w:type="dxa"/>
            <w:gridSpan w:val="2"/>
          </w:tcPr>
          <w:p w14:paraId="3DD8C27D" w14:textId="77E2781B" w:rsidR="00732E61" w:rsidRPr="00732E61" w:rsidRDefault="00732E61" w:rsidP="00732E61">
            <w:pPr>
              <w:jc w:val="both"/>
              <w:rPr>
                <w:sz w:val="22"/>
                <w:szCs w:val="22"/>
                <w:lang w:val="en-DE"/>
              </w:rPr>
            </w:pPr>
            <w:r w:rsidRPr="00732E61">
              <w:rPr>
                <w:b/>
                <w:bCs/>
                <w:sz w:val="22"/>
                <w:szCs w:val="22"/>
                <w:lang w:val="en-DE"/>
              </w:rPr>
              <w:t>A: EMBL's Expertise</w:t>
            </w:r>
          </w:p>
          <w:p w14:paraId="3FAA1BEA" w14:textId="77777777" w:rsidR="00732E61" w:rsidRPr="00732E61" w:rsidRDefault="00732E61" w:rsidP="00732E61">
            <w:pPr>
              <w:jc w:val="both"/>
              <w:rPr>
                <w:sz w:val="22"/>
                <w:szCs w:val="22"/>
                <w:lang w:val="en-DE"/>
              </w:rPr>
            </w:pPr>
          </w:p>
          <w:p w14:paraId="7BFDA610" w14:textId="77777777" w:rsidR="00732E61" w:rsidRPr="00732E61" w:rsidRDefault="00732E61" w:rsidP="00732E61">
            <w:pPr>
              <w:jc w:val="both"/>
              <w:rPr>
                <w:sz w:val="22"/>
                <w:szCs w:val="22"/>
                <w:lang w:val="en-DE"/>
              </w:rPr>
            </w:pPr>
            <w:r w:rsidRPr="00732E61">
              <w:rPr>
                <w:sz w:val="22"/>
                <w:szCs w:val="22"/>
                <w:lang w:val="en-DE"/>
              </w:rPr>
              <w:t xml:space="preserve">The </w:t>
            </w:r>
            <w:hyperlink r:id="rId8" w:history="1">
              <w:r w:rsidRPr="00732E61">
                <w:rPr>
                  <w:rStyle w:val="Hyperlink"/>
                  <w:sz w:val="22"/>
                  <w:szCs w:val="22"/>
                  <w:lang w:val="en-DE"/>
                </w:rPr>
                <w:t>European Molecular Biology Laboratory</w:t>
              </w:r>
            </w:hyperlink>
            <w:r w:rsidRPr="00732E61">
              <w:rPr>
                <w:sz w:val="22"/>
                <w:szCs w:val="22"/>
                <w:lang w:val="en-DE"/>
              </w:rPr>
              <w:t xml:space="preserve"> (EMBL) welcomes the opportunity to comment on this updated draft report on the CBD Technical Series on Synthetic Biology 82 (hereinafter "the Report".)  </w:t>
            </w:r>
          </w:p>
          <w:p w14:paraId="4CD8ADA5" w14:textId="77777777" w:rsidR="00732E61" w:rsidRPr="00732E61" w:rsidRDefault="00732E61" w:rsidP="00732E61">
            <w:pPr>
              <w:jc w:val="both"/>
              <w:rPr>
                <w:sz w:val="22"/>
                <w:szCs w:val="22"/>
                <w:lang w:val="en-DE"/>
              </w:rPr>
            </w:pPr>
          </w:p>
          <w:p w14:paraId="2F8A7A45" w14:textId="4026E6C2" w:rsidR="00732E61" w:rsidRPr="00732E61" w:rsidRDefault="00732E61" w:rsidP="00732E61">
            <w:pPr>
              <w:jc w:val="both"/>
              <w:rPr>
                <w:sz w:val="22"/>
                <w:szCs w:val="22"/>
                <w:lang w:val="en-DE"/>
              </w:rPr>
            </w:pPr>
            <w:r w:rsidRPr="00732E61">
              <w:rPr>
                <w:sz w:val="22"/>
                <w:szCs w:val="22"/>
                <w:lang w:val="en-DE"/>
              </w:rPr>
              <w:t>The EMBL is a molecular biology research institution supported by 27 member states, two prospect states, and one associate member state. It is Europe's only Intergovernmental Organisation for life science research. Innovative and interdisciplinary research at EMBL is conducted by more than 80 independent groups covering the spectrum of molecular biology.  EMBL’s overarching goal is to understand the molecular basis of life, and research at EMBL emphasises experimental and computational analyses of biological organisation, from molecules to organisms. </w:t>
            </w:r>
          </w:p>
          <w:p w14:paraId="6E816F0C" w14:textId="77777777" w:rsidR="00732E61" w:rsidRPr="00732E61" w:rsidRDefault="00732E61" w:rsidP="00732E61">
            <w:pPr>
              <w:jc w:val="both"/>
              <w:rPr>
                <w:sz w:val="22"/>
                <w:szCs w:val="22"/>
                <w:lang w:val="en-DE"/>
              </w:rPr>
            </w:pPr>
          </w:p>
          <w:p w14:paraId="768E1239" w14:textId="77777777" w:rsidR="00732E61" w:rsidRPr="00732E61" w:rsidRDefault="00732E61" w:rsidP="00732E61">
            <w:pPr>
              <w:jc w:val="both"/>
              <w:rPr>
                <w:sz w:val="22"/>
                <w:szCs w:val="22"/>
                <w:lang w:val="en-DE"/>
              </w:rPr>
            </w:pPr>
            <w:r w:rsidRPr="00732E61">
              <w:rPr>
                <w:sz w:val="22"/>
                <w:szCs w:val="22"/>
                <w:lang w:val="en-DE"/>
              </w:rPr>
              <w:t>Research areas cover a wide spectrum of biology, including structural biology, genome biology, cell biology, developmental biology, tissue and organ biology, neurobiology, microbiology, biodiversity, bioinformatics and computational biology, synthetic biology and molecular medicine. Adding to this, EMBL’s vision is to advance our understanding of ecosystems at the molecular level, applying expertise in molecular biology to study life in its natural context. In doing so, EMBL aims to use fundamental science to tackle societal challenges, including active consideration of bioethical and societal aspects of research pertaining to molecular biology in Europe.</w:t>
            </w:r>
          </w:p>
          <w:p w14:paraId="435E0014" w14:textId="77777777" w:rsidR="00732E61" w:rsidRPr="00732E61" w:rsidRDefault="00732E61" w:rsidP="00732E61">
            <w:pPr>
              <w:jc w:val="both"/>
              <w:rPr>
                <w:sz w:val="22"/>
                <w:szCs w:val="22"/>
                <w:lang w:val="en-DE"/>
              </w:rPr>
            </w:pPr>
          </w:p>
          <w:p w14:paraId="0835E459" w14:textId="77777777" w:rsidR="00732E61" w:rsidRPr="00732E61" w:rsidRDefault="00732E61" w:rsidP="00732E61">
            <w:pPr>
              <w:jc w:val="both"/>
              <w:rPr>
                <w:sz w:val="22"/>
                <w:szCs w:val="22"/>
                <w:lang w:val="en-DE"/>
              </w:rPr>
            </w:pPr>
            <w:r w:rsidRPr="00732E61">
              <w:rPr>
                <w:sz w:val="22"/>
                <w:szCs w:val="22"/>
                <w:lang w:val="en-DE"/>
              </w:rPr>
              <w:t>We believe that EMBL is, therefore, well placed to comment on the potential benefits and complexities of synthetic biology, as well as to respond to the conclusions and concerns raised in the Report.</w:t>
            </w:r>
          </w:p>
          <w:p w14:paraId="1685DF16" w14:textId="77777777" w:rsidR="00732E61" w:rsidRPr="00732E61" w:rsidRDefault="00732E61" w:rsidP="00732E61">
            <w:pPr>
              <w:jc w:val="both"/>
              <w:rPr>
                <w:sz w:val="22"/>
                <w:szCs w:val="22"/>
                <w:lang w:val="en-DE"/>
              </w:rPr>
            </w:pPr>
          </w:p>
          <w:p w14:paraId="28CBFDAD" w14:textId="77777777" w:rsidR="00732E61" w:rsidRPr="00732E61" w:rsidRDefault="00732E61" w:rsidP="00732E61">
            <w:pPr>
              <w:jc w:val="both"/>
              <w:rPr>
                <w:sz w:val="22"/>
                <w:szCs w:val="22"/>
                <w:lang w:val="en-DE"/>
              </w:rPr>
            </w:pPr>
            <w:r w:rsidRPr="00732E61">
              <w:rPr>
                <w:b/>
                <w:bCs/>
                <w:sz w:val="22"/>
                <w:szCs w:val="22"/>
                <w:lang w:val="en-DE"/>
              </w:rPr>
              <w:t>B: Comments on the Report</w:t>
            </w:r>
          </w:p>
          <w:p w14:paraId="34CF8F8B" w14:textId="77777777" w:rsidR="00732E61" w:rsidRPr="00732E61" w:rsidRDefault="00732E61" w:rsidP="00732E61">
            <w:pPr>
              <w:jc w:val="both"/>
              <w:rPr>
                <w:sz w:val="22"/>
                <w:szCs w:val="22"/>
                <w:lang w:val="en-DE"/>
              </w:rPr>
            </w:pPr>
          </w:p>
          <w:p w14:paraId="67F1AE44" w14:textId="77777777" w:rsidR="00732E61" w:rsidRDefault="00732E61" w:rsidP="00732E61">
            <w:pPr>
              <w:jc w:val="both"/>
              <w:rPr>
                <w:sz w:val="22"/>
                <w:szCs w:val="22"/>
                <w:lang w:val="en-DE"/>
              </w:rPr>
            </w:pPr>
            <w:r w:rsidRPr="00732E61">
              <w:rPr>
                <w:sz w:val="22"/>
                <w:szCs w:val="22"/>
                <w:lang w:val="en-DE"/>
              </w:rPr>
              <w:t xml:space="preserve">Although we recognise that the Report outlines both positive and negative perspectives on synthetic biology, we are of the opinion that the general tone and scope could end up setting </w:t>
            </w:r>
            <w:r w:rsidRPr="00732E61">
              <w:rPr>
                <w:sz w:val="22"/>
                <w:szCs w:val="22"/>
                <w:lang w:val="en-DE"/>
              </w:rPr>
              <w:lastRenderedPageBreak/>
              <w:t>a dangerous precedent of restrictive legislation across the board, which would ultimately impede scientific research and development of societal importance. The following summary outlines our concerns in more detail.</w:t>
            </w:r>
          </w:p>
          <w:p w14:paraId="59EAFAF7" w14:textId="3DB75825" w:rsidR="00732E61" w:rsidRPr="00732E61" w:rsidRDefault="00732E61" w:rsidP="00732E61">
            <w:pPr>
              <w:jc w:val="both"/>
              <w:rPr>
                <w:sz w:val="22"/>
                <w:szCs w:val="22"/>
                <w:lang w:val="en-DE"/>
              </w:rPr>
            </w:pPr>
          </w:p>
          <w:p w14:paraId="26AAC30D" w14:textId="77777777" w:rsidR="00732E61" w:rsidRPr="00732E61" w:rsidRDefault="00732E61" w:rsidP="00732E61">
            <w:pPr>
              <w:numPr>
                <w:ilvl w:val="0"/>
                <w:numId w:val="1"/>
              </w:numPr>
              <w:ind w:left="394"/>
              <w:jc w:val="both"/>
              <w:rPr>
                <w:sz w:val="22"/>
                <w:szCs w:val="22"/>
                <w:lang w:val="en-DE"/>
              </w:rPr>
            </w:pPr>
            <w:r w:rsidRPr="00732E61">
              <w:rPr>
                <w:sz w:val="22"/>
                <w:szCs w:val="22"/>
                <w:lang w:val="en-DE"/>
              </w:rPr>
              <w:t xml:space="preserve">It is our view that although the majority of synthetic biology applications currently stem from engineering microbes (something that took place long before synthetic biology was even invented, and is quite well regulated – both points acknowledged in the Report), the Report instead mainly focuses on the danger / risks regarding gene drives and / or animals only. While we acknowledge the need for discussion on topics such as Gene Drive, this is at odds with the Report's proposal that there is a need for a unified framework that regulates </w:t>
            </w:r>
            <w:r w:rsidRPr="00732E61">
              <w:rPr>
                <w:i/>
                <w:iCs/>
                <w:sz w:val="22"/>
                <w:szCs w:val="22"/>
                <w:lang w:val="en-DE"/>
              </w:rPr>
              <w:t>all</w:t>
            </w:r>
            <w:r w:rsidRPr="00732E61">
              <w:rPr>
                <w:sz w:val="22"/>
                <w:szCs w:val="22"/>
                <w:lang w:val="en-DE"/>
              </w:rPr>
              <w:t xml:space="preserve"> elements of synthetic biology.</w:t>
            </w:r>
          </w:p>
          <w:p w14:paraId="0009A417" w14:textId="77777777" w:rsidR="00732E61" w:rsidRPr="00732E61" w:rsidRDefault="00732E61" w:rsidP="00732E61">
            <w:pPr>
              <w:numPr>
                <w:ilvl w:val="0"/>
                <w:numId w:val="1"/>
              </w:numPr>
              <w:ind w:left="394"/>
              <w:jc w:val="both"/>
              <w:rPr>
                <w:sz w:val="22"/>
                <w:szCs w:val="22"/>
                <w:lang w:val="en-DE"/>
              </w:rPr>
            </w:pPr>
            <w:r w:rsidRPr="00732E61">
              <w:rPr>
                <w:sz w:val="22"/>
                <w:szCs w:val="22"/>
                <w:lang w:val="en-DE"/>
              </w:rPr>
              <w:t>The Report argues for "a process and expected outcomes that better align with the needs and values of society more broadly than human health and the environment", such as "societal and ethical issues'' and including economic factors. Again, it is concerning that this is the argument given for the need for new mechanisms across the board, despite the fact that all obvious 'risks' cited  concern mostly human and environmental health. </w:t>
            </w:r>
          </w:p>
          <w:p w14:paraId="0CE8BC15" w14:textId="2F6F8542" w:rsidR="00732E61" w:rsidRPr="00732E61" w:rsidRDefault="00732E61" w:rsidP="00732E61">
            <w:pPr>
              <w:numPr>
                <w:ilvl w:val="0"/>
                <w:numId w:val="1"/>
              </w:numPr>
              <w:ind w:left="394"/>
              <w:jc w:val="both"/>
              <w:rPr>
                <w:sz w:val="22"/>
                <w:szCs w:val="22"/>
                <w:lang w:val="en-DE"/>
              </w:rPr>
            </w:pPr>
            <w:r w:rsidRPr="00732E61">
              <w:rPr>
                <w:sz w:val="22"/>
                <w:szCs w:val="22"/>
                <w:lang w:val="en-DE"/>
              </w:rPr>
              <w:t>We believe there is an important nuance that has been omitted re microbes in the Report. For microbes, exchange of genetic material across species is rampant and happens naturally (in much more imaginative ways than genetic engineering and synthetic biology have proposed). Hence</w:t>
            </w:r>
            <w:r w:rsidR="00536C3B">
              <w:rPr>
                <w:sz w:val="22"/>
                <w:szCs w:val="22"/>
                <w:lang w:val="en-US"/>
              </w:rPr>
              <w:t>,</w:t>
            </w:r>
            <w:r w:rsidRPr="00732E61">
              <w:rPr>
                <w:sz w:val="22"/>
                <w:szCs w:val="22"/>
                <w:lang w:val="en-DE"/>
              </w:rPr>
              <w:t xml:space="preserve"> one of the most efficient ways to obtain  microbes with specific traits is to undertake experimental evolution rather than genetic engineering/synthetic biology, and this would only increase with the use of microbial communities. We propose that this perspective is taken into account in the report for completeness.</w:t>
            </w:r>
          </w:p>
          <w:p w14:paraId="57842E2C" w14:textId="77777777" w:rsidR="00732E61" w:rsidRPr="00732E61" w:rsidRDefault="00732E61" w:rsidP="00732E61">
            <w:pPr>
              <w:jc w:val="both"/>
              <w:rPr>
                <w:sz w:val="22"/>
                <w:szCs w:val="22"/>
                <w:lang w:val="en-DE"/>
              </w:rPr>
            </w:pPr>
          </w:p>
          <w:p w14:paraId="04EC2C7E" w14:textId="77777777" w:rsidR="00732E61" w:rsidRPr="00732E61" w:rsidRDefault="00732E61" w:rsidP="00732E61">
            <w:pPr>
              <w:jc w:val="both"/>
              <w:rPr>
                <w:sz w:val="22"/>
                <w:szCs w:val="22"/>
                <w:lang w:val="en-DE"/>
              </w:rPr>
            </w:pPr>
            <w:r w:rsidRPr="00732E61">
              <w:rPr>
                <w:b/>
                <w:bCs/>
                <w:sz w:val="22"/>
                <w:szCs w:val="22"/>
                <w:lang w:val="en-DE"/>
              </w:rPr>
              <w:t>C: Recommendations</w:t>
            </w:r>
          </w:p>
          <w:p w14:paraId="4CEAAB7E" w14:textId="54B35954" w:rsidR="00B56E89" w:rsidRPr="00B56E89" w:rsidRDefault="00B56E89" w:rsidP="00B56E89">
            <w:pPr>
              <w:pStyle w:val="NormalWeb"/>
              <w:jc w:val="both"/>
              <w:rPr>
                <w:sz w:val="22"/>
                <w:szCs w:val="22"/>
                <w:lang w:val="en-US"/>
              </w:rPr>
            </w:pPr>
            <w:r w:rsidRPr="00B56E89">
              <w:rPr>
                <w:sz w:val="22"/>
                <w:szCs w:val="22"/>
              </w:rPr>
              <w:t>We oppose the recommendation for implementing umbrella frameworks,  unless and until leading molecular biology institutes (such as EMBL) have been both involved in and informed of their creation</w:t>
            </w:r>
            <w:r w:rsidRPr="00B56E89">
              <w:rPr>
                <w:sz w:val="22"/>
                <w:szCs w:val="22"/>
                <w:lang w:val="en-US"/>
              </w:rPr>
              <w:t>.</w:t>
            </w:r>
          </w:p>
          <w:p w14:paraId="10D5C160" w14:textId="77777777" w:rsidR="00732E61" w:rsidRPr="00732E61" w:rsidRDefault="00732E61" w:rsidP="00732E61">
            <w:pPr>
              <w:jc w:val="both"/>
              <w:rPr>
                <w:sz w:val="22"/>
                <w:szCs w:val="22"/>
                <w:lang w:val="en-DE"/>
              </w:rPr>
            </w:pPr>
            <w:r w:rsidRPr="00732E61">
              <w:rPr>
                <w:sz w:val="22"/>
                <w:szCs w:val="22"/>
                <w:lang w:val="en-DE"/>
              </w:rPr>
              <w:t>We believe that issues of bioethics and biosafety are important concerns in which scientists must engage, to help build monitoring frameworks or processes which are transparent and easily measured. Experimental approaches, and material/data reuse cannot always be proscribed: regulations must remain flexible in this area. Exchange of materials between labs (samples, organisms, genetic material) and data derived from those materials is essential to science, interactions and sharing must be smooth and friction must be low. </w:t>
            </w:r>
          </w:p>
          <w:p w14:paraId="73682A5B" w14:textId="77777777" w:rsidR="00732E61" w:rsidRPr="00732E61" w:rsidRDefault="00732E61" w:rsidP="00732E61">
            <w:pPr>
              <w:jc w:val="both"/>
              <w:rPr>
                <w:sz w:val="22"/>
                <w:szCs w:val="22"/>
                <w:lang w:val="en-DE"/>
              </w:rPr>
            </w:pPr>
          </w:p>
          <w:p w14:paraId="7E2DE4E2" w14:textId="77777777" w:rsidR="00732E61" w:rsidRPr="00732E61" w:rsidRDefault="00732E61" w:rsidP="00732E61">
            <w:pPr>
              <w:jc w:val="both"/>
              <w:rPr>
                <w:sz w:val="22"/>
                <w:szCs w:val="22"/>
                <w:lang w:val="en-DE"/>
              </w:rPr>
            </w:pPr>
            <w:r w:rsidRPr="00732E61">
              <w:rPr>
                <w:sz w:val="22"/>
                <w:szCs w:val="22"/>
                <w:lang w:val="en-DE"/>
              </w:rPr>
              <w:t>We advocate the principles of Open Science - accessible to all and of benefit to all - and believe that access and Benefit Sharing systems are crucial, and must in turn be harnessed to support Open Science. The current pandemic has illustrated the need for rapid, open scientific exchange of data, knowledge and expertise. We fear that the report will lead to measures that will slow down or even paralyse certain areas of critical scientific practice and research. </w:t>
            </w:r>
          </w:p>
          <w:p w14:paraId="41B2ADCF" w14:textId="77777777" w:rsidR="00732E61" w:rsidRPr="00732E61" w:rsidRDefault="00732E61" w:rsidP="00732E61">
            <w:pPr>
              <w:jc w:val="both"/>
              <w:rPr>
                <w:sz w:val="22"/>
                <w:szCs w:val="22"/>
                <w:lang w:val="en-DE"/>
              </w:rPr>
            </w:pPr>
          </w:p>
          <w:p w14:paraId="7EC2B3D7" w14:textId="1D40C783" w:rsidR="00732E61" w:rsidRPr="00732E61" w:rsidRDefault="00732E61" w:rsidP="00732E61">
            <w:pPr>
              <w:jc w:val="both"/>
              <w:rPr>
                <w:sz w:val="22"/>
                <w:szCs w:val="22"/>
                <w:lang w:val="en-DE"/>
              </w:rPr>
            </w:pPr>
            <w:r w:rsidRPr="00732E61">
              <w:rPr>
                <w:sz w:val="22"/>
                <w:szCs w:val="22"/>
                <w:lang w:val="en-DE"/>
              </w:rPr>
              <w:t xml:space="preserve">The value of some synthetic biology approaches as tools to explore and understand biological systems, from the molecular scale to whole ecosystems must be underlined. Access to synthetic biology in combination with traditional approaches will better and more rapidly allow the scientific community to describe living systems and to understand the complexities of biodiversity, including its origins and vulnerabilities, how best it might be sustained and conserved and how its value might be brought responsibly and sustainably </w:t>
            </w:r>
            <w:r w:rsidRPr="00732E61">
              <w:rPr>
                <w:sz w:val="22"/>
                <w:szCs w:val="22"/>
                <w:lang w:val="en-DE"/>
              </w:rPr>
              <w:lastRenderedPageBreak/>
              <w:t>to society. It is</w:t>
            </w:r>
            <w:r w:rsidR="00536C3B">
              <w:rPr>
                <w:sz w:val="22"/>
                <w:szCs w:val="22"/>
                <w:lang w:val="en-US"/>
              </w:rPr>
              <w:t>,</w:t>
            </w:r>
            <w:r w:rsidRPr="00732E61">
              <w:rPr>
                <w:sz w:val="22"/>
                <w:szCs w:val="22"/>
                <w:lang w:val="en-DE"/>
              </w:rPr>
              <w:t xml:space="preserve"> therefore</w:t>
            </w:r>
            <w:r w:rsidR="00536C3B">
              <w:rPr>
                <w:sz w:val="22"/>
                <w:szCs w:val="22"/>
                <w:lang w:val="en-US"/>
              </w:rPr>
              <w:t>,</w:t>
            </w:r>
            <w:r w:rsidRPr="00732E61">
              <w:rPr>
                <w:sz w:val="22"/>
                <w:szCs w:val="22"/>
                <w:lang w:val="en-DE"/>
              </w:rPr>
              <w:t xml:space="preserve"> an important driver of the science upon which the Convention on Biological Diversity must build its actions.</w:t>
            </w:r>
          </w:p>
          <w:p w14:paraId="0E7A308D" w14:textId="77777777" w:rsidR="00732E61" w:rsidRPr="00732E61" w:rsidRDefault="00732E61" w:rsidP="00732E61">
            <w:pPr>
              <w:jc w:val="both"/>
              <w:rPr>
                <w:sz w:val="22"/>
                <w:szCs w:val="22"/>
                <w:lang w:val="en-DE"/>
              </w:rPr>
            </w:pPr>
          </w:p>
          <w:p w14:paraId="00A54501" w14:textId="06E895B4" w:rsidR="00732E61" w:rsidRPr="00732E61" w:rsidRDefault="00732E61" w:rsidP="00732E61">
            <w:pPr>
              <w:jc w:val="both"/>
              <w:rPr>
                <w:sz w:val="22"/>
                <w:szCs w:val="22"/>
                <w:lang w:val="en-DE"/>
              </w:rPr>
            </w:pPr>
            <w:r w:rsidRPr="00732E61">
              <w:rPr>
                <w:sz w:val="22"/>
                <w:szCs w:val="22"/>
                <w:lang w:val="en-DE"/>
              </w:rPr>
              <w:t>We</w:t>
            </w:r>
            <w:r w:rsidR="00536C3B">
              <w:rPr>
                <w:sz w:val="22"/>
                <w:szCs w:val="22"/>
                <w:lang w:val="en-US"/>
              </w:rPr>
              <w:t>,</w:t>
            </w:r>
            <w:r w:rsidRPr="00732E61">
              <w:rPr>
                <w:sz w:val="22"/>
                <w:szCs w:val="22"/>
                <w:lang w:val="en-DE"/>
              </w:rPr>
              <w:t xml:space="preserve"> therefore</w:t>
            </w:r>
            <w:r w:rsidR="00536C3B">
              <w:rPr>
                <w:sz w:val="22"/>
                <w:szCs w:val="22"/>
                <w:lang w:val="en-US"/>
              </w:rPr>
              <w:t>,</w:t>
            </w:r>
            <w:r w:rsidRPr="00732E61">
              <w:rPr>
                <w:sz w:val="22"/>
                <w:szCs w:val="22"/>
                <w:lang w:val="en-DE"/>
              </w:rPr>
              <w:t xml:space="preserve"> strongly recommend that there should be further consultation with molecular biology institutes like EMBL (and others, such as the </w:t>
            </w:r>
            <w:hyperlink r:id="rId9" w:history="1">
              <w:r w:rsidRPr="00732E61">
                <w:rPr>
                  <w:rStyle w:val="Hyperlink"/>
                  <w:sz w:val="22"/>
                  <w:szCs w:val="22"/>
                  <w:lang w:val="en-DE"/>
                </w:rPr>
                <w:t>European Synthetic Biology Society</w:t>
              </w:r>
            </w:hyperlink>
            <w:r w:rsidRPr="00732E61">
              <w:rPr>
                <w:sz w:val="22"/>
                <w:szCs w:val="22"/>
                <w:lang w:val="en-DE"/>
              </w:rPr>
              <w:t>) before the draft proceeds to a final report. We believe that this would help remedy the identified inconsistencies, and allow for a more nuanced perspective on the issue. We would be happy to provide further input as required.</w:t>
            </w:r>
          </w:p>
          <w:p w14:paraId="5F54D82E" w14:textId="77777777" w:rsidR="00732E61" w:rsidRPr="00732E61" w:rsidRDefault="00732E61" w:rsidP="00732E61">
            <w:pPr>
              <w:jc w:val="both"/>
              <w:rPr>
                <w:sz w:val="22"/>
                <w:szCs w:val="22"/>
                <w:lang w:val="en-DE"/>
              </w:rPr>
            </w:pPr>
          </w:p>
          <w:p w14:paraId="58F1E46B" w14:textId="506E9862" w:rsidR="00593BC6" w:rsidRPr="00C658CD" w:rsidRDefault="00593BC6" w:rsidP="00732E61">
            <w:pPr>
              <w:jc w:val="both"/>
              <w:rPr>
                <w:sz w:val="22"/>
                <w:szCs w:val="22"/>
              </w:rPr>
            </w:pPr>
          </w:p>
        </w:tc>
      </w:tr>
    </w:tbl>
    <w:p w14:paraId="6E675E30" w14:textId="77777777" w:rsidR="00593BC6" w:rsidRDefault="00593BC6" w:rsidP="00732E61">
      <w:pPr>
        <w:tabs>
          <w:tab w:val="left" w:pos="7020"/>
        </w:tabs>
        <w:ind w:right="44"/>
        <w:jc w:val="both"/>
        <w:rPr>
          <w:szCs w:val="22"/>
        </w:rPr>
      </w:pPr>
    </w:p>
    <w:p w14:paraId="0E955578" w14:textId="77777777" w:rsidR="00593BC6" w:rsidRDefault="00593BC6" w:rsidP="00732E61">
      <w:pPr>
        <w:tabs>
          <w:tab w:val="left" w:pos="7020"/>
        </w:tabs>
        <w:ind w:right="44"/>
        <w:jc w:val="both"/>
        <w:rPr>
          <w:szCs w:val="22"/>
        </w:rPr>
      </w:pPr>
    </w:p>
    <w:p w14:paraId="11FCA427" w14:textId="77777777" w:rsidR="00593BC6" w:rsidRDefault="00593BC6" w:rsidP="00732E61">
      <w:pPr>
        <w:tabs>
          <w:tab w:val="left" w:pos="7020"/>
        </w:tabs>
        <w:ind w:right="44"/>
        <w:jc w:val="both"/>
        <w:rPr>
          <w:szCs w:val="22"/>
        </w:rPr>
      </w:pPr>
    </w:p>
    <w:p w14:paraId="2432318E" w14:textId="0DF35DE7" w:rsidR="004D6145" w:rsidRPr="00593BC6" w:rsidRDefault="00593BC6" w:rsidP="00732E61">
      <w:pPr>
        <w:pStyle w:val="Footer"/>
        <w:jc w:val="both"/>
        <w:rPr>
          <w:lang w:val="en-CA"/>
        </w:rPr>
      </w:pPr>
      <w:r w:rsidRPr="00C658CD">
        <w:rPr>
          <w:sz w:val="22"/>
          <w:szCs w:val="22"/>
          <w:lang w:val="en-CA"/>
        </w:rPr>
        <w:t xml:space="preserve">Please submit your comments to </w:t>
      </w:r>
      <w:hyperlink r:id="rId10" w:history="1">
        <w:r w:rsidRPr="00C658CD">
          <w:rPr>
            <w:rStyle w:val="Hyperlink"/>
            <w:sz w:val="22"/>
            <w:szCs w:val="22"/>
            <w:lang w:val="en-CA"/>
          </w:rPr>
          <w:t>secretariat@cbd.int</w:t>
        </w:r>
      </w:hyperlink>
    </w:p>
    <w:sectPr w:rsidR="004D6145" w:rsidRPr="00593BC6" w:rsidSect="00EA105F">
      <w:headerReference w:type="first" r:id="rId11"/>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D87BB" w14:textId="77777777" w:rsidR="00AB02D1" w:rsidRDefault="00AB02D1" w:rsidP="00593BC6">
      <w:r>
        <w:separator/>
      </w:r>
    </w:p>
  </w:endnote>
  <w:endnote w:type="continuationSeparator" w:id="0">
    <w:p w14:paraId="2C7B32DF" w14:textId="77777777" w:rsidR="00AB02D1" w:rsidRDefault="00AB02D1" w:rsidP="0059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E4002EFF" w:usb1="C000E47F" w:usb2="00000009" w:usb3="00000000" w:csb0="000001FF" w:csb1="00000000"/>
  </w:font>
  <w:font w:name="Times New Roman Bold">
    <w:altName w:val="Times New Roman"/>
    <w:panose1 w:val="020B0604020202020204"/>
    <w:charset w:val="00"/>
    <w:family w:val="auto"/>
    <w:pitch w:val="variable"/>
    <w:sig w:usb0="00000000"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DBFA7" w14:textId="77777777" w:rsidR="00AB02D1" w:rsidRDefault="00AB02D1" w:rsidP="00593BC6">
      <w:r>
        <w:separator/>
      </w:r>
    </w:p>
  </w:footnote>
  <w:footnote w:type="continuationSeparator" w:id="0">
    <w:p w14:paraId="1D83C649" w14:textId="77777777" w:rsidR="00AB02D1" w:rsidRDefault="00AB02D1" w:rsidP="00593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B1991" w14:textId="77777777" w:rsidR="00EA105F" w:rsidRDefault="00EA105F" w:rsidP="00EA105F">
    <w:pPr>
      <w:pStyle w:val="Header"/>
      <w:tabs>
        <w:tab w:val="clear" w:pos="8640"/>
        <w:tab w:val="right" w:pos="10260"/>
      </w:tabs>
      <w:spacing w:line="480" w:lineRule="auto"/>
      <w:ind w:left="-1260" w:right="-856"/>
      <w:jc w:val="center"/>
      <w:rPr>
        <w:rFonts w:ascii="Arial" w:hAnsi="Arial"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D347A"/>
    <w:multiLevelType w:val="multilevel"/>
    <w:tmpl w:val="F1747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BC6"/>
    <w:rsid w:val="00054613"/>
    <w:rsid w:val="00091F4D"/>
    <w:rsid w:val="000A54FC"/>
    <w:rsid w:val="000E2E07"/>
    <w:rsid w:val="00135D96"/>
    <w:rsid w:val="001D0A78"/>
    <w:rsid w:val="00226ED1"/>
    <w:rsid w:val="0024383F"/>
    <w:rsid w:val="00293F84"/>
    <w:rsid w:val="0032155A"/>
    <w:rsid w:val="00363EF2"/>
    <w:rsid w:val="003925B2"/>
    <w:rsid w:val="00393449"/>
    <w:rsid w:val="003C5737"/>
    <w:rsid w:val="00430349"/>
    <w:rsid w:val="004B6042"/>
    <w:rsid w:val="004D6145"/>
    <w:rsid w:val="004E426F"/>
    <w:rsid w:val="00524BE0"/>
    <w:rsid w:val="00536C3B"/>
    <w:rsid w:val="005411E6"/>
    <w:rsid w:val="00593BC6"/>
    <w:rsid w:val="00594E31"/>
    <w:rsid w:val="005C4C24"/>
    <w:rsid w:val="005E42C2"/>
    <w:rsid w:val="00652D1D"/>
    <w:rsid w:val="00732E61"/>
    <w:rsid w:val="00735FF1"/>
    <w:rsid w:val="00780EC4"/>
    <w:rsid w:val="00854B69"/>
    <w:rsid w:val="00872EB7"/>
    <w:rsid w:val="008C05B8"/>
    <w:rsid w:val="00991F51"/>
    <w:rsid w:val="00A05BE6"/>
    <w:rsid w:val="00A545C6"/>
    <w:rsid w:val="00AB02D1"/>
    <w:rsid w:val="00AD22DE"/>
    <w:rsid w:val="00B30682"/>
    <w:rsid w:val="00B373CC"/>
    <w:rsid w:val="00B56E89"/>
    <w:rsid w:val="00B662B0"/>
    <w:rsid w:val="00BB14D8"/>
    <w:rsid w:val="00BD5D26"/>
    <w:rsid w:val="00C33566"/>
    <w:rsid w:val="00C36E3F"/>
    <w:rsid w:val="00D60758"/>
    <w:rsid w:val="00D97576"/>
    <w:rsid w:val="00DD4F55"/>
    <w:rsid w:val="00E227B2"/>
    <w:rsid w:val="00EA105F"/>
    <w:rsid w:val="00F73C17"/>
    <w:rsid w:val="00F754C0"/>
    <w:rsid w:val="00F8658F"/>
    <w:rsid w:val="00F86F63"/>
    <w:rsid w:val="00F94D0C"/>
    <w:rsid w:val="00FB07C1"/>
    <w:rsid w:val="00FB1BA9"/>
    <w:rsid w:val="00FF1A2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15135"/>
  <w15:docId w15:val="{2EF4503E-AC8B-4C4E-A148-C22CF593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BC6"/>
    <w:rPr>
      <w:rFonts w:ascii="Times New Roman" w:eastAsia="Times New Roman" w:hAnsi="Times New Roman"/>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3BC6"/>
    <w:pPr>
      <w:tabs>
        <w:tab w:val="center" w:pos="4320"/>
        <w:tab w:val="right" w:pos="8640"/>
      </w:tabs>
    </w:pPr>
  </w:style>
  <w:style w:type="character" w:customStyle="1" w:styleId="HeaderChar">
    <w:name w:val="Header Char"/>
    <w:link w:val="Header"/>
    <w:rsid w:val="00593BC6"/>
    <w:rPr>
      <w:rFonts w:ascii="Times New Roman" w:eastAsia="Times New Roman" w:hAnsi="Times New Roman" w:cs="Times New Roman"/>
      <w:sz w:val="24"/>
      <w:szCs w:val="24"/>
      <w:lang w:val="en-GB" w:eastAsia="en-CA"/>
    </w:rPr>
  </w:style>
  <w:style w:type="paragraph" w:styleId="Footer">
    <w:name w:val="footer"/>
    <w:basedOn w:val="Normal"/>
    <w:link w:val="FooterChar"/>
    <w:rsid w:val="00593BC6"/>
    <w:pPr>
      <w:tabs>
        <w:tab w:val="center" w:pos="4320"/>
        <w:tab w:val="right" w:pos="8640"/>
      </w:tabs>
    </w:pPr>
  </w:style>
  <w:style w:type="character" w:customStyle="1" w:styleId="FooterChar">
    <w:name w:val="Footer Char"/>
    <w:link w:val="Footer"/>
    <w:rsid w:val="00593BC6"/>
    <w:rPr>
      <w:rFonts w:ascii="Times New Roman" w:eastAsia="Times New Roman" w:hAnsi="Times New Roman" w:cs="Times New Roman"/>
      <w:sz w:val="24"/>
      <w:szCs w:val="24"/>
      <w:lang w:val="en-GB" w:eastAsia="en-CA"/>
    </w:rPr>
  </w:style>
  <w:style w:type="character" w:styleId="Hyperlink">
    <w:name w:val="Hyperlink"/>
    <w:rsid w:val="00593BC6"/>
    <w:rPr>
      <w:rFonts w:cs="Times New Roman"/>
      <w:color w:val="0000FF"/>
      <w:u w:val="single"/>
    </w:rPr>
  </w:style>
  <w:style w:type="paragraph" w:styleId="BalloonText">
    <w:name w:val="Balloon Text"/>
    <w:basedOn w:val="Normal"/>
    <w:link w:val="BalloonTextChar"/>
    <w:uiPriority w:val="99"/>
    <w:semiHidden/>
    <w:unhideWhenUsed/>
    <w:rsid w:val="00054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613"/>
    <w:rPr>
      <w:rFonts w:ascii="Segoe UI" w:eastAsia="Times New Roman" w:hAnsi="Segoe UI" w:cs="Segoe UI"/>
      <w:sz w:val="18"/>
      <w:szCs w:val="18"/>
      <w:lang w:val="en-GB"/>
    </w:rPr>
  </w:style>
  <w:style w:type="character" w:styleId="UnresolvedMention">
    <w:name w:val="Unresolved Mention"/>
    <w:basedOn w:val="DefaultParagraphFont"/>
    <w:uiPriority w:val="99"/>
    <w:semiHidden/>
    <w:unhideWhenUsed/>
    <w:rsid w:val="00732E61"/>
    <w:rPr>
      <w:color w:val="605E5C"/>
      <w:shd w:val="clear" w:color="auto" w:fill="E1DFDD"/>
    </w:rPr>
  </w:style>
  <w:style w:type="paragraph" w:styleId="NormalWeb">
    <w:name w:val="Normal (Web)"/>
    <w:basedOn w:val="Normal"/>
    <w:uiPriority w:val="99"/>
    <w:semiHidden/>
    <w:unhideWhenUsed/>
    <w:rsid w:val="001D0A78"/>
    <w:pPr>
      <w:spacing w:before="100" w:beforeAutospacing="1" w:after="100" w:afterAutospacing="1"/>
    </w:pPr>
    <w:rPr>
      <w:lang w:val="en-D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23890">
      <w:bodyDiv w:val="1"/>
      <w:marLeft w:val="0"/>
      <w:marRight w:val="0"/>
      <w:marTop w:val="0"/>
      <w:marBottom w:val="0"/>
      <w:divBdr>
        <w:top w:val="none" w:sz="0" w:space="0" w:color="auto"/>
        <w:left w:val="none" w:sz="0" w:space="0" w:color="auto"/>
        <w:bottom w:val="none" w:sz="0" w:space="0" w:color="auto"/>
        <w:right w:val="none" w:sz="0" w:space="0" w:color="auto"/>
      </w:divBdr>
    </w:div>
    <w:div w:id="399329645">
      <w:bodyDiv w:val="1"/>
      <w:marLeft w:val="0"/>
      <w:marRight w:val="0"/>
      <w:marTop w:val="0"/>
      <w:marBottom w:val="0"/>
      <w:divBdr>
        <w:top w:val="none" w:sz="0" w:space="0" w:color="auto"/>
        <w:left w:val="none" w:sz="0" w:space="0" w:color="auto"/>
        <w:bottom w:val="none" w:sz="0" w:space="0" w:color="auto"/>
        <w:right w:val="none" w:sz="0" w:space="0" w:color="auto"/>
      </w:divBdr>
    </w:div>
    <w:div w:id="1012878419">
      <w:bodyDiv w:val="1"/>
      <w:marLeft w:val="0"/>
      <w:marRight w:val="0"/>
      <w:marTop w:val="0"/>
      <w:marBottom w:val="0"/>
      <w:divBdr>
        <w:top w:val="none" w:sz="0" w:space="0" w:color="auto"/>
        <w:left w:val="none" w:sz="0" w:space="0" w:color="auto"/>
        <w:bottom w:val="none" w:sz="0" w:space="0" w:color="auto"/>
        <w:right w:val="none" w:sz="0" w:space="0" w:color="auto"/>
      </w:divBdr>
    </w:div>
    <w:div w:id="1042830266">
      <w:bodyDiv w:val="1"/>
      <w:marLeft w:val="0"/>
      <w:marRight w:val="0"/>
      <w:marTop w:val="0"/>
      <w:marBottom w:val="0"/>
      <w:divBdr>
        <w:top w:val="none" w:sz="0" w:space="0" w:color="auto"/>
        <w:left w:val="none" w:sz="0" w:space="0" w:color="auto"/>
        <w:bottom w:val="none" w:sz="0" w:space="0" w:color="auto"/>
        <w:right w:val="none" w:sz="0" w:space="0" w:color="auto"/>
      </w:divBdr>
    </w:div>
    <w:div w:id="1583179275">
      <w:bodyDiv w:val="1"/>
      <w:marLeft w:val="0"/>
      <w:marRight w:val="0"/>
      <w:marTop w:val="0"/>
      <w:marBottom w:val="0"/>
      <w:divBdr>
        <w:top w:val="none" w:sz="0" w:space="0" w:color="auto"/>
        <w:left w:val="none" w:sz="0" w:space="0" w:color="auto"/>
        <w:bottom w:val="none" w:sz="0" w:space="0" w:color="auto"/>
        <w:right w:val="none" w:sz="0" w:space="0" w:color="auto"/>
      </w:divBdr>
    </w:div>
    <w:div w:id="172067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b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ucia.von.bredow@embl.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cretariat@cbd.int" TargetMode="External"/><Relationship Id="rId4" Type="http://schemas.openxmlformats.org/officeDocument/2006/relationships/webSettings" Target="webSettings.xml"/><Relationship Id="rId9" Type="http://schemas.openxmlformats.org/officeDocument/2006/relationships/hyperlink" Target="https://www.eusynbio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983</Words>
  <Characters>5604</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SCBD</Company>
  <LinksUpToDate>false</LinksUpToDate>
  <CharactersWithSpaces>6574</CharactersWithSpaces>
  <SharedDoc>false</SharedDoc>
  <HLinks>
    <vt:vector size="6" baseType="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annie cung</dc:creator>
  <cp:lastModifiedBy>Microsoft Office User</cp:lastModifiedBy>
  <cp:revision>5</cp:revision>
  <dcterms:created xsi:type="dcterms:W3CDTF">2021-06-15T14:30:00Z</dcterms:created>
  <dcterms:modified xsi:type="dcterms:W3CDTF">2021-06-15T16:00:00Z</dcterms:modified>
</cp:coreProperties>
</file>