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9E" w:rsidRDefault="00EE009E" w:rsidP="00EE009E">
      <w:pPr>
        <w:bidi/>
        <w:spacing w:after="0"/>
        <w:rPr>
          <w:rFonts w:ascii="Traditional Arabic" w:hAnsi="Traditional Arabic" w:cs="Traditional Arabic"/>
          <w:b/>
          <w:bCs/>
          <w:sz w:val="28"/>
          <w:szCs w:val="28"/>
          <w:rtl/>
        </w:rPr>
      </w:pPr>
    </w:p>
    <w:tbl>
      <w:tblPr>
        <w:tblStyle w:val="TableGrid"/>
        <w:bidiVisual/>
        <w:tblW w:w="10350" w:type="dxa"/>
        <w:tblInd w:w="-972" w:type="dxa"/>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Look w:val="04A0"/>
      </w:tblPr>
      <w:tblGrid>
        <w:gridCol w:w="228"/>
        <w:gridCol w:w="3113"/>
        <w:gridCol w:w="4252"/>
        <w:gridCol w:w="2700"/>
        <w:gridCol w:w="57"/>
      </w:tblGrid>
      <w:tr w:rsidR="002E0DE3" w:rsidTr="00667928">
        <w:trPr>
          <w:gridBefore w:val="1"/>
          <w:gridAfter w:val="1"/>
          <w:wBefore w:w="228" w:type="dxa"/>
          <w:wAfter w:w="57" w:type="dxa"/>
          <w:trHeight w:val="589"/>
        </w:trPr>
        <w:tc>
          <w:tcPr>
            <w:tcW w:w="3113" w:type="dxa"/>
            <w:vMerge w:val="restart"/>
            <w:tcBorders>
              <w:top w:val="nil"/>
              <w:left w:val="nil"/>
              <w:bottom w:val="nil"/>
              <w:right w:val="nil"/>
            </w:tcBorders>
            <w:hideMark/>
          </w:tcPr>
          <w:p w:rsidR="002E0DE3" w:rsidRDefault="002E0DE3" w:rsidP="00667928">
            <w:pPr>
              <w:bidi/>
              <w:spacing w:after="0"/>
              <w:jc w:val="center"/>
              <w:rPr>
                <w:rFonts w:cs="PT Bold Heading"/>
                <w:sz w:val="32"/>
                <w:szCs w:val="32"/>
              </w:rPr>
            </w:pPr>
            <w:r>
              <w:object w:dxaOrig="154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6.25pt" o:ole="">
                  <v:imagedata r:id="rId8" o:title=""/>
                </v:shape>
                <o:OLEObject Type="Embed" ProgID="PBrush" ShapeID="_x0000_i1025" DrawAspect="Content" ObjectID="_1578809320" r:id="rId9"/>
              </w:object>
            </w:r>
          </w:p>
        </w:tc>
        <w:tc>
          <w:tcPr>
            <w:tcW w:w="4252" w:type="dxa"/>
            <w:tcBorders>
              <w:top w:val="nil"/>
              <w:left w:val="nil"/>
              <w:bottom w:val="nil"/>
              <w:right w:val="nil"/>
            </w:tcBorders>
          </w:tcPr>
          <w:p w:rsidR="002E0DE3" w:rsidRDefault="0078496B" w:rsidP="00667928">
            <w:pPr>
              <w:bidi/>
              <w:spacing w:after="0"/>
              <w:jc w:val="center"/>
              <w:rPr>
                <w:rFonts w:cs="PT Bold Heading"/>
                <w:sz w:val="12"/>
                <w:szCs w:val="12"/>
                <w:rtl/>
              </w:rPr>
            </w:pPr>
            <w:r w:rsidRPr="0078496B">
              <w:rPr>
                <w:rtl/>
              </w:rPr>
              <w:pict>
                <v:shapetype id="_x0000_t202" coordsize="21600,21600" o:spt="202" path="m,l,21600r21600,l21600,xe">
                  <v:stroke joinstyle="miter"/>
                  <v:path gradientshapeok="t" o:connecttype="rect"/>
                </v:shapetype>
                <v:shape id="_x0000_s1030" type="#_x0000_t202" style="position:absolute;left:0;text-align:left;margin-left:21.25pt;margin-top:-28.4pt;width:141.85pt;height:32.45pt;z-index:251660288;mso-position-horizontal-relative:text;mso-position-vertical-relative:text;mso-width-relative:margin;mso-height-relative:margin" stroked="f" strokecolor="white [3212]" strokeweight="1.75pt">
                  <v:textbox style="mso-next-textbox:#_x0000_s1030">
                    <w:txbxContent>
                      <w:p w:rsidR="002E0DE3" w:rsidRDefault="002E0DE3" w:rsidP="002E0DE3">
                        <w:pPr>
                          <w:bidi/>
                          <w:jc w:val="center"/>
                        </w:pPr>
                        <w:r>
                          <w:rPr>
                            <w:rFonts w:cs="DecoType Naskh Extensions" w:hint="cs"/>
                            <w:sz w:val="28"/>
                            <w:szCs w:val="28"/>
                            <w:rtl/>
                          </w:rPr>
                          <w:t>بسم الله الرحمن الرحيم</w:t>
                        </w:r>
                      </w:p>
                    </w:txbxContent>
                  </v:textbox>
                </v:shape>
              </w:pict>
            </w:r>
          </w:p>
          <w:p w:rsidR="002E0DE3" w:rsidRDefault="002E0DE3" w:rsidP="00667928">
            <w:pPr>
              <w:bidi/>
              <w:spacing w:after="0"/>
              <w:jc w:val="center"/>
              <w:rPr>
                <w:rFonts w:cs="PT Bold Heading"/>
                <w:sz w:val="10"/>
                <w:szCs w:val="10"/>
              </w:rPr>
            </w:pPr>
          </w:p>
          <w:p w:rsidR="002E0DE3" w:rsidRDefault="002E0DE3" w:rsidP="00667928">
            <w:pPr>
              <w:bidi/>
              <w:spacing w:after="0"/>
              <w:jc w:val="center"/>
              <w:rPr>
                <w:rFonts w:cs="DecoType Naskh Extensions"/>
                <w:sz w:val="32"/>
                <w:szCs w:val="32"/>
              </w:rPr>
            </w:pPr>
            <w:r>
              <w:rPr>
                <w:rFonts w:cs="PT Bold Heading" w:hint="cs"/>
                <w:sz w:val="28"/>
                <w:szCs w:val="28"/>
                <w:rtl/>
              </w:rPr>
              <w:t>مجلس السلامة الأحيائية القومي</w:t>
            </w:r>
          </w:p>
        </w:tc>
        <w:tc>
          <w:tcPr>
            <w:tcW w:w="2700" w:type="dxa"/>
            <w:vMerge w:val="restart"/>
            <w:tcBorders>
              <w:top w:val="nil"/>
              <w:left w:val="nil"/>
              <w:bottom w:val="nil"/>
              <w:right w:val="nil"/>
            </w:tcBorders>
            <w:hideMark/>
          </w:tcPr>
          <w:p w:rsidR="002E0DE3" w:rsidRDefault="0078496B" w:rsidP="00667928">
            <w:pPr>
              <w:bidi/>
              <w:spacing w:after="0"/>
              <w:jc w:val="right"/>
              <w:rPr>
                <w:rFonts w:cs="PT Bold Heading"/>
                <w:sz w:val="32"/>
                <w:szCs w:val="32"/>
              </w:rPr>
            </w:pPr>
            <w:r w:rsidRPr="0078496B">
              <w:pict>
                <v:shape id="_x0000_s1031" type="#_x0000_t202" style="position:absolute;margin-left:105pt;margin-top:70.3pt;width:276.8pt;height:20.3pt;z-index:251661312;mso-position-horizontal-relative:text;mso-position-vertical-relative:text;mso-width-relative:margin;mso-height-relative:margin" stroked="f">
                  <v:textbox style="mso-next-textbox:#_x0000_s1031">
                    <w:txbxContent>
                      <w:p w:rsidR="002E0DE3" w:rsidRDefault="002E0DE3" w:rsidP="002E0DE3">
                        <w:pPr>
                          <w:bidi/>
                          <w:rPr>
                            <w:sz w:val="20"/>
                            <w:szCs w:val="20"/>
                          </w:rPr>
                        </w:pPr>
                        <w:r>
                          <w:rPr>
                            <w:sz w:val="20"/>
                            <w:szCs w:val="20"/>
                          </w:rPr>
                          <w:t xml:space="preserve">Cell Phone: +249912828951         E-mail: </w:t>
                        </w:r>
                        <w:hyperlink r:id="rId10" w:history="1">
                          <w:r>
                            <w:rPr>
                              <w:rStyle w:val="Hyperlink"/>
                              <w:sz w:val="20"/>
                              <w:szCs w:val="20"/>
                            </w:rPr>
                            <w:t>Sg.sbsa@hotmail.com</w:t>
                          </w:r>
                        </w:hyperlink>
                      </w:p>
                      <w:p w:rsidR="002E0DE3" w:rsidRDefault="002E0DE3" w:rsidP="002E0DE3">
                        <w:pPr>
                          <w:bidi/>
                          <w:rPr>
                            <w:sz w:val="20"/>
                            <w:szCs w:val="20"/>
                          </w:rPr>
                        </w:pPr>
                      </w:p>
                    </w:txbxContent>
                  </v:textbox>
                </v:shape>
              </w:pict>
            </w:r>
            <w:r w:rsidR="002E0DE3">
              <w:rPr>
                <w:rFonts w:cs="PT Bold Heading"/>
                <w:noProof/>
                <w:sz w:val="32"/>
                <w:szCs w:val="32"/>
                <w:lang w:eastAsia="en-US"/>
              </w:rPr>
              <w:drawing>
                <wp:inline distT="0" distB="0" distL="0" distR="0">
                  <wp:extent cx="117157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71575" cy="1133475"/>
                          </a:xfrm>
                          <a:prstGeom prst="rect">
                            <a:avLst/>
                          </a:prstGeom>
                          <a:noFill/>
                          <a:ln w="9525">
                            <a:noFill/>
                            <a:miter lim="800000"/>
                            <a:headEnd/>
                            <a:tailEnd/>
                          </a:ln>
                        </pic:spPr>
                      </pic:pic>
                    </a:graphicData>
                  </a:graphic>
                </wp:inline>
              </w:drawing>
            </w:r>
          </w:p>
        </w:tc>
      </w:tr>
      <w:tr w:rsidR="002E0DE3" w:rsidTr="00667928">
        <w:trPr>
          <w:gridBefore w:val="1"/>
          <w:gridAfter w:val="1"/>
          <w:wBefore w:w="228" w:type="dxa"/>
          <w:wAfter w:w="57" w:type="dxa"/>
        </w:trPr>
        <w:tc>
          <w:tcPr>
            <w:tcW w:w="0" w:type="auto"/>
            <w:vMerge/>
            <w:tcBorders>
              <w:top w:val="nil"/>
              <w:left w:val="nil"/>
              <w:bottom w:val="nil"/>
              <w:right w:val="nil"/>
            </w:tcBorders>
            <w:vAlign w:val="center"/>
            <w:hideMark/>
          </w:tcPr>
          <w:p w:rsidR="002E0DE3" w:rsidRDefault="002E0DE3" w:rsidP="00667928">
            <w:pPr>
              <w:spacing w:after="0"/>
              <w:rPr>
                <w:rFonts w:cs="PT Bold Heading"/>
                <w:sz w:val="32"/>
                <w:szCs w:val="32"/>
              </w:rPr>
            </w:pPr>
          </w:p>
        </w:tc>
        <w:tc>
          <w:tcPr>
            <w:tcW w:w="4252" w:type="dxa"/>
            <w:tcBorders>
              <w:top w:val="nil"/>
              <w:left w:val="nil"/>
              <w:bottom w:val="nil"/>
              <w:right w:val="nil"/>
            </w:tcBorders>
            <w:hideMark/>
          </w:tcPr>
          <w:p w:rsidR="002E0DE3" w:rsidRDefault="002E0DE3" w:rsidP="00667928">
            <w:pPr>
              <w:bidi/>
              <w:spacing w:after="0"/>
              <w:jc w:val="center"/>
              <w:rPr>
                <w:rFonts w:cs="DecoType Thuluth"/>
                <w:b/>
                <w:bCs/>
                <w:sz w:val="40"/>
                <w:szCs w:val="40"/>
              </w:rPr>
            </w:pPr>
            <w:r>
              <w:rPr>
                <w:rFonts w:cs="DecoType Thuluth" w:hint="cs"/>
                <w:b/>
                <w:bCs/>
                <w:sz w:val="36"/>
                <w:szCs w:val="36"/>
                <w:rtl/>
              </w:rPr>
              <w:t>الأمانة العامة</w:t>
            </w:r>
          </w:p>
        </w:tc>
        <w:tc>
          <w:tcPr>
            <w:tcW w:w="0" w:type="auto"/>
            <w:vMerge/>
            <w:tcBorders>
              <w:top w:val="nil"/>
              <w:left w:val="nil"/>
              <w:bottom w:val="nil"/>
              <w:right w:val="nil"/>
            </w:tcBorders>
            <w:vAlign w:val="center"/>
            <w:hideMark/>
          </w:tcPr>
          <w:p w:rsidR="002E0DE3" w:rsidRDefault="002E0DE3" w:rsidP="00667928">
            <w:pPr>
              <w:spacing w:after="0"/>
              <w:rPr>
                <w:rFonts w:cs="PT Bold Heading"/>
                <w:sz w:val="32"/>
                <w:szCs w:val="32"/>
              </w:rPr>
            </w:pPr>
          </w:p>
        </w:tc>
      </w:tr>
      <w:tr w:rsidR="002E0DE3" w:rsidTr="00667928">
        <w:trPr>
          <w:trHeight w:val="27"/>
        </w:trPr>
        <w:tc>
          <w:tcPr>
            <w:tcW w:w="10350" w:type="dxa"/>
            <w:gridSpan w:val="5"/>
            <w:tcBorders>
              <w:top w:val="nil"/>
              <w:left w:val="nil"/>
              <w:bottom w:val="thinThickThinSmallGap" w:sz="24" w:space="0" w:color="auto"/>
              <w:right w:val="nil"/>
            </w:tcBorders>
          </w:tcPr>
          <w:p w:rsidR="002E0DE3" w:rsidRDefault="002E0DE3" w:rsidP="00667928">
            <w:pPr>
              <w:bidi/>
              <w:spacing w:after="0"/>
              <w:jc w:val="center"/>
              <w:rPr>
                <w:rFonts w:ascii="Arabic Typesetting" w:hAnsi="Arabic Typesetting" w:cs="Arabic Typesetting"/>
                <w:b/>
                <w:bCs/>
                <w:sz w:val="2"/>
                <w:szCs w:val="2"/>
              </w:rPr>
            </w:pPr>
          </w:p>
        </w:tc>
      </w:tr>
    </w:tbl>
    <w:p w:rsidR="004159ED" w:rsidRPr="00676D65" w:rsidRDefault="004159ED" w:rsidP="004159ED">
      <w:pPr>
        <w:jc w:val="center"/>
        <w:rPr>
          <w:rFonts w:ascii="Georgia" w:eastAsia="Times New Roman" w:hAnsi="Georgia" w:cs="Times New Roman"/>
          <w:b/>
          <w:bCs/>
          <w:color w:val="0C3F4D"/>
          <w:sz w:val="42"/>
          <w:szCs w:val="42"/>
        </w:rPr>
      </w:pPr>
      <w:r w:rsidRPr="00676D65">
        <w:rPr>
          <w:rFonts w:ascii="Georgia" w:eastAsia="Times New Roman" w:hAnsi="Georgia" w:cs="Times New Roman"/>
          <w:b/>
          <w:bCs/>
          <w:color w:val="0C3F4D"/>
          <w:sz w:val="42"/>
          <w:szCs w:val="42"/>
        </w:rPr>
        <w:t>Sudan importing living modified organisms under the Cartagena Protocol on Biosafety</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The Imports and Exports (Living Modified Organisms) Prohibition Order 2005 (the Prohibition Order) was passed to enable Sudan to comply with its obligations under the protocol.</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Imports must obtain authorization from the Sudan National Biosafety Council before any living modified organism (LMO) can be imported to Sudan. Anyone who imports an LMO without getting the necessary approval is breaking the law.</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imports of LMOs will only be approved subject to certain conditions. These conditions include appropriate labeling, handling and packaging.</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Different requirements apply depending on the intended use of the import LMO in the country of export (eg, whether it is intended for use in containment, to be processed, or for release to the environment). The most stringent requirements will be placed on the imports of LMOs intended for release to the environment. This includes risk assessments and prior approval from the country.</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Information required for LMO imports</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For LMOs that are intended for contained use in the country, the law requires documentation that:</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clearly identifies the organism as an LMO</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explains how to handle, store, transport and use safely</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Provides relevant contact details.</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For LMOs intended for direct use as food, feed or for processing in the country, the law requires documentation that:</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States that the shipment 'may contain' LMOs that are not intended for release into the environment</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lastRenderedPageBreak/>
        <w:t>•</w:t>
      </w:r>
      <w:r w:rsidRPr="00421DF9">
        <w:rPr>
          <w:rFonts w:asciiTheme="majorBidi" w:eastAsia="Times New Roman" w:hAnsiTheme="majorBidi" w:cstheme="majorBidi"/>
          <w:color w:val="0C3F4D"/>
          <w:sz w:val="28"/>
          <w:szCs w:val="28"/>
        </w:rPr>
        <w:tab/>
        <w:t>Provides a contact point for further information.</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clearly identifies the LMO, including its relevant traits or characteristics</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explains how to handle, store, transport and use it safely</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provides relevant contact details</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Provides a declaration that the shipment conforms to the requirements of the protocol.</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explains how to handle, store, transport and use it safely</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provides relevant contact details</w:t>
      </w:r>
    </w:p>
    <w:p w:rsidR="004159ED" w:rsidRPr="00421DF9" w:rsidRDefault="004159ED" w:rsidP="004159ED">
      <w:pPr>
        <w:rPr>
          <w:rFonts w:asciiTheme="majorBidi" w:eastAsia="Times New Roman" w:hAnsiTheme="majorBidi" w:cstheme="majorBidi"/>
          <w:color w:val="0C3F4D"/>
          <w:sz w:val="28"/>
          <w:szCs w:val="28"/>
        </w:rPr>
      </w:pPr>
      <w:r w:rsidRPr="00421DF9">
        <w:rPr>
          <w:rFonts w:asciiTheme="majorBidi" w:eastAsia="Times New Roman" w:hAnsiTheme="majorBidi" w:cstheme="majorBidi"/>
          <w:color w:val="0C3F4D"/>
          <w:sz w:val="28"/>
          <w:szCs w:val="28"/>
        </w:rPr>
        <w:t>•</w:t>
      </w:r>
      <w:r w:rsidRPr="00421DF9">
        <w:rPr>
          <w:rFonts w:asciiTheme="majorBidi" w:eastAsia="Times New Roman" w:hAnsiTheme="majorBidi" w:cstheme="majorBidi"/>
          <w:color w:val="0C3F4D"/>
          <w:sz w:val="28"/>
          <w:szCs w:val="28"/>
        </w:rPr>
        <w:tab/>
        <w:t>Provides a declaration that the shipment conforms to the requirements of the protocol.</w:t>
      </w:r>
    </w:p>
    <w:p w:rsidR="004159ED" w:rsidRPr="00421DF9" w:rsidRDefault="004159ED" w:rsidP="004159ED">
      <w:pPr>
        <w:rPr>
          <w:rFonts w:asciiTheme="majorBidi" w:hAnsiTheme="majorBidi" w:cstheme="majorBidi"/>
          <w:sz w:val="28"/>
          <w:szCs w:val="28"/>
        </w:rPr>
      </w:pPr>
    </w:p>
    <w:p w:rsidR="00146E53" w:rsidRPr="004159ED" w:rsidRDefault="00146E53" w:rsidP="004159ED">
      <w:pPr>
        <w:bidi/>
        <w:spacing w:after="0"/>
        <w:jc w:val="both"/>
        <w:rPr>
          <w:rFonts w:ascii="Traditional Arabic" w:hAnsi="Traditional Arabic" w:cs="Traditional Arabic"/>
          <w:b/>
          <w:bCs/>
          <w:sz w:val="28"/>
          <w:szCs w:val="28"/>
        </w:rPr>
      </w:pPr>
    </w:p>
    <w:sectPr w:rsidR="00146E53" w:rsidRPr="004159ED" w:rsidSect="00B1398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8C" w:rsidRDefault="00F4358C" w:rsidP="00A03208">
      <w:pPr>
        <w:spacing w:after="0"/>
      </w:pPr>
      <w:r>
        <w:separator/>
      </w:r>
    </w:p>
  </w:endnote>
  <w:endnote w:type="continuationSeparator" w:id="1">
    <w:p w:rsidR="00F4358C" w:rsidRDefault="00F4358C" w:rsidP="00A032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Times New Roman"/>
    <w:charset w:val="B2"/>
    <w:family w:val="auto"/>
    <w:pitch w:val="variable"/>
    <w:sig w:usb0="00002000" w:usb1="00000000" w:usb2="00000000" w:usb3="00000000" w:csb0="00000040" w:csb1="00000000"/>
  </w:font>
  <w:font w:name="DecoType Naskh Extensions">
    <w:altName w:val="Times New Roman"/>
    <w:charset w:val="B2"/>
    <w:family w:val="auto"/>
    <w:pitch w:val="variable"/>
    <w:sig w:usb0="00002000" w:usb1="80000000" w:usb2="00000008" w:usb3="00000000" w:csb0="00000040" w:csb1="00000000"/>
  </w:font>
  <w:font w:name="DecoType Thuluth">
    <w:altName w:val="Times New Roman"/>
    <w:charset w:val="B2"/>
    <w:family w:val="auto"/>
    <w:pitch w:val="variable"/>
    <w:sig w:usb0="00002000"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8C" w:rsidRDefault="00F4358C" w:rsidP="00A03208">
      <w:pPr>
        <w:spacing w:after="0"/>
      </w:pPr>
      <w:r>
        <w:separator/>
      </w:r>
    </w:p>
  </w:footnote>
  <w:footnote w:type="continuationSeparator" w:id="1">
    <w:p w:rsidR="00F4358C" w:rsidRDefault="00F4358C" w:rsidP="00A032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42A"/>
    <w:multiLevelType w:val="hybridMultilevel"/>
    <w:tmpl w:val="35BE2638"/>
    <w:lvl w:ilvl="0" w:tplc="B4A834DC">
      <w:start w:val="1"/>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28FF"/>
    <w:multiLevelType w:val="hybridMultilevel"/>
    <w:tmpl w:val="890E3EB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73E2"/>
    <w:multiLevelType w:val="hybridMultilevel"/>
    <w:tmpl w:val="A2E2474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1671134B"/>
    <w:multiLevelType w:val="hybridMultilevel"/>
    <w:tmpl w:val="7AFA45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85A07"/>
    <w:multiLevelType w:val="hybridMultilevel"/>
    <w:tmpl w:val="55CA83C0"/>
    <w:lvl w:ilvl="0" w:tplc="EF30C3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A96A25"/>
    <w:multiLevelType w:val="hybridMultilevel"/>
    <w:tmpl w:val="5B785DC0"/>
    <w:lvl w:ilvl="0" w:tplc="73EA533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nsid w:val="329542C0"/>
    <w:multiLevelType w:val="hybridMultilevel"/>
    <w:tmpl w:val="178C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16296"/>
    <w:multiLevelType w:val="hybridMultilevel"/>
    <w:tmpl w:val="7AFA45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C4413"/>
    <w:multiLevelType w:val="hybridMultilevel"/>
    <w:tmpl w:val="890E3EB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1EEF"/>
    <w:rsid w:val="00023591"/>
    <w:rsid w:val="0004297E"/>
    <w:rsid w:val="000C1D4F"/>
    <w:rsid w:val="000D3968"/>
    <w:rsid w:val="00117E15"/>
    <w:rsid w:val="00125E76"/>
    <w:rsid w:val="0012608D"/>
    <w:rsid w:val="00146E53"/>
    <w:rsid w:val="00154669"/>
    <w:rsid w:val="001A4D3C"/>
    <w:rsid w:val="001E0A35"/>
    <w:rsid w:val="002177F0"/>
    <w:rsid w:val="00251DA1"/>
    <w:rsid w:val="00257614"/>
    <w:rsid w:val="002838CE"/>
    <w:rsid w:val="002A5891"/>
    <w:rsid w:val="002B078F"/>
    <w:rsid w:val="002D7C3F"/>
    <w:rsid w:val="002E0DE3"/>
    <w:rsid w:val="002E3C45"/>
    <w:rsid w:val="002E6F38"/>
    <w:rsid w:val="002E7024"/>
    <w:rsid w:val="002F5A81"/>
    <w:rsid w:val="003456B8"/>
    <w:rsid w:val="003A7BBB"/>
    <w:rsid w:val="003D23A4"/>
    <w:rsid w:val="004159ED"/>
    <w:rsid w:val="00433936"/>
    <w:rsid w:val="0043451B"/>
    <w:rsid w:val="004613FC"/>
    <w:rsid w:val="004815A4"/>
    <w:rsid w:val="00494CE1"/>
    <w:rsid w:val="004B69A0"/>
    <w:rsid w:val="004C7E44"/>
    <w:rsid w:val="004F5950"/>
    <w:rsid w:val="005321B0"/>
    <w:rsid w:val="00556B72"/>
    <w:rsid w:val="00557585"/>
    <w:rsid w:val="00590639"/>
    <w:rsid w:val="00593493"/>
    <w:rsid w:val="005F7581"/>
    <w:rsid w:val="0063772A"/>
    <w:rsid w:val="00644403"/>
    <w:rsid w:val="00644C73"/>
    <w:rsid w:val="006A5B42"/>
    <w:rsid w:val="006C565D"/>
    <w:rsid w:val="006C73DB"/>
    <w:rsid w:val="00713DAD"/>
    <w:rsid w:val="007170FC"/>
    <w:rsid w:val="007242A0"/>
    <w:rsid w:val="00724442"/>
    <w:rsid w:val="00761D34"/>
    <w:rsid w:val="00771B6F"/>
    <w:rsid w:val="0078496B"/>
    <w:rsid w:val="007C394E"/>
    <w:rsid w:val="007C7A0D"/>
    <w:rsid w:val="007D1C9D"/>
    <w:rsid w:val="007E3689"/>
    <w:rsid w:val="007E7D2C"/>
    <w:rsid w:val="00826ADE"/>
    <w:rsid w:val="00844374"/>
    <w:rsid w:val="0087437B"/>
    <w:rsid w:val="00874597"/>
    <w:rsid w:val="00880805"/>
    <w:rsid w:val="008833FE"/>
    <w:rsid w:val="0089276D"/>
    <w:rsid w:val="008A1EEF"/>
    <w:rsid w:val="008C13E9"/>
    <w:rsid w:val="008D37F0"/>
    <w:rsid w:val="008E7B09"/>
    <w:rsid w:val="0092726E"/>
    <w:rsid w:val="00943609"/>
    <w:rsid w:val="00955B43"/>
    <w:rsid w:val="0097576D"/>
    <w:rsid w:val="00975943"/>
    <w:rsid w:val="00997292"/>
    <w:rsid w:val="00A03208"/>
    <w:rsid w:val="00A42AFE"/>
    <w:rsid w:val="00A46994"/>
    <w:rsid w:val="00AA522F"/>
    <w:rsid w:val="00AB6D29"/>
    <w:rsid w:val="00AB7A92"/>
    <w:rsid w:val="00B015AD"/>
    <w:rsid w:val="00B13982"/>
    <w:rsid w:val="00B44ABF"/>
    <w:rsid w:val="00B74276"/>
    <w:rsid w:val="00B75B4D"/>
    <w:rsid w:val="00B82529"/>
    <w:rsid w:val="00BF0FCB"/>
    <w:rsid w:val="00C23DB4"/>
    <w:rsid w:val="00C51188"/>
    <w:rsid w:val="00C71A2B"/>
    <w:rsid w:val="00C808DC"/>
    <w:rsid w:val="00C859D3"/>
    <w:rsid w:val="00C91AF5"/>
    <w:rsid w:val="00CA378A"/>
    <w:rsid w:val="00CD1DB1"/>
    <w:rsid w:val="00CD1F6B"/>
    <w:rsid w:val="00D05D6B"/>
    <w:rsid w:val="00D12970"/>
    <w:rsid w:val="00D40DBF"/>
    <w:rsid w:val="00D846C1"/>
    <w:rsid w:val="00DA42EC"/>
    <w:rsid w:val="00DA6EB8"/>
    <w:rsid w:val="00DF2310"/>
    <w:rsid w:val="00DF7689"/>
    <w:rsid w:val="00DF7B70"/>
    <w:rsid w:val="00E069CB"/>
    <w:rsid w:val="00E32FAC"/>
    <w:rsid w:val="00E366DB"/>
    <w:rsid w:val="00E40324"/>
    <w:rsid w:val="00E702D9"/>
    <w:rsid w:val="00EB3AF8"/>
    <w:rsid w:val="00EE009E"/>
    <w:rsid w:val="00EE4EDA"/>
    <w:rsid w:val="00EE6B0F"/>
    <w:rsid w:val="00F13F6F"/>
    <w:rsid w:val="00F4358C"/>
    <w:rsid w:val="00F613BB"/>
    <w:rsid w:val="00F70ACF"/>
    <w:rsid w:val="00FA2AF7"/>
    <w:rsid w:val="00FB0A98"/>
    <w:rsid w:val="00FB18DD"/>
    <w:rsid w:val="00FD2C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EF"/>
    <w:pPr>
      <w:spacing w:after="12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EEF"/>
    <w:rPr>
      <w:color w:val="0000FF" w:themeColor="hyperlink"/>
      <w:u w:val="single"/>
    </w:rPr>
  </w:style>
  <w:style w:type="paragraph" w:styleId="ListParagraph">
    <w:name w:val="List Paragraph"/>
    <w:basedOn w:val="Normal"/>
    <w:uiPriority w:val="34"/>
    <w:qFormat/>
    <w:rsid w:val="008A1EEF"/>
    <w:pPr>
      <w:ind w:left="720"/>
      <w:contextualSpacing/>
    </w:pPr>
  </w:style>
  <w:style w:type="table" w:styleId="TableGrid">
    <w:name w:val="Table Grid"/>
    <w:basedOn w:val="TableNormal"/>
    <w:uiPriority w:val="59"/>
    <w:rsid w:val="008A1EEF"/>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E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EF"/>
    <w:rPr>
      <w:rFonts w:ascii="Tahoma" w:eastAsiaTheme="minorEastAsia" w:hAnsi="Tahoma" w:cs="Tahoma"/>
      <w:sz w:val="16"/>
      <w:szCs w:val="16"/>
      <w:lang w:eastAsia="zh-CN"/>
    </w:rPr>
  </w:style>
  <w:style w:type="paragraph" w:styleId="Header">
    <w:name w:val="header"/>
    <w:basedOn w:val="Normal"/>
    <w:link w:val="HeaderChar"/>
    <w:uiPriority w:val="99"/>
    <w:semiHidden/>
    <w:unhideWhenUsed/>
    <w:rsid w:val="00A03208"/>
    <w:pPr>
      <w:tabs>
        <w:tab w:val="center" w:pos="4680"/>
        <w:tab w:val="right" w:pos="9360"/>
      </w:tabs>
      <w:spacing w:after="0"/>
    </w:pPr>
  </w:style>
  <w:style w:type="character" w:customStyle="1" w:styleId="HeaderChar">
    <w:name w:val="Header Char"/>
    <w:basedOn w:val="DefaultParagraphFont"/>
    <w:link w:val="Header"/>
    <w:uiPriority w:val="99"/>
    <w:semiHidden/>
    <w:rsid w:val="00A03208"/>
    <w:rPr>
      <w:rFonts w:eastAsiaTheme="minorEastAsia"/>
      <w:lang w:eastAsia="zh-CN"/>
    </w:rPr>
  </w:style>
  <w:style w:type="paragraph" w:styleId="Footer">
    <w:name w:val="footer"/>
    <w:basedOn w:val="Normal"/>
    <w:link w:val="FooterChar"/>
    <w:uiPriority w:val="99"/>
    <w:semiHidden/>
    <w:unhideWhenUsed/>
    <w:rsid w:val="00A03208"/>
    <w:pPr>
      <w:tabs>
        <w:tab w:val="center" w:pos="4680"/>
        <w:tab w:val="right" w:pos="9360"/>
      </w:tabs>
      <w:spacing w:after="0"/>
    </w:pPr>
  </w:style>
  <w:style w:type="character" w:customStyle="1" w:styleId="FooterChar">
    <w:name w:val="Footer Char"/>
    <w:basedOn w:val="DefaultParagraphFont"/>
    <w:link w:val="Footer"/>
    <w:uiPriority w:val="99"/>
    <w:semiHidden/>
    <w:rsid w:val="00A03208"/>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divs>
    <w:div w:id="11822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g.sbsa@hot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ED4E-10D6-4995-A828-A92E449F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Nazik</cp:lastModifiedBy>
  <cp:revision>56</cp:revision>
  <cp:lastPrinted>2018-01-04T10:53:00Z</cp:lastPrinted>
  <dcterms:created xsi:type="dcterms:W3CDTF">2015-11-02T05:42:00Z</dcterms:created>
  <dcterms:modified xsi:type="dcterms:W3CDTF">2018-01-30T07:22:00Z</dcterms:modified>
</cp:coreProperties>
</file>