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307F1" w14:textId="77777777" w:rsidR="00B534D3" w:rsidRPr="00B534D3" w:rsidRDefault="00B534D3" w:rsidP="00B534D3">
      <w:pPr>
        <w:pStyle w:val="PlainText"/>
        <w:rPr>
          <w:b/>
          <w:sz w:val="28"/>
          <w:szCs w:val="28"/>
          <w:lang w:val="en-CA"/>
        </w:rPr>
      </w:pPr>
      <w:r w:rsidRPr="00B534D3">
        <w:rPr>
          <w:b/>
          <w:sz w:val="28"/>
          <w:szCs w:val="28"/>
          <w:lang w:val="en-CA"/>
        </w:rPr>
        <w:t>Information of the Netherlands</w:t>
      </w:r>
    </w:p>
    <w:p w14:paraId="37954DA3" w14:textId="77777777" w:rsidR="00665E8D" w:rsidRPr="00665E8D" w:rsidRDefault="00665E8D" w:rsidP="00665E8D">
      <w:pPr>
        <w:pStyle w:val="PlainText"/>
        <w:rPr>
          <w:b/>
          <w:sz w:val="28"/>
          <w:szCs w:val="28"/>
          <w:lang w:val="en-US" w:eastAsia="nl-NL"/>
        </w:rPr>
      </w:pPr>
      <w:r w:rsidRPr="00665E8D">
        <w:rPr>
          <w:b/>
          <w:sz w:val="28"/>
          <w:szCs w:val="28"/>
          <w:lang w:val="en-US" w:eastAsia="nl-NL"/>
        </w:rPr>
        <w:t>CBD Notification 2018-103 - Submission of information on synthetic biology</w:t>
      </w:r>
    </w:p>
    <w:p w14:paraId="4DFA5001" w14:textId="77777777" w:rsidR="00665E8D" w:rsidRDefault="00665E8D" w:rsidP="00665E8D">
      <w:pPr>
        <w:pStyle w:val="PlainText"/>
        <w:rPr>
          <w:lang w:val="en-CA"/>
        </w:rPr>
      </w:pPr>
    </w:p>
    <w:p w14:paraId="16DC0D82" w14:textId="77777777" w:rsidR="00665E8D" w:rsidRDefault="00665E8D" w:rsidP="00665E8D">
      <w:pPr>
        <w:pStyle w:val="PlainText"/>
        <w:rPr>
          <w:lang w:val="en-CA"/>
        </w:rPr>
      </w:pPr>
      <w:r>
        <w:rPr>
          <w:lang w:val="en-CA"/>
        </w:rPr>
        <w:t>The C</w:t>
      </w:r>
      <w:r w:rsidR="00D75BDE">
        <w:rPr>
          <w:lang w:val="en-CA"/>
        </w:rPr>
        <w:t>onference of the Parties invites</w:t>
      </w:r>
      <w:r>
        <w:rPr>
          <w:lang w:val="en-CA"/>
        </w:rPr>
        <w:t xml:space="preserve"> Parties, other Governments, indigenous peoples and local communities, and relevant organizations to provide the Executive Secretary with relevant information to contribute to the work of the AHTEG, namely on: </w:t>
      </w:r>
    </w:p>
    <w:p w14:paraId="12FEF139" w14:textId="77777777" w:rsidR="00665E8D" w:rsidRDefault="00665E8D" w:rsidP="00665E8D">
      <w:pPr>
        <w:pStyle w:val="PlainText"/>
        <w:rPr>
          <w:lang w:val="en-CA"/>
        </w:rPr>
      </w:pPr>
      <w:r>
        <w:rPr>
          <w:lang w:val="en-CA"/>
        </w:rPr>
        <w:t> </w:t>
      </w:r>
    </w:p>
    <w:p w14:paraId="5978C5A3" w14:textId="77777777" w:rsidR="00665E8D" w:rsidRPr="00C87859" w:rsidRDefault="00665E8D" w:rsidP="00665E8D">
      <w:pPr>
        <w:pStyle w:val="PlainText"/>
        <w:rPr>
          <w:b/>
          <w:lang w:val="en-CA"/>
        </w:rPr>
      </w:pPr>
      <w:r w:rsidRPr="00C87859">
        <w:rPr>
          <w:b/>
          <w:lang w:val="en-CA"/>
        </w:rPr>
        <w:t>(a)          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SBSTTA/22/INF/17;</w:t>
      </w:r>
    </w:p>
    <w:p w14:paraId="0942E552" w14:textId="77777777" w:rsidR="00C87859" w:rsidRPr="00C87859" w:rsidRDefault="00665E8D" w:rsidP="00C87859">
      <w:pPr>
        <w:pStyle w:val="Para1"/>
        <w:numPr>
          <w:ilvl w:val="0"/>
          <w:numId w:val="0"/>
        </w:numPr>
        <w:tabs>
          <w:tab w:val="num" w:pos="720"/>
        </w:tabs>
        <w:adjustRightInd w:val="0"/>
        <w:snapToGrid w:val="0"/>
        <w:rPr>
          <w:b/>
          <w:kern w:val="22"/>
        </w:rPr>
      </w:pPr>
      <w:r w:rsidRPr="00C87859">
        <w:rPr>
          <w:b/>
          <w:lang w:val="en-C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36"/>
        <w:gridCol w:w="7151"/>
        <w:gridCol w:w="1480"/>
      </w:tblGrid>
      <w:tr w:rsidR="00240F80" w:rsidRPr="00B534D3" w14:paraId="02C93C72" w14:textId="77777777" w:rsidTr="000923E4">
        <w:tc>
          <w:tcPr>
            <w:tcW w:w="675" w:type="dxa"/>
            <w:gridSpan w:val="2"/>
            <w:shd w:val="clear" w:color="auto" w:fill="A6A6A6"/>
          </w:tcPr>
          <w:p w14:paraId="66642BDD" w14:textId="77777777" w:rsidR="00C87859" w:rsidRPr="00C87859" w:rsidRDefault="00C87859" w:rsidP="00C87859">
            <w:pPr>
              <w:spacing w:before="120" w:after="120"/>
              <w:jc w:val="center"/>
              <w:rPr>
                <w:rFonts w:ascii="Times New Roman" w:eastAsia="Times New Roman" w:hAnsi="Times New Roman" w:cs="Times New Roman"/>
                <w:b/>
                <w:iCs/>
                <w:szCs w:val="24"/>
                <w:lang w:val="en-GB"/>
              </w:rPr>
            </w:pPr>
          </w:p>
        </w:tc>
        <w:tc>
          <w:tcPr>
            <w:tcW w:w="7371" w:type="dxa"/>
            <w:shd w:val="clear" w:color="auto" w:fill="A6A6A6"/>
          </w:tcPr>
          <w:p w14:paraId="2BF3BC84" w14:textId="77777777" w:rsidR="00C87859" w:rsidRPr="00C87859" w:rsidRDefault="00C87859" w:rsidP="00C87859">
            <w:pPr>
              <w:spacing w:before="120" w:after="120"/>
              <w:jc w:val="center"/>
              <w:rPr>
                <w:rFonts w:ascii="Times New Roman" w:eastAsia="Times New Roman" w:hAnsi="Times New Roman" w:cs="Times New Roman"/>
                <w:b/>
                <w:iCs/>
                <w:szCs w:val="24"/>
                <w:lang w:val="en-GB"/>
              </w:rPr>
            </w:pPr>
          </w:p>
        </w:tc>
        <w:tc>
          <w:tcPr>
            <w:tcW w:w="1530" w:type="dxa"/>
            <w:shd w:val="clear" w:color="auto" w:fill="A6A6A6"/>
          </w:tcPr>
          <w:p w14:paraId="4093D7C3" w14:textId="77777777" w:rsidR="00C87859" w:rsidRPr="00C87859" w:rsidRDefault="00C87859" w:rsidP="00C87859">
            <w:pPr>
              <w:spacing w:before="120" w:after="120"/>
              <w:jc w:val="center"/>
              <w:rPr>
                <w:rFonts w:ascii="Times New Roman" w:eastAsia="Times New Roman" w:hAnsi="Times New Roman" w:cs="Times New Roman"/>
                <w:b/>
                <w:iCs/>
                <w:szCs w:val="24"/>
                <w:lang w:val="en-GB"/>
              </w:rPr>
            </w:pPr>
          </w:p>
        </w:tc>
      </w:tr>
      <w:tr w:rsidR="00C87859" w:rsidRPr="00B534D3" w14:paraId="63845CF4" w14:textId="77777777" w:rsidTr="000923E4">
        <w:tc>
          <w:tcPr>
            <w:tcW w:w="9576" w:type="dxa"/>
            <w:gridSpan w:val="4"/>
            <w:shd w:val="clear" w:color="auto" w:fill="D9D9D9"/>
          </w:tcPr>
          <w:p w14:paraId="7D208467" w14:textId="77777777" w:rsidR="00C87859" w:rsidRPr="00C87859" w:rsidRDefault="00C87859" w:rsidP="00C87859">
            <w:pPr>
              <w:spacing w:before="120" w:after="120"/>
              <w:rPr>
                <w:rFonts w:ascii="Times New Roman" w:eastAsia="Times New Roman" w:hAnsi="Times New Roman" w:cs="Times New Roman"/>
                <w:i/>
                <w:iCs/>
                <w:szCs w:val="24"/>
                <w:lang w:val="en-GB"/>
              </w:rPr>
            </w:pPr>
            <w:r w:rsidRPr="00C87859">
              <w:rPr>
                <w:rFonts w:ascii="Times New Roman" w:eastAsia="Times New Roman" w:hAnsi="Times New Roman" w:cs="Times New Roman"/>
                <w:i/>
                <w:iCs/>
                <w:szCs w:val="24"/>
                <w:lang w:val="en-GB"/>
              </w:rPr>
              <w:t>Criterion 1: Relevance of the issue to the implementation of the objectives of the Convention and its existing programmes of work</w:t>
            </w:r>
          </w:p>
        </w:tc>
      </w:tr>
      <w:tr w:rsidR="00C105B6" w:rsidRPr="00B534D3" w14:paraId="78C43B1D" w14:textId="77777777" w:rsidTr="000923E4">
        <w:tc>
          <w:tcPr>
            <w:tcW w:w="675" w:type="dxa"/>
            <w:gridSpan w:val="2"/>
          </w:tcPr>
          <w:p w14:paraId="67EEDF05" w14:textId="77777777" w:rsidR="00C87859" w:rsidRPr="00C87859" w:rsidRDefault="00C87859" w:rsidP="00C87859">
            <w:pPr>
              <w:spacing w:before="120" w:after="120"/>
              <w:jc w:val="center"/>
              <w:rPr>
                <w:rFonts w:ascii="Times New Roman" w:eastAsia="Times New Roman" w:hAnsi="Times New Roman" w:cs="Times New Roman"/>
                <w:iCs/>
                <w:kern w:val="22"/>
                <w:szCs w:val="24"/>
                <w:lang w:val="en-GB"/>
              </w:rPr>
            </w:pPr>
          </w:p>
        </w:tc>
        <w:tc>
          <w:tcPr>
            <w:tcW w:w="7371" w:type="dxa"/>
            <w:shd w:val="clear" w:color="auto" w:fill="auto"/>
          </w:tcPr>
          <w:p w14:paraId="51EEAF9D" w14:textId="77777777" w:rsidR="00C87859" w:rsidRPr="002C3584" w:rsidRDefault="006F455C" w:rsidP="00266D4F">
            <w:pPr>
              <w:spacing w:before="120" w:after="120"/>
              <w:rPr>
                <w:rFonts w:eastAsia="Times New Roman" w:cs="Times New Roman"/>
                <w:iCs/>
                <w:kern w:val="22"/>
                <w:szCs w:val="24"/>
                <w:lang w:val="en-GB"/>
              </w:rPr>
            </w:pPr>
            <w:r w:rsidRPr="002C3584">
              <w:rPr>
                <w:rFonts w:eastAsia="Times New Roman" w:cs="Times New Roman"/>
                <w:iCs/>
                <w:kern w:val="22"/>
                <w:szCs w:val="24"/>
                <w:lang w:val="en-GB"/>
              </w:rPr>
              <w:t>We consider that organisms, components and products of synthetic biology can have neutral, positive or negative effects on biodiversity.</w:t>
            </w:r>
            <w:r w:rsidR="00240F80" w:rsidRPr="002C3584">
              <w:rPr>
                <w:rFonts w:eastAsia="Times New Roman" w:cs="Times New Roman"/>
                <w:iCs/>
                <w:kern w:val="22"/>
                <w:szCs w:val="24"/>
                <w:lang w:val="en-GB"/>
              </w:rPr>
              <w:t xml:space="preserve"> This has to </w:t>
            </w:r>
            <w:proofErr w:type="gramStart"/>
            <w:r w:rsidR="00240F80" w:rsidRPr="002C3584">
              <w:rPr>
                <w:rFonts w:eastAsia="Times New Roman" w:cs="Times New Roman"/>
                <w:iCs/>
                <w:kern w:val="22"/>
                <w:szCs w:val="24"/>
                <w:lang w:val="en-GB"/>
              </w:rPr>
              <w:t>be assessed</w:t>
            </w:r>
            <w:proofErr w:type="gramEnd"/>
            <w:r w:rsidR="00240F80" w:rsidRPr="002C3584">
              <w:rPr>
                <w:rFonts w:eastAsia="Times New Roman" w:cs="Times New Roman"/>
                <w:iCs/>
                <w:kern w:val="22"/>
                <w:szCs w:val="24"/>
                <w:lang w:val="en-GB"/>
              </w:rPr>
              <w:t xml:space="preserve"> on a case-by-case basis. Since synthetic biology</w:t>
            </w:r>
            <w:r w:rsidR="00266D4F" w:rsidRPr="002C3584">
              <w:rPr>
                <w:rFonts w:eastAsia="Times New Roman" w:cs="Times New Roman"/>
                <w:iCs/>
                <w:kern w:val="22"/>
                <w:szCs w:val="24"/>
                <w:lang w:val="en-GB"/>
              </w:rPr>
              <w:t xml:space="preserve"> may result,</w:t>
            </w:r>
            <w:r w:rsidR="00240F80" w:rsidRPr="002C3584">
              <w:rPr>
                <w:rFonts w:eastAsia="Times New Roman" w:cs="Times New Roman"/>
                <w:iCs/>
                <w:kern w:val="22"/>
                <w:szCs w:val="24"/>
                <w:lang w:val="en-GB"/>
              </w:rPr>
              <w:t xml:space="preserve"> on a case-by-case basis</w:t>
            </w:r>
            <w:r w:rsidR="00266D4F" w:rsidRPr="002C3584">
              <w:rPr>
                <w:rFonts w:eastAsia="Times New Roman" w:cs="Times New Roman"/>
                <w:iCs/>
                <w:kern w:val="22"/>
                <w:szCs w:val="24"/>
                <w:lang w:val="en-GB"/>
              </w:rPr>
              <w:t>,</w:t>
            </w:r>
            <w:r w:rsidR="00240F80" w:rsidRPr="002C3584">
              <w:rPr>
                <w:rFonts w:eastAsia="Times New Roman" w:cs="Times New Roman"/>
                <w:iCs/>
                <w:kern w:val="22"/>
                <w:szCs w:val="24"/>
                <w:lang w:val="en-GB"/>
              </w:rPr>
              <w:t xml:space="preserve"> in </w:t>
            </w:r>
            <w:r w:rsidR="00266D4F" w:rsidRPr="002C3584">
              <w:rPr>
                <w:rFonts w:eastAsia="Times New Roman" w:cs="Times New Roman"/>
                <w:iCs/>
                <w:kern w:val="22"/>
                <w:szCs w:val="24"/>
                <w:lang w:val="en-GB"/>
              </w:rPr>
              <w:t xml:space="preserve">potential </w:t>
            </w:r>
            <w:r w:rsidR="00240F80" w:rsidRPr="002C3584">
              <w:rPr>
                <w:rFonts w:eastAsia="Times New Roman" w:cs="Times New Roman"/>
                <w:iCs/>
                <w:kern w:val="22"/>
                <w:szCs w:val="24"/>
                <w:lang w:val="en-GB"/>
              </w:rPr>
              <w:t xml:space="preserve">negative effects on biodiversity, </w:t>
            </w:r>
            <w:r w:rsidRPr="002C3584">
              <w:rPr>
                <w:rFonts w:eastAsia="Times New Roman" w:cs="Times New Roman"/>
                <w:iCs/>
                <w:kern w:val="22"/>
                <w:szCs w:val="24"/>
                <w:lang w:val="en-GB"/>
              </w:rPr>
              <w:t>synthetic biology is relevant for the implementation of t</w:t>
            </w:r>
            <w:r w:rsidR="00266D4F" w:rsidRPr="002C3584">
              <w:rPr>
                <w:rFonts w:eastAsia="Times New Roman" w:cs="Times New Roman"/>
                <w:iCs/>
                <w:kern w:val="22"/>
                <w:szCs w:val="24"/>
                <w:lang w:val="en-GB"/>
              </w:rPr>
              <w:t xml:space="preserve">he objectives of the Convention </w:t>
            </w:r>
            <w:r w:rsidRPr="002C3584">
              <w:rPr>
                <w:rFonts w:eastAsia="Times New Roman" w:cs="Times New Roman"/>
                <w:iCs/>
                <w:kern w:val="22"/>
                <w:szCs w:val="24"/>
                <w:lang w:val="en-GB"/>
              </w:rPr>
              <w:t>and its existing programmes of work.</w:t>
            </w:r>
          </w:p>
        </w:tc>
        <w:tc>
          <w:tcPr>
            <w:tcW w:w="1530" w:type="dxa"/>
            <w:shd w:val="clear" w:color="auto" w:fill="auto"/>
          </w:tcPr>
          <w:p w14:paraId="4CD3E9FC" w14:textId="77777777" w:rsidR="00C87859" w:rsidRPr="00C87859" w:rsidRDefault="00C87859" w:rsidP="00C87859">
            <w:pPr>
              <w:spacing w:before="120" w:after="120"/>
              <w:rPr>
                <w:rFonts w:ascii="Times New Roman" w:eastAsia="Times New Roman" w:hAnsi="Times New Roman" w:cs="Times New Roman"/>
                <w:iCs/>
                <w:szCs w:val="24"/>
                <w:lang w:val="en-GB"/>
              </w:rPr>
            </w:pPr>
          </w:p>
        </w:tc>
      </w:tr>
      <w:tr w:rsidR="00C87859" w:rsidRPr="00B534D3" w14:paraId="3B1EA449" w14:textId="77777777" w:rsidTr="000923E4">
        <w:tc>
          <w:tcPr>
            <w:tcW w:w="9576" w:type="dxa"/>
            <w:gridSpan w:val="4"/>
            <w:shd w:val="clear" w:color="auto" w:fill="D9D9D9"/>
          </w:tcPr>
          <w:p w14:paraId="1B1CCE2F" w14:textId="77777777" w:rsidR="00C87859" w:rsidRPr="00C87859" w:rsidRDefault="00C87859" w:rsidP="00C87859">
            <w:pPr>
              <w:spacing w:before="120" w:after="120"/>
              <w:rPr>
                <w:rFonts w:ascii="Times New Roman" w:eastAsia="Times New Roman" w:hAnsi="Times New Roman" w:cs="Times New Roman"/>
                <w:i/>
                <w:iCs/>
                <w:szCs w:val="24"/>
                <w:lang w:val="en-GB"/>
              </w:rPr>
            </w:pPr>
            <w:r w:rsidRPr="00C87859">
              <w:rPr>
                <w:rFonts w:ascii="Times New Roman" w:eastAsia="Times New Roman" w:hAnsi="Times New Roman" w:cs="Times New Roman"/>
                <w:i/>
                <w:iCs/>
                <w:szCs w:val="24"/>
                <w:lang w:val="en-GB"/>
              </w:rPr>
              <w:t xml:space="preserve">Criterion 2: New evidence of unexpected and significant impacts on biodiversity </w:t>
            </w:r>
            <w:r w:rsidRPr="00C87859">
              <w:rPr>
                <w:rFonts w:ascii="Times New Roman" w:eastAsia="Times New Roman" w:hAnsi="Times New Roman" w:cs="Times New Roman"/>
                <w:i/>
                <w:iCs/>
                <w:szCs w:val="24"/>
                <w:vertAlign w:val="superscript"/>
                <w:lang w:val="en-GB"/>
              </w:rPr>
              <w:t>(2)</w:t>
            </w:r>
          </w:p>
        </w:tc>
      </w:tr>
      <w:tr w:rsidR="00C105B6" w:rsidRPr="00B534D3" w14:paraId="3220FC4D" w14:textId="77777777" w:rsidTr="000923E4">
        <w:tc>
          <w:tcPr>
            <w:tcW w:w="675" w:type="dxa"/>
            <w:gridSpan w:val="2"/>
          </w:tcPr>
          <w:p w14:paraId="21915BBD" w14:textId="77777777" w:rsidR="00C87859" w:rsidRPr="00C87859" w:rsidDel="009F6BFE" w:rsidRDefault="00C87859" w:rsidP="00C87859">
            <w:pPr>
              <w:spacing w:before="120" w:after="120"/>
              <w:jc w:val="center"/>
              <w:rPr>
                <w:rFonts w:ascii="Times New Roman" w:eastAsia="Times New Roman" w:hAnsi="Times New Roman" w:cs="Times New Roman"/>
                <w:iCs/>
                <w:szCs w:val="24"/>
                <w:lang w:val="en-GB"/>
              </w:rPr>
            </w:pPr>
          </w:p>
        </w:tc>
        <w:tc>
          <w:tcPr>
            <w:tcW w:w="7371" w:type="dxa"/>
            <w:shd w:val="clear" w:color="auto" w:fill="auto"/>
          </w:tcPr>
          <w:p w14:paraId="6079259E" w14:textId="77777777" w:rsidR="00C87859" w:rsidRPr="002C3584" w:rsidRDefault="00204EF5" w:rsidP="00240F80">
            <w:pPr>
              <w:spacing w:before="120" w:after="120"/>
              <w:jc w:val="both"/>
              <w:rPr>
                <w:rFonts w:eastAsia="Times New Roman" w:cs="Times New Roman"/>
                <w:iCs/>
                <w:szCs w:val="24"/>
                <w:lang w:val="en-GB"/>
              </w:rPr>
            </w:pPr>
            <w:r w:rsidRPr="002C3584">
              <w:rPr>
                <w:rFonts w:eastAsia="Times New Roman" w:cs="Times New Roman"/>
                <w:iCs/>
                <w:szCs w:val="24"/>
                <w:lang w:val="en-GB"/>
              </w:rPr>
              <w:t>Up to now, there is no evidence for unexpected and significant impacts on biodiversity resulting from synthetic biology</w:t>
            </w:r>
            <w:r w:rsidR="00240F80" w:rsidRPr="002C3584">
              <w:rPr>
                <w:rFonts w:eastAsia="Times New Roman" w:cs="Times New Roman"/>
                <w:iCs/>
                <w:szCs w:val="24"/>
                <w:lang w:val="en-GB"/>
              </w:rPr>
              <w:t>.</w:t>
            </w:r>
            <w:r w:rsidRPr="002C3584">
              <w:rPr>
                <w:rFonts w:eastAsia="Times New Roman" w:cs="Times New Roman"/>
                <w:iCs/>
                <w:szCs w:val="24"/>
                <w:lang w:val="en-GB"/>
              </w:rPr>
              <w:t xml:space="preserve"> </w:t>
            </w:r>
          </w:p>
        </w:tc>
        <w:tc>
          <w:tcPr>
            <w:tcW w:w="1530" w:type="dxa"/>
            <w:shd w:val="clear" w:color="auto" w:fill="auto"/>
          </w:tcPr>
          <w:p w14:paraId="22A514F0" w14:textId="77777777" w:rsidR="00C87859" w:rsidRPr="00C87859" w:rsidRDefault="00C87859" w:rsidP="00C87859">
            <w:pPr>
              <w:spacing w:before="120" w:after="120"/>
              <w:rPr>
                <w:rFonts w:ascii="Times New Roman" w:eastAsia="Times New Roman" w:hAnsi="Times New Roman" w:cs="Times New Roman"/>
                <w:iCs/>
                <w:szCs w:val="24"/>
                <w:lang w:val="en-GB"/>
              </w:rPr>
            </w:pPr>
          </w:p>
        </w:tc>
      </w:tr>
      <w:tr w:rsidR="00C87859" w:rsidRPr="00B534D3" w14:paraId="4AC8BA73" w14:textId="77777777" w:rsidTr="000923E4">
        <w:tc>
          <w:tcPr>
            <w:tcW w:w="9576" w:type="dxa"/>
            <w:gridSpan w:val="4"/>
            <w:shd w:val="clear" w:color="auto" w:fill="D9D9D9"/>
          </w:tcPr>
          <w:p w14:paraId="367BE9E5" w14:textId="77777777" w:rsidR="00C87859" w:rsidRPr="00C87859" w:rsidRDefault="00C87859" w:rsidP="00C87859">
            <w:pPr>
              <w:spacing w:before="120" w:after="120"/>
              <w:rPr>
                <w:rFonts w:ascii="Times New Roman" w:eastAsia="Times New Roman" w:hAnsi="Times New Roman" w:cs="Times New Roman"/>
                <w:i/>
                <w:iCs/>
                <w:szCs w:val="24"/>
                <w:lang w:val="en-GB"/>
              </w:rPr>
            </w:pPr>
            <w:r w:rsidRPr="00C87859">
              <w:rPr>
                <w:rFonts w:ascii="Times New Roman" w:eastAsia="Times New Roman" w:hAnsi="Times New Roman" w:cs="Times New Roman"/>
                <w:i/>
                <w:iCs/>
                <w:szCs w:val="24"/>
                <w:lang w:val="en-GB"/>
              </w:rPr>
              <w:t>Criterion 3: Urgency of addressing the issue/imminence of the risk caused by the issue to the effective implementation of the Convention as well as the magnitude of actual and potential impact on biodiversity</w:t>
            </w:r>
          </w:p>
        </w:tc>
      </w:tr>
      <w:tr w:rsidR="00C105B6" w:rsidRPr="00B534D3" w14:paraId="0C6F275C" w14:textId="77777777" w:rsidTr="000923E4">
        <w:tc>
          <w:tcPr>
            <w:tcW w:w="675" w:type="dxa"/>
            <w:gridSpan w:val="2"/>
          </w:tcPr>
          <w:p w14:paraId="11A5B9D4" w14:textId="77777777" w:rsidR="00C87859" w:rsidRPr="00C87859" w:rsidRDefault="00C87859" w:rsidP="00C87859">
            <w:pPr>
              <w:spacing w:before="120" w:after="120"/>
              <w:jc w:val="center"/>
              <w:rPr>
                <w:rFonts w:ascii="Times New Roman" w:eastAsia="Times New Roman" w:hAnsi="Times New Roman" w:cs="Times New Roman"/>
                <w:iCs/>
                <w:kern w:val="22"/>
                <w:szCs w:val="24"/>
                <w:lang w:val="en-GB"/>
              </w:rPr>
            </w:pPr>
          </w:p>
        </w:tc>
        <w:tc>
          <w:tcPr>
            <w:tcW w:w="7371" w:type="dxa"/>
            <w:shd w:val="clear" w:color="auto" w:fill="auto"/>
          </w:tcPr>
          <w:p w14:paraId="1DD6AAA6" w14:textId="77777777" w:rsidR="00967588" w:rsidRPr="002C3584" w:rsidRDefault="007A1EEE" w:rsidP="00967588">
            <w:pPr>
              <w:spacing w:before="120" w:after="120"/>
              <w:jc w:val="both"/>
              <w:rPr>
                <w:rFonts w:eastAsia="Times New Roman" w:cs="Times New Roman"/>
                <w:iCs/>
                <w:kern w:val="22"/>
                <w:szCs w:val="24"/>
                <w:lang w:val="en-GB"/>
              </w:rPr>
            </w:pPr>
            <w:r w:rsidRPr="002C3584">
              <w:rPr>
                <w:rFonts w:eastAsia="Times New Roman" w:cs="Times New Roman"/>
                <w:iCs/>
                <w:kern w:val="22"/>
                <w:szCs w:val="24"/>
                <w:lang w:val="en-GB"/>
              </w:rPr>
              <w:t xml:space="preserve">The </w:t>
            </w:r>
            <w:r w:rsidR="00204EF5" w:rsidRPr="002C3584">
              <w:rPr>
                <w:rFonts w:eastAsia="Times New Roman" w:cs="Times New Roman"/>
                <w:iCs/>
                <w:kern w:val="22"/>
                <w:szCs w:val="24"/>
                <w:lang w:val="en-GB"/>
              </w:rPr>
              <w:t>speed of development of organisms, components and products from synthetic biology is hi</w:t>
            </w:r>
            <w:r w:rsidR="00967588" w:rsidRPr="002C3584">
              <w:rPr>
                <w:rFonts w:eastAsia="Times New Roman" w:cs="Times New Roman"/>
                <w:iCs/>
                <w:kern w:val="22"/>
                <w:szCs w:val="24"/>
                <w:lang w:val="en-GB"/>
              </w:rPr>
              <w:t>gh. Since some of these developments may result</w:t>
            </w:r>
            <w:r w:rsidR="00204EF5" w:rsidRPr="002C3584">
              <w:rPr>
                <w:rFonts w:eastAsia="Times New Roman" w:cs="Times New Roman"/>
                <w:iCs/>
                <w:kern w:val="22"/>
                <w:szCs w:val="24"/>
                <w:lang w:val="en-GB"/>
              </w:rPr>
              <w:t xml:space="preserve"> in potential </w:t>
            </w:r>
            <w:r w:rsidR="00240F80" w:rsidRPr="002C3584">
              <w:rPr>
                <w:rFonts w:eastAsia="Times New Roman" w:cs="Times New Roman"/>
                <w:iCs/>
                <w:kern w:val="22"/>
                <w:szCs w:val="24"/>
                <w:lang w:val="en-GB"/>
              </w:rPr>
              <w:t xml:space="preserve">negative </w:t>
            </w:r>
            <w:r w:rsidR="00204EF5" w:rsidRPr="002C3584">
              <w:rPr>
                <w:rFonts w:eastAsia="Times New Roman" w:cs="Times New Roman"/>
                <w:iCs/>
                <w:kern w:val="22"/>
                <w:szCs w:val="24"/>
                <w:lang w:val="en-GB"/>
              </w:rPr>
              <w:t>effects</w:t>
            </w:r>
            <w:r w:rsidRPr="002C3584">
              <w:rPr>
                <w:rFonts w:eastAsia="Times New Roman" w:cs="Times New Roman"/>
                <w:iCs/>
                <w:kern w:val="22"/>
                <w:szCs w:val="24"/>
                <w:lang w:val="en-GB"/>
              </w:rPr>
              <w:t xml:space="preserve"> on biodiversity, we also consider the urgency of</w:t>
            </w:r>
            <w:r w:rsidR="008F5BA8" w:rsidRPr="002C3584">
              <w:rPr>
                <w:rFonts w:eastAsia="Times New Roman" w:cs="Times New Roman"/>
                <w:iCs/>
                <w:kern w:val="22"/>
                <w:szCs w:val="24"/>
                <w:lang w:val="en-GB"/>
              </w:rPr>
              <w:t xml:space="preserve"> addressing synthetic biology in</w:t>
            </w:r>
            <w:r w:rsidRPr="002C3584">
              <w:rPr>
                <w:rFonts w:eastAsia="Times New Roman" w:cs="Times New Roman"/>
                <w:iCs/>
                <w:kern w:val="22"/>
                <w:szCs w:val="24"/>
                <w:lang w:val="en-GB"/>
              </w:rPr>
              <w:t xml:space="preserve"> the effective implementati</w:t>
            </w:r>
            <w:r w:rsidR="00967588" w:rsidRPr="002C3584">
              <w:rPr>
                <w:rFonts w:eastAsia="Times New Roman" w:cs="Times New Roman"/>
                <w:iCs/>
                <w:kern w:val="22"/>
                <w:szCs w:val="24"/>
                <w:lang w:val="en-GB"/>
              </w:rPr>
              <w:t>on of the Convention to be high.</w:t>
            </w:r>
            <w:r w:rsidRPr="002C3584">
              <w:rPr>
                <w:rFonts w:eastAsia="Times New Roman" w:cs="Times New Roman"/>
                <w:iCs/>
                <w:kern w:val="22"/>
                <w:szCs w:val="24"/>
                <w:lang w:val="en-GB"/>
              </w:rPr>
              <w:t xml:space="preserve"> </w:t>
            </w:r>
            <w:r w:rsidR="00967588" w:rsidRPr="002C3584">
              <w:rPr>
                <w:rFonts w:eastAsia="Times New Roman" w:cs="Times New Roman"/>
                <w:iCs/>
                <w:kern w:val="22"/>
                <w:szCs w:val="24"/>
                <w:lang w:val="en-GB"/>
              </w:rPr>
              <w:t xml:space="preserve"> </w:t>
            </w:r>
          </w:p>
          <w:p w14:paraId="4F5D515C" w14:textId="5247AC76" w:rsidR="00C87859" w:rsidRPr="00C87859" w:rsidRDefault="00967588" w:rsidP="00DA6C2A">
            <w:pPr>
              <w:spacing w:before="120" w:after="120"/>
              <w:jc w:val="both"/>
              <w:rPr>
                <w:rFonts w:ascii="Times New Roman" w:eastAsia="Times New Roman" w:hAnsi="Times New Roman" w:cs="Times New Roman"/>
                <w:iCs/>
                <w:kern w:val="22"/>
                <w:szCs w:val="24"/>
                <w:lang w:val="en-GB"/>
              </w:rPr>
            </w:pPr>
            <w:r w:rsidRPr="002C3584">
              <w:rPr>
                <w:rFonts w:eastAsia="Times New Roman" w:cs="Times New Roman"/>
                <w:iCs/>
                <w:kern w:val="22"/>
                <w:szCs w:val="24"/>
                <w:lang w:val="en-GB"/>
              </w:rPr>
              <w:t xml:space="preserve">Potential negative effects -if any- will most probably result from living organisms obtained by synthetic biology. </w:t>
            </w:r>
            <w:r w:rsidR="00DA6C2A" w:rsidRPr="002C3584">
              <w:rPr>
                <w:rFonts w:eastAsia="Times New Roman" w:cs="Times New Roman"/>
                <w:iCs/>
                <w:kern w:val="22"/>
                <w:szCs w:val="24"/>
                <w:lang w:val="en-GB"/>
              </w:rPr>
              <w:t>O</w:t>
            </w:r>
            <w:r w:rsidR="00240F80" w:rsidRPr="002C3584">
              <w:rPr>
                <w:rFonts w:eastAsia="Times New Roman" w:cs="Times New Roman"/>
                <w:iCs/>
                <w:kern w:val="22"/>
                <w:szCs w:val="24"/>
                <w:lang w:val="en-GB"/>
              </w:rPr>
              <w:t>rganisms obtained</w:t>
            </w:r>
            <w:r w:rsidRPr="002C3584">
              <w:rPr>
                <w:rFonts w:eastAsia="Times New Roman" w:cs="Times New Roman"/>
                <w:iCs/>
                <w:kern w:val="22"/>
                <w:szCs w:val="24"/>
                <w:lang w:val="en-GB"/>
              </w:rPr>
              <w:t xml:space="preserve"> by synthetic biology that are (or will be)</w:t>
            </w:r>
            <w:r w:rsidR="00240F80" w:rsidRPr="002C3584">
              <w:rPr>
                <w:rFonts w:eastAsia="Times New Roman" w:cs="Times New Roman"/>
                <w:iCs/>
                <w:kern w:val="22"/>
                <w:szCs w:val="24"/>
                <w:lang w:val="en-GB"/>
              </w:rPr>
              <w:t xml:space="preserve"> introduced in the environment in the near future</w:t>
            </w:r>
            <w:r w:rsidRPr="002C3584">
              <w:rPr>
                <w:rFonts w:eastAsia="Times New Roman" w:cs="Times New Roman"/>
                <w:iCs/>
                <w:kern w:val="22"/>
                <w:szCs w:val="24"/>
                <w:lang w:val="en-GB"/>
              </w:rPr>
              <w:t xml:space="preserve"> fall under the definition of a</w:t>
            </w:r>
            <w:r w:rsidR="00240F80" w:rsidRPr="002C3584">
              <w:rPr>
                <w:rFonts w:eastAsia="Times New Roman" w:cs="Times New Roman"/>
                <w:iCs/>
                <w:kern w:val="22"/>
                <w:szCs w:val="24"/>
                <w:lang w:val="en-GB"/>
              </w:rPr>
              <w:t xml:space="preserve"> </w:t>
            </w:r>
            <w:r w:rsidRPr="002C3584">
              <w:rPr>
                <w:rFonts w:eastAsia="Times New Roman" w:cs="Times New Roman"/>
                <w:iCs/>
                <w:kern w:val="22"/>
                <w:szCs w:val="24"/>
                <w:lang w:val="en-GB"/>
              </w:rPr>
              <w:t>living modified organism (</w:t>
            </w:r>
            <w:r w:rsidR="00240F80" w:rsidRPr="002C3584">
              <w:rPr>
                <w:rFonts w:eastAsia="Times New Roman" w:cs="Times New Roman"/>
                <w:iCs/>
                <w:kern w:val="22"/>
                <w:szCs w:val="24"/>
                <w:lang w:val="en-GB"/>
              </w:rPr>
              <w:t>LMO</w:t>
            </w:r>
            <w:r w:rsidRPr="002C3584">
              <w:rPr>
                <w:rFonts w:eastAsia="Times New Roman" w:cs="Times New Roman"/>
                <w:iCs/>
                <w:kern w:val="22"/>
                <w:szCs w:val="24"/>
                <w:lang w:val="en-GB"/>
              </w:rPr>
              <w:t>)</w:t>
            </w:r>
            <w:r w:rsidR="00240F80" w:rsidRPr="002C3584">
              <w:rPr>
                <w:rFonts w:eastAsia="Times New Roman" w:cs="Times New Roman"/>
                <w:iCs/>
                <w:kern w:val="22"/>
                <w:szCs w:val="24"/>
                <w:lang w:val="en-GB"/>
              </w:rPr>
              <w:t xml:space="preserve"> and </w:t>
            </w:r>
            <w:r w:rsidR="00955124" w:rsidRPr="002C3584">
              <w:rPr>
                <w:rFonts w:eastAsia="Times New Roman" w:cs="Times New Roman"/>
                <w:iCs/>
                <w:kern w:val="22"/>
                <w:szCs w:val="24"/>
                <w:lang w:val="en-GB"/>
              </w:rPr>
              <w:t xml:space="preserve">their safety is </w:t>
            </w:r>
            <w:r w:rsidR="00240F80" w:rsidRPr="002C3584">
              <w:rPr>
                <w:rFonts w:eastAsia="Times New Roman" w:cs="Times New Roman"/>
                <w:iCs/>
                <w:kern w:val="22"/>
                <w:szCs w:val="24"/>
                <w:lang w:val="en-GB"/>
              </w:rPr>
              <w:t>therefore addressed under the Cartagena Protocol on Biosafety.</w:t>
            </w:r>
            <w:r w:rsidRPr="002C3584">
              <w:rPr>
                <w:rFonts w:eastAsia="Times New Roman" w:cs="Times New Roman"/>
                <w:iCs/>
                <w:kern w:val="22"/>
                <w:szCs w:val="24"/>
                <w:lang w:val="en-GB"/>
              </w:rPr>
              <w:t xml:space="preserve"> </w:t>
            </w:r>
            <w:r w:rsidR="008F5BA8" w:rsidRPr="002C3584">
              <w:rPr>
                <w:rFonts w:eastAsia="Times New Roman" w:cs="Times New Roman"/>
                <w:iCs/>
                <w:kern w:val="22"/>
                <w:szCs w:val="24"/>
                <w:lang w:val="en-GB"/>
              </w:rPr>
              <w:t>Taking this in account, addressing synthetic biology in</w:t>
            </w:r>
            <w:r w:rsidRPr="002C3584">
              <w:rPr>
                <w:rFonts w:eastAsia="Times New Roman" w:cs="Times New Roman"/>
                <w:iCs/>
                <w:kern w:val="22"/>
                <w:szCs w:val="24"/>
                <w:lang w:val="en-GB"/>
              </w:rPr>
              <w:t xml:space="preserve"> the effective implementation of the Convention </w:t>
            </w:r>
            <w:r w:rsidR="008F5BA8" w:rsidRPr="002C3584">
              <w:rPr>
                <w:rFonts w:eastAsia="Times New Roman" w:cs="Times New Roman"/>
                <w:iCs/>
                <w:kern w:val="22"/>
                <w:szCs w:val="24"/>
                <w:lang w:val="en-GB"/>
              </w:rPr>
              <w:t>does not have high urgency. Urgency would be higher for organisms obtained by synthetic biology that do not fall under the definition of an LMO and that could pose a negative environmental effect.</w:t>
            </w:r>
          </w:p>
        </w:tc>
        <w:tc>
          <w:tcPr>
            <w:tcW w:w="1530" w:type="dxa"/>
            <w:shd w:val="clear" w:color="auto" w:fill="auto"/>
          </w:tcPr>
          <w:p w14:paraId="4A0712F5" w14:textId="77777777" w:rsidR="00C87859" w:rsidRPr="00C87859" w:rsidRDefault="00C87859" w:rsidP="00C87859">
            <w:pPr>
              <w:spacing w:before="120" w:after="120"/>
              <w:rPr>
                <w:rFonts w:ascii="Times New Roman" w:eastAsia="Times New Roman" w:hAnsi="Times New Roman" w:cs="Times New Roman"/>
                <w:iCs/>
                <w:szCs w:val="24"/>
                <w:lang w:val="en-GB"/>
              </w:rPr>
            </w:pPr>
          </w:p>
        </w:tc>
      </w:tr>
      <w:tr w:rsidR="00C87859" w:rsidRPr="00B534D3" w14:paraId="4EF92C35" w14:textId="77777777" w:rsidTr="000923E4">
        <w:tc>
          <w:tcPr>
            <w:tcW w:w="9576" w:type="dxa"/>
            <w:gridSpan w:val="4"/>
            <w:shd w:val="clear" w:color="auto" w:fill="D9D9D9"/>
          </w:tcPr>
          <w:p w14:paraId="1F45AC8C" w14:textId="77777777" w:rsidR="00C87859" w:rsidRPr="00C87859" w:rsidRDefault="00C87859" w:rsidP="00C87859">
            <w:pPr>
              <w:spacing w:before="120" w:after="120"/>
              <w:rPr>
                <w:rFonts w:ascii="Times New Roman" w:eastAsia="Times New Roman" w:hAnsi="Times New Roman" w:cs="Times New Roman"/>
                <w:i/>
                <w:iCs/>
                <w:szCs w:val="24"/>
                <w:lang w:val="en-GB"/>
              </w:rPr>
            </w:pPr>
            <w:r w:rsidRPr="00C87859">
              <w:rPr>
                <w:rFonts w:ascii="Times New Roman" w:eastAsia="Times New Roman" w:hAnsi="Times New Roman" w:cs="Times New Roman"/>
                <w:i/>
                <w:iCs/>
                <w:szCs w:val="24"/>
                <w:lang w:val="en-GB"/>
              </w:rPr>
              <w:t>Criterion 4: Actual geographic coverage and potential spread, including rate of spread, of the identified issue relating to the conservation and sustainable use of biodiversity</w:t>
            </w:r>
          </w:p>
        </w:tc>
      </w:tr>
      <w:tr w:rsidR="00C105B6" w:rsidRPr="00B534D3" w14:paraId="053D8123" w14:textId="77777777" w:rsidTr="000923E4">
        <w:tc>
          <w:tcPr>
            <w:tcW w:w="675" w:type="dxa"/>
            <w:gridSpan w:val="2"/>
          </w:tcPr>
          <w:p w14:paraId="4821D3AE" w14:textId="77777777" w:rsidR="00C87859" w:rsidRPr="00C87859" w:rsidRDefault="00C87859" w:rsidP="00C87859">
            <w:pPr>
              <w:spacing w:before="120" w:after="120"/>
              <w:jc w:val="center"/>
              <w:rPr>
                <w:rFonts w:ascii="Times New Roman" w:eastAsia="Times New Roman" w:hAnsi="Times New Roman" w:cs="Times New Roman"/>
                <w:iCs/>
                <w:szCs w:val="24"/>
                <w:lang w:val="en-GB"/>
              </w:rPr>
            </w:pPr>
          </w:p>
        </w:tc>
        <w:tc>
          <w:tcPr>
            <w:tcW w:w="7371" w:type="dxa"/>
            <w:shd w:val="clear" w:color="auto" w:fill="auto"/>
          </w:tcPr>
          <w:p w14:paraId="54C29FAA" w14:textId="77777777" w:rsidR="00C87859" w:rsidRPr="002C3584" w:rsidRDefault="00240F80" w:rsidP="00C105B6">
            <w:pPr>
              <w:spacing w:before="120" w:after="120"/>
              <w:jc w:val="both"/>
              <w:rPr>
                <w:rFonts w:eastAsia="Times New Roman" w:cs="Times New Roman"/>
                <w:iCs/>
                <w:kern w:val="22"/>
                <w:lang w:val="en-GB" w:eastAsia="x-none"/>
              </w:rPr>
            </w:pPr>
            <w:r w:rsidRPr="002C3584">
              <w:rPr>
                <w:rFonts w:eastAsia="Times New Roman" w:cs="Times New Roman"/>
                <w:iCs/>
                <w:kern w:val="22"/>
                <w:lang w:val="en-GB" w:eastAsia="x-none"/>
              </w:rPr>
              <w:t>All organisms obtained by synthetic biology and that are released so</w:t>
            </w:r>
            <w:r w:rsidR="00C105B6" w:rsidRPr="002C3584">
              <w:rPr>
                <w:rFonts w:eastAsia="Times New Roman" w:cs="Times New Roman"/>
                <w:iCs/>
                <w:kern w:val="22"/>
                <w:lang w:val="en-GB" w:eastAsia="x-none"/>
              </w:rPr>
              <w:t xml:space="preserve"> </w:t>
            </w:r>
            <w:r w:rsidRPr="002C3584">
              <w:rPr>
                <w:rFonts w:eastAsia="Times New Roman" w:cs="Times New Roman"/>
                <w:iCs/>
                <w:kern w:val="22"/>
                <w:lang w:val="en-GB" w:eastAsia="x-none"/>
              </w:rPr>
              <w:t>far are LMOs. The actual geographic coverage and potential spread</w:t>
            </w:r>
            <w:r w:rsidR="008829AF" w:rsidRPr="002C3584">
              <w:rPr>
                <w:rFonts w:eastAsia="Times New Roman" w:cs="Times New Roman"/>
                <w:iCs/>
                <w:kern w:val="22"/>
                <w:lang w:val="en-GB" w:eastAsia="x-none"/>
              </w:rPr>
              <w:t xml:space="preserve"> is therefore equal to the </w:t>
            </w:r>
            <w:r w:rsidR="00C105B6" w:rsidRPr="002C3584">
              <w:rPr>
                <w:rFonts w:eastAsia="Times New Roman" w:cs="Times New Roman"/>
                <w:iCs/>
                <w:kern w:val="22"/>
                <w:lang w:val="en-GB" w:eastAsia="x-none"/>
              </w:rPr>
              <w:t>actual geographic coverage and potential spread of the current LMOs.</w:t>
            </w:r>
          </w:p>
        </w:tc>
        <w:tc>
          <w:tcPr>
            <w:tcW w:w="1530" w:type="dxa"/>
            <w:shd w:val="clear" w:color="auto" w:fill="auto"/>
          </w:tcPr>
          <w:p w14:paraId="49741459" w14:textId="77777777" w:rsidR="00C87859" w:rsidRPr="00C87859" w:rsidRDefault="00C87859" w:rsidP="00C87859">
            <w:pPr>
              <w:spacing w:before="120" w:after="120"/>
              <w:rPr>
                <w:rFonts w:ascii="Times New Roman" w:eastAsia="Times New Roman" w:hAnsi="Times New Roman" w:cs="Times New Roman"/>
                <w:iCs/>
                <w:szCs w:val="24"/>
                <w:lang w:val="en-GB"/>
              </w:rPr>
            </w:pPr>
          </w:p>
        </w:tc>
      </w:tr>
      <w:tr w:rsidR="00C87859" w:rsidRPr="00B534D3" w14:paraId="6042CE81" w14:textId="77777777" w:rsidTr="000923E4">
        <w:tc>
          <w:tcPr>
            <w:tcW w:w="9576" w:type="dxa"/>
            <w:gridSpan w:val="4"/>
            <w:shd w:val="clear" w:color="auto" w:fill="D9D9D9"/>
          </w:tcPr>
          <w:p w14:paraId="238FD749" w14:textId="77777777" w:rsidR="00C87859" w:rsidRPr="00C87859" w:rsidRDefault="00C87859" w:rsidP="00C87859">
            <w:pPr>
              <w:spacing w:before="120" w:after="120"/>
              <w:rPr>
                <w:rFonts w:ascii="Times New Roman" w:eastAsia="Times New Roman" w:hAnsi="Times New Roman" w:cs="Times New Roman"/>
                <w:i/>
                <w:iCs/>
                <w:szCs w:val="24"/>
                <w:lang w:val="en-GB"/>
              </w:rPr>
            </w:pPr>
            <w:r w:rsidRPr="00C87859">
              <w:rPr>
                <w:rFonts w:ascii="Times New Roman" w:eastAsia="Times New Roman" w:hAnsi="Times New Roman" w:cs="Times New Roman"/>
                <w:i/>
                <w:iCs/>
                <w:szCs w:val="24"/>
                <w:lang w:val="en-GB"/>
              </w:rPr>
              <w:t>Criterion 5: Evidence of the absence or limited availability of tools to limit or mitigate the negative impacts of the identified issue on the conservation and sustainable use of biodiversity</w:t>
            </w:r>
          </w:p>
        </w:tc>
      </w:tr>
      <w:tr w:rsidR="00C105B6" w:rsidRPr="00B534D3" w14:paraId="3518FB44" w14:textId="77777777" w:rsidTr="000923E4">
        <w:tc>
          <w:tcPr>
            <w:tcW w:w="534" w:type="dxa"/>
          </w:tcPr>
          <w:p w14:paraId="7DF91389" w14:textId="77777777" w:rsidR="00C87859" w:rsidRPr="00C87859" w:rsidRDefault="00C87859" w:rsidP="00C87859">
            <w:pPr>
              <w:spacing w:before="120" w:after="120"/>
              <w:jc w:val="center"/>
              <w:rPr>
                <w:rFonts w:ascii="Times New Roman" w:eastAsia="Times New Roman" w:hAnsi="Times New Roman" w:cs="Times New Roman"/>
                <w:iCs/>
                <w:kern w:val="22"/>
                <w:lang w:val="en-GB"/>
              </w:rPr>
            </w:pPr>
          </w:p>
        </w:tc>
        <w:tc>
          <w:tcPr>
            <w:tcW w:w="7512" w:type="dxa"/>
            <w:gridSpan w:val="2"/>
            <w:shd w:val="clear" w:color="auto" w:fill="auto"/>
          </w:tcPr>
          <w:p w14:paraId="576F6574" w14:textId="1CBAA8EA" w:rsidR="00C87859" w:rsidRPr="002C3584" w:rsidRDefault="00DA6C2A" w:rsidP="00DA6C2A">
            <w:pPr>
              <w:spacing w:before="120" w:after="120"/>
              <w:jc w:val="both"/>
              <w:rPr>
                <w:rFonts w:eastAsia="Times New Roman" w:cs="Times New Roman"/>
                <w:iCs/>
                <w:szCs w:val="24"/>
                <w:lang w:val="en-GB"/>
              </w:rPr>
            </w:pPr>
            <w:r w:rsidRPr="002C3584">
              <w:rPr>
                <w:rFonts w:eastAsia="Times New Roman" w:cs="Times New Roman"/>
                <w:iCs/>
                <w:szCs w:val="24"/>
                <w:lang w:val="en-GB"/>
              </w:rPr>
              <w:t>A</w:t>
            </w:r>
            <w:r w:rsidR="00C105B6" w:rsidRPr="002C3584">
              <w:rPr>
                <w:rFonts w:eastAsia="Times New Roman" w:cs="Times New Roman"/>
                <w:iCs/>
                <w:szCs w:val="24"/>
                <w:lang w:val="en-GB"/>
              </w:rPr>
              <w:t xml:space="preserve">ll current </w:t>
            </w:r>
            <w:r w:rsidR="00B534D3">
              <w:rPr>
                <w:rFonts w:eastAsia="Times New Roman" w:cs="Times New Roman"/>
                <w:iCs/>
                <w:szCs w:val="24"/>
                <w:lang w:val="en-GB"/>
              </w:rPr>
              <w:t xml:space="preserve">and near-future organisms to </w:t>
            </w:r>
            <w:proofErr w:type="gramStart"/>
            <w:r w:rsidR="00B534D3">
              <w:rPr>
                <w:rFonts w:eastAsia="Times New Roman" w:cs="Times New Roman"/>
                <w:iCs/>
                <w:szCs w:val="24"/>
                <w:lang w:val="en-GB"/>
              </w:rPr>
              <w:t xml:space="preserve">be </w:t>
            </w:r>
            <w:r w:rsidR="00C105B6" w:rsidRPr="002C3584">
              <w:rPr>
                <w:rFonts w:eastAsia="Times New Roman" w:cs="Times New Roman"/>
                <w:iCs/>
                <w:szCs w:val="24"/>
                <w:lang w:val="en-GB"/>
              </w:rPr>
              <w:t>released</w:t>
            </w:r>
            <w:proofErr w:type="gramEnd"/>
            <w:r w:rsidR="00C105B6" w:rsidRPr="002C3584">
              <w:rPr>
                <w:rFonts w:eastAsia="Times New Roman" w:cs="Times New Roman"/>
                <w:iCs/>
                <w:szCs w:val="24"/>
                <w:lang w:val="en-GB"/>
              </w:rPr>
              <w:t xml:space="preserve"> into the environment obtained by synthetic biology</w:t>
            </w:r>
            <w:r w:rsidR="00ED375C" w:rsidRPr="002C3584">
              <w:rPr>
                <w:rFonts w:eastAsia="Times New Roman" w:cs="Times New Roman"/>
                <w:iCs/>
                <w:szCs w:val="24"/>
                <w:lang w:val="en-GB"/>
              </w:rPr>
              <w:t xml:space="preserve"> are LMOs</w:t>
            </w:r>
            <w:r w:rsidRPr="002C3584">
              <w:rPr>
                <w:rFonts w:eastAsia="Times New Roman" w:cs="Times New Roman"/>
                <w:iCs/>
                <w:szCs w:val="24"/>
                <w:lang w:val="en-GB"/>
              </w:rPr>
              <w:t xml:space="preserve"> and their safety is therefore addressed under the Cartagena Protocol on Biosafety</w:t>
            </w:r>
            <w:r w:rsidR="00ED375C" w:rsidRPr="002C3584">
              <w:rPr>
                <w:rFonts w:eastAsia="Times New Roman" w:cs="Times New Roman"/>
                <w:iCs/>
                <w:szCs w:val="24"/>
                <w:lang w:val="en-GB"/>
              </w:rPr>
              <w:t>. So</w:t>
            </w:r>
            <w:r w:rsidR="00B93687" w:rsidRPr="002C3584">
              <w:rPr>
                <w:rFonts w:eastAsia="Times New Roman" w:cs="Times New Roman"/>
                <w:iCs/>
                <w:szCs w:val="24"/>
                <w:lang w:val="en-GB"/>
              </w:rPr>
              <w:t xml:space="preserve"> </w:t>
            </w:r>
            <w:proofErr w:type="gramStart"/>
            <w:r w:rsidR="00ED375C" w:rsidRPr="002C3584">
              <w:rPr>
                <w:rFonts w:eastAsia="Times New Roman" w:cs="Times New Roman"/>
                <w:iCs/>
                <w:szCs w:val="24"/>
                <w:lang w:val="en-GB"/>
              </w:rPr>
              <w:t>far</w:t>
            </w:r>
            <w:proofErr w:type="gramEnd"/>
            <w:r w:rsidR="00ED375C" w:rsidRPr="002C3584">
              <w:rPr>
                <w:rFonts w:eastAsia="Times New Roman" w:cs="Times New Roman"/>
                <w:iCs/>
                <w:szCs w:val="24"/>
                <w:lang w:val="en-GB"/>
              </w:rPr>
              <w:t xml:space="preserve"> no LMOs have been released that negative</w:t>
            </w:r>
            <w:r w:rsidR="00B93687" w:rsidRPr="002C3584">
              <w:rPr>
                <w:rFonts w:eastAsia="Times New Roman" w:cs="Times New Roman"/>
                <w:iCs/>
                <w:szCs w:val="24"/>
                <w:lang w:val="en-GB"/>
              </w:rPr>
              <w:t xml:space="preserve">ly impact </w:t>
            </w:r>
            <w:r w:rsidR="00ED375C" w:rsidRPr="002C3584">
              <w:rPr>
                <w:rFonts w:eastAsia="Times New Roman" w:cs="Times New Roman"/>
                <w:iCs/>
                <w:szCs w:val="24"/>
                <w:lang w:val="en-GB"/>
              </w:rPr>
              <w:t>conservation and sustainable use of biodiversity and where tools are absent or limited to mitigate these negative effects. However,</w:t>
            </w:r>
            <w:r w:rsidR="00C105B6" w:rsidRPr="002C3584">
              <w:rPr>
                <w:rFonts w:eastAsia="Times New Roman" w:cs="Times New Roman"/>
                <w:iCs/>
                <w:szCs w:val="24"/>
                <w:lang w:val="en-GB"/>
              </w:rPr>
              <w:t xml:space="preserve"> </w:t>
            </w:r>
            <w:r w:rsidR="00ED375C" w:rsidRPr="002C3584">
              <w:rPr>
                <w:rFonts w:eastAsia="Times New Roman" w:cs="Times New Roman"/>
                <w:iCs/>
                <w:szCs w:val="24"/>
                <w:lang w:val="en-GB"/>
              </w:rPr>
              <w:t xml:space="preserve">in the future fast replicating and fast-spreading LMOs (such as mosquitoes) with engineered gene drives </w:t>
            </w:r>
            <w:proofErr w:type="gramStart"/>
            <w:r w:rsidR="00ED375C" w:rsidRPr="002C3584">
              <w:rPr>
                <w:rFonts w:eastAsia="Times New Roman" w:cs="Times New Roman"/>
                <w:iCs/>
                <w:szCs w:val="24"/>
                <w:lang w:val="en-GB"/>
              </w:rPr>
              <w:t>can be released</w:t>
            </w:r>
            <w:proofErr w:type="gramEnd"/>
            <w:r w:rsidR="00ED375C" w:rsidRPr="002C3584">
              <w:rPr>
                <w:rFonts w:eastAsia="Times New Roman" w:cs="Times New Roman"/>
                <w:iCs/>
                <w:szCs w:val="24"/>
                <w:lang w:val="en-GB"/>
              </w:rPr>
              <w:t xml:space="preserve"> that may pose negative effect</w:t>
            </w:r>
            <w:r w:rsidR="00B93687" w:rsidRPr="002C3584">
              <w:rPr>
                <w:rFonts w:eastAsia="Times New Roman" w:cs="Times New Roman"/>
                <w:iCs/>
                <w:szCs w:val="24"/>
                <w:lang w:val="en-GB"/>
              </w:rPr>
              <w:t>s on biodiversity and where tool</w:t>
            </w:r>
            <w:r w:rsidR="00ED375C" w:rsidRPr="002C3584">
              <w:rPr>
                <w:rFonts w:eastAsia="Times New Roman" w:cs="Times New Roman"/>
                <w:iCs/>
                <w:szCs w:val="24"/>
                <w:lang w:val="en-GB"/>
              </w:rPr>
              <w:t xml:space="preserve">s to mitigate these effects are </w:t>
            </w:r>
            <w:r w:rsidR="00955124" w:rsidRPr="002C3584">
              <w:rPr>
                <w:rFonts w:eastAsia="Times New Roman" w:cs="Times New Roman"/>
                <w:iCs/>
                <w:szCs w:val="24"/>
                <w:lang w:val="en-GB"/>
              </w:rPr>
              <w:t xml:space="preserve">so far </w:t>
            </w:r>
            <w:r w:rsidR="00ED375C" w:rsidRPr="002C3584">
              <w:rPr>
                <w:rFonts w:eastAsia="Times New Roman" w:cs="Times New Roman"/>
                <w:iCs/>
                <w:szCs w:val="24"/>
                <w:lang w:val="en-GB"/>
              </w:rPr>
              <w:t>limited.</w:t>
            </w:r>
          </w:p>
        </w:tc>
        <w:tc>
          <w:tcPr>
            <w:tcW w:w="1530" w:type="dxa"/>
            <w:shd w:val="clear" w:color="auto" w:fill="auto"/>
          </w:tcPr>
          <w:p w14:paraId="6794088D" w14:textId="77777777" w:rsidR="00C87859" w:rsidRPr="00C87859" w:rsidRDefault="00C87859" w:rsidP="00C87859">
            <w:pPr>
              <w:spacing w:before="120" w:after="120"/>
              <w:rPr>
                <w:rFonts w:ascii="Times New Roman" w:eastAsia="Times New Roman" w:hAnsi="Times New Roman" w:cs="Times New Roman"/>
                <w:iCs/>
                <w:szCs w:val="24"/>
                <w:lang w:val="en-GB"/>
              </w:rPr>
            </w:pPr>
          </w:p>
        </w:tc>
      </w:tr>
      <w:tr w:rsidR="00C87859" w:rsidRPr="00B534D3" w14:paraId="41C93F1F" w14:textId="77777777" w:rsidTr="000923E4">
        <w:tc>
          <w:tcPr>
            <w:tcW w:w="9576" w:type="dxa"/>
            <w:gridSpan w:val="4"/>
            <w:shd w:val="clear" w:color="auto" w:fill="D9D9D9"/>
          </w:tcPr>
          <w:p w14:paraId="1A6C24B7" w14:textId="77777777" w:rsidR="00C87859" w:rsidRPr="00C87859" w:rsidRDefault="00C87859" w:rsidP="00C87859">
            <w:pPr>
              <w:spacing w:before="120" w:after="120"/>
              <w:rPr>
                <w:rFonts w:ascii="Times New Roman" w:eastAsia="Times New Roman" w:hAnsi="Times New Roman" w:cs="Times New Roman"/>
                <w:i/>
                <w:iCs/>
                <w:szCs w:val="24"/>
                <w:lang w:val="en-GB"/>
              </w:rPr>
            </w:pPr>
            <w:r w:rsidRPr="00C87859">
              <w:rPr>
                <w:rFonts w:ascii="Times New Roman" w:eastAsia="Times New Roman" w:hAnsi="Times New Roman" w:cs="Times New Roman"/>
                <w:i/>
                <w:iCs/>
                <w:szCs w:val="24"/>
                <w:lang w:val="en-GB"/>
              </w:rPr>
              <w:t>Criterion 6: Magnitude of actual and potential impact of the identified issue on human well-being</w:t>
            </w:r>
          </w:p>
        </w:tc>
      </w:tr>
      <w:tr w:rsidR="00C105B6" w:rsidRPr="00B534D3" w14:paraId="163CA6B3" w14:textId="77777777" w:rsidTr="000923E4">
        <w:tc>
          <w:tcPr>
            <w:tcW w:w="675" w:type="dxa"/>
            <w:gridSpan w:val="2"/>
          </w:tcPr>
          <w:p w14:paraId="60875C68" w14:textId="77777777" w:rsidR="00C87859" w:rsidRPr="00C87859" w:rsidRDefault="00C87859" w:rsidP="00C87859">
            <w:pPr>
              <w:spacing w:before="120" w:after="120"/>
              <w:jc w:val="center"/>
              <w:rPr>
                <w:rFonts w:ascii="Times New Roman" w:eastAsia="Times New Roman" w:hAnsi="Times New Roman" w:cs="Times New Roman"/>
                <w:iCs/>
                <w:kern w:val="22"/>
                <w:lang w:val="en-GB"/>
              </w:rPr>
            </w:pPr>
          </w:p>
        </w:tc>
        <w:tc>
          <w:tcPr>
            <w:tcW w:w="7371" w:type="dxa"/>
            <w:shd w:val="clear" w:color="auto" w:fill="auto"/>
          </w:tcPr>
          <w:p w14:paraId="43F0DAF2" w14:textId="2F9EB315" w:rsidR="00C87859" w:rsidRPr="002C3584" w:rsidRDefault="00B93687" w:rsidP="00F74BE8">
            <w:pPr>
              <w:spacing w:before="120" w:after="120"/>
              <w:jc w:val="both"/>
              <w:rPr>
                <w:rFonts w:ascii="Calibri" w:eastAsia="Times New Roman" w:hAnsi="Calibri" w:cs="Times New Roman"/>
                <w:iCs/>
                <w:szCs w:val="24"/>
                <w:lang w:val="en-GB"/>
              </w:rPr>
            </w:pPr>
            <w:r w:rsidRPr="002C3584">
              <w:rPr>
                <w:rFonts w:ascii="Calibri" w:eastAsia="Times New Roman" w:hAnsi="Calibri" w:cs="Times New Roman"/>
                <w:iCs/>
                <w:szCs w:val="24"/>
                <w:lang w:val="en-GB"/>
              </w:rPr>
              <w:t xml:space="preserve">As stated before, </w:t>
            </w:r>
            <w:r w:rsidR="002E3DE2" w:rsidRPr="002C3584">
              <w:rPr>
                <w:rFonts w:ascii="Calibri" w:eastAsia="Times New Roman" w:hAnsi="Calibri" w:cs="Times New Roman"/>
                <w:iCs/>
                <w:kern w:val="22"/>
                <w:szCs w:val="24"/>
                <w:lang w:val="en-GB"/>
              </w:rPr>
              <w:t xml:space="preserve">we consider that organisms, components and products of synthetic biology can have neutral, positive or negative effects on biodiversity. </w:t>
            </w:r>
            <w:r w:rsidR="00ED059C" w:rsidRPr="002C3584">
              <w:rPr>
                <w:rFonts w:ascii="Calibri" w:eastAsia="Times New Roman" w:hAnsi="Calibri" w:cs="Times New Roman"/>
                <w:iCs/>
                <w:kern w:val="22"/>
                <w:szCs w:val="24"/>
                <w:lang w:val="en-GB"/>
              </w:rPr>
              <w:t xml:space="preserve">The magnitude of these potential effects </w:t>
            </w:r>
            <w:proofErr w:type="gramStart"/>
            <w:r w:rsidR="00ED059C" w:rsidRPr="002C3584">
              <w:rPr>
                <w:rFonts w:ascii="Calibri" w:eastAsia="Times New Roman" w:hAnsi="Calibri" w:cs="Times New Roman"/>
                <w:iCs/>
                <w:kern w:val="22"/>
                <w:szCs w:val="24"/>
                <w:lang w:val="en-GB"/>
              </w:rPr>
              <w:t>cannot be predicted</w:t>
            </w:r>
            <w:proofErr w:type="gramEnd"/>
            <w:r w:rsidR="00ED059C" w:rsidRPr="002C3584">
              <w:rPr>
                <w:rFonts w:ascii="Calibri" w:eastAsia="Times New Roman" w:hAnsi="Calibri" w:cs="Times New Roman"/>
                <w:iCs/>
                <w:kern w:val="22"/>
                <w:szCs w:val="24"/>
                <w:lang w:val="en-GB"/>
              </w:rPr>
              <w:t xml:space="preserve"> </w:t>
            </w:r>
            <w:r w:rsidR="00C24FDD" w:rsidRPr="002C3584">
              <w:rPr>
                <w:rFonts w:ascii="Calibri" w:eastAsia="Times New Roman" w:hAnsi="Calibri" w:cs="Times New Roman"/>
                <w:iCs/>
                <w:kern w:val="22"/>
                <w:szCs w:val="24"/>
                <w:lang w:val="en-GB"/>
              </w:rPr>
              <w:t xml:space="preserve">in a generalized manner </w:t>
            </w:r>
            <w:r w:rsidR="00ED059C" w:rsidRPr="002C3584">
              <w:rPr>
                <w:rFonts w:ascii="Calibri" w:eastAsia="Times New Roman" w:hAnsi="Calibri" w:cs="Times New Roman"/>
                <w:iCs/>
                <w:kern w:val="22"/>
                <w:szCs w:val="24"/>
                <w:lang w:val="en-GB"/>
              </w:rPr>
              <w:t>and ha</w:t>
            </w:r>
            <w:r w:rsidR="00F74BE8" w:rsidRPr="002C3584">
              <w:rPr>
                <w:rFonts w:ascii="Calibri" w:eastAsia="Times New Roman" w:hAnsi="Calibri" w:cs="Times New Roman"/>
                <w:iCs/>
                <w:kern w:val="22"/>
                <w:szCs w:val="24"/>
                <w:lang w:val="en-GB"/>
              </w:rPr>
              <w:t>s</w:t>
            </w:r>
            <w:r w:rsidR="00ED059C" w:rsidRPr="002C3584">
              <w:rPr>
                <w:rFonts w:ascii="Calibri" w:eastAsia="Times New Roman" w:hAnsi="Calibri" w:cs="Times New Roman"/>
                <w:iCs/>
                <w:kern w:val="22"/>
                <w:szCs w:val="24"/>
                <w:lang w:val="en-GB"/>
              </w:rPr>
              <w:t xml:space="preserve"> to be assessed on a case-by-case basis.</w:t>
            </w:r>
          </w:p>
        </w:tc>
        <w:tc>
          <w:tcPr>
            <w:tcW w:w="1530" w:type="dxa"/>
            <w:shd w:val="clear" w:color="auto" w:fill="auto"/>
          </w:tcPr>
          <w:p w14:paraId="0A0C559A" w14:textId="77777777" w:rsidR="00C87859" w:rsidRPr="00C87859" w:rsidRDefault="00C87859" w:rsidP="00C87859">
            <w:pPr>
              <w:spacing w:before="120" w:after="120"/>
              <w:rPr>
                <w:rFonts w:ascii="Times New Roman" w:eastAsia="Times New Roman" w:hAnsi="Times New Roman" w:cs="Times New Roman"/>
                <w:iCs/>
                <w:szCs w:val="24"/>
                <w:lang w:val="en-GB"/>
              </w:rPr>
            </w:pPr>
          </w:p>
        </w:tc>
      </w:tr>
      <w:tr w:rsidR="00C87859" w:rsidRPr="00B534D3" w14:paraId="700D022F" w14:textId="77777777" w:rsidTr="000923E4">
        <w:tc>
          <w:tcPr>
            <w:tcW w:w="9576" w:type="dxa"/>
            <w:gridSpan w:val="4"/>
            <w:shd w:val="clear" w:color="auto" w:fill="D9D9D9"/>
          </w:tcPr>
          <w:p w14:paraId="2FD3EBE2" w14:textId="77777777" w:rsidR="00C87859" w:rsidRPr="00C87859" w:rsidRDefault="00C87859" w:rsidP="00C87859">
            <w:pPr>
              <w:spacing w:before="120" w:after="120"/>
              <w:rPr>
                <w:rFonts w:ascii="Times New Roman" w:eastAsia="Times New Roman" w:hAnsi="Times New Roman" w:cs="Times New Roman"/>
                <w:i/>
                <w:iCs/>
                <w:szCs w:val="24"/>
                <w:lang w:val="en-GB"/>
              </w:rPr>
            </w:pPr>
            <w:r w:rsidRPr="00C87859">
              <w:rPr>
                <w:rFonts w:ascii="Times New Roman" w:eastAsia="Times New Roman" w:hAnsi="Times New Roman" w:cs="Times New Roman"/>
                <w:i/>
                <w:iCs/>
                <w:szCs w:val="24"/>
                <w:lang w:val="en-GB"/>
              </w:rPr>
              <w:t>Criterion 7: Magnitude of actual and potential impact of the identified issue on productive sectors and economic well-being as related to the conservation and sustainable use of biodiversity</w:t>
            </w:r>
          </w:p>
        </w:tc>
      </w:tr>
      <w:tr w:rsidR="00C105B6" w:rsidRPr="00B534D3" w14:paraId="101C6122" w14:textId="77777777" w:rsidTr="000923E4">
        <w:tc>
          <w:tcPr>
            <w:tcW w:w="675" w:type="dxa"/>
            <w:gridSpan w:val="2"/>
          </w:tcPr>
          <w:p w14:paraId="3E19B10C" w14:textId="77777777" w:rsidR="00C87859" w:rsidRPr="00C87859" w:rsidRDefault="00C87859" w:rsidP="00C87859">
            <w:pPr>
              <w:spacing w:before="120" w:after="120"/>
              <w:jc w:val="center"/>
              <w:rPr>
                <w:rFonts w:ascii="Times New Roman" w:eastAsia="Times New Roman" w:hAnsi="Times New Roman" w:cs="Times New Roman"/>
                <w:iCs/>
                <w:kern w:val="22"/>
                <w:szCs w:val="24"/>
                <w:lang w:val="en-GB"/>
              </w:rPr>
            </w:pPr>
          </w:p>
        </w:tc>
        <w:tc>
          <w:tcPr>
            <w:tcW w:w="7371" w:type="dxa"/>
            <w:shd w:val="clear" w:color="auto" w:fill="auto"/>
          </w:tcPr>
          <w:p w14:paraId="7AA9E974" w14:textId="77777777" w:rsidR="00C87859" w:rsidRPr="002C3584" w:rsidRDefault="002E3DE2" w:rsidP="002E3DE2">
            <w:pPr>
              <w:spacing w:before="120" w:after="120"/>
              <w:jc w:val="both"/>
              <w:rPr>
                <w:rFonts w:eastAsia="Times New Roman" w:cs="Times New Roman"/>
                <w:iCs/>
                <w:szCs w:val="24"/>
                <w:lang w:val="en-GB"/>
              </w:rPr>
            </w:pPr>
            <w:r w:rsidRPr="002C3584">
              <w:rPr>
                <w:rFonts w:eastAsia="Times New Roman" w:cs="Times New Roman"/>
                <w:iCs/>
                <w:kern w:val="22"/>
                <w:szCs w:val="24"/>
                <w:lang w:val="en-GB"/>
              </w:rPr>
              <w:t xml:space="preserve">Organisms, components and products of synthetic biology can have neutral, positive or negative effects on several productive sectors such as agriculture, medical sector, in biofuel production and food sector (e.g. additives, colorants, </w:t>
            </w:r>
            <w:proofErr w:type="gramStart"/>
            <w:r w:rsidRPr="002C3584">
              <w:rPr>
                <w:rFonts w:eastAsia="Times New Roman" w:cs="Times New Roman"/>
                <w:iCs/>
                <w:kern w:val="22"/>
                <w:szCs w:val="24"/>
                <w:lang w:val="en-GB"/>
              </w:rPr>
              <w:t>flavourings</w:t>
            </w:r>
            <w:proofErr w:type="gramEnd"/>
            <w:r w:rsidRPr="002C3584">
              <w:rPr>
                <w:rFonts w:eastAsia="Times New Roman" w:cs="Times New Roman"/>
                <w:iCs/>
                <w:kern w:val="22"/>
                <w:szCs w:val="24"/>
                <w:lang w:val="en-GB"/>
              </w:rPr>
              <w:t xml:space="preserve">). </w:t>
            </w:r>
          </w:p>
        </w:tc>
        <w:tc>
          <w:tcPr>
            <w:tcW w:w="1530" w:type="dxa"/>
            <w:shd w:val="clear" w:color="auto" w:fill="auto"/>
          </w:tcPr>
          <w:p w14:paraId="636E0E02" w14:textId="77777777" w:rsidR="00C87859" w:rsidRPr="00C87859" w:rsidRDefault="00C87859" w:rsidP="00C87859">
            <w:pPr>
              <w:spacing w:before="120" w:after="120"/>
              <w:rPr>
                <w:rFonts w:ascii="Times New Roman" w:eastAsia="Times New Roman" w:hAnsi="Times New Roman" w:cs="Times New Roman"/>
                <w:iCs/>
                <w:szCs w:val="24"/>
                <w:lang w:val="en-GB"/>
              </w:rPr>
            </w:pPr>
          </w:p>
        </w:tc>
      </w:tr>
    </w:tbl>
    <w:p w14:paraId="2BC7193D" w14:textId="77777777" w:rsidR="00C87859" w:rsidRPr="00C87859" w:rsidRDefault="00C87859" w:rsidP="00C87859">
      <w:pPr>
        <w:adjustRightInd w:val="0"/>
        <w:snapToGrid w:val="0"/>
        <w:spacing w:before="120" w:after="120"/>
        <w:jc w:val="both"/>
        <w:rPr>
          <w:rFonts w:ascii="Times New Roman" w:eastAsia="Times New Roman" w:hAnsi="Times New Roman" w:cs="Times New Roman"/>
          <w:snapToGrid w:val="0"/>
          <w:kern w:val="22"/>
          <w:szCs w:val="18"/>
          <w:lang w:val="en-GB" w:eastAsia="x-none"/>
        </w:rPr>
      </w:pPr>
    </w:p>
    <w:p w14:paraId="1020025E" w14:textId="77777777" w:rsidR="00665E8D" w:rsidRPr="00C87859" w:rsidRDefault="00665E8D" w:rsidP="00665E8D">
      <w:pPr>
        <w:pStyle w:val="PlainText"/>
        <w:rPr>
          <w:b/>
          <w:lang w:val="en-GB"/>
        </w:rPr>
      </w:pPr>
    </w:p>
    <w:p w14:paraId="37079562" w14:textId="77777777" w:rsidR="00665E8D" w:rsidRPr="00C87859" w:rsidRDefault="00665E8D" w:rsidP="00665E8D">
      <w:pPr>
        <w:pStyle w:val="PlainText"/>
        <w:rPr>
          <w:b/>
          <w:lang w:val="en-CA"/>
        </w:rPr>
      </w:pPr>
      <w:r w:rsidRPr="00C87859">
        <w:rPr>
          <w:b/>
          <w:lang w:val="en-CA"/>
        </w:rPr>
        <w:t>(b)          New technological developments in synthetic biology since the last meeting of the Ad Hoc Technical Expert Group in December 2017, including the consideration, among other things, of concrete applications of genome editing if they relate to synthetic biology, in order to support a broad and r</w:t>
      </w:r>
      <w:r w:rsidR="00110D9E">
        <w:rPr>
          <w:b/>
          <w:lang w:val="en-CA"/>
        </w:rPr>
        <w:t>egular horizon scanning process</w:t>
      </w:r>
    </w:p>
    <w:p w14:paraId="3113CB0B" w14:textId="4ADBDE1D" w:rsidR="002C3584" w:rsidRDefault="002C3584" w:rsidP="00665E8D">
      <w:pPr>
        <w:pStyle w:val="PlainText"/>
        <w:rPr>
          <w:lang w:val="en-CA"/>
        </w:rPr>
      </w:pPr>
      <w:r>
        <w:rPr>
          <w:lang w:val="en-CA"/>
        </w:rPr>
        <w:t xml:space="preserve">We want to refer to the EU joint submission </w:t>
      </w:r>
      <w:r w:rsidR="00B534D3">
        <w:rPr>
          <w:lang w:val="en-CA"/>
        </w:rPr>
        <w:t xml:space="preserve">to this notification </w:t>
      </w:r>
      <w:r>
        <w:rPr>
          <w:lang w:val="en-CA"/>
        </w:rPr>
        <w:t xml:space="preserve">with respect to recent activities </w:t>
      </w:r>
      <w:proofErr w:type="gramStart"/>
      <w:r>
        <w:rPr>
          <w:lang w:val="en-CA"/>
        </w:rPr>
        <w:t>and  developments</w:t>
      </w:r>
      <w:proofErr w:type="gramEnd"/>
      <w:r>
        <w:rPr>
          <w:lang w:val="en-CA"/>
        </w:rPr>
        <w:t xml:space="preserve"> at the EU level. This </w:t>
      </w:r>
      <w:r w:rsidR="00B534D3">
        <w:rPr>
          <w:lang w:val="en-CA"/>
        </w:rPr>
        <w:t xml:space="preserve">EU </w:t>
      </w:r>
      <w:r>
        <w:rPr>
          <w:lang w:val="en-CA"/>
        </w:rPr>
        <w:t xml:space="preserve">submission </w:t>
      </w:r>
      <w:proofErr w:type="gramStart"/>
      <w:r>
        <w:rPr>
          <w:lang w:val="en-CA"/>
        </w:rPr>
        <w:t>will be sent</w:t>
      </w:r>
      <w:proofErr w:type="gramEnd"/>
      <w:r>
        <w:rPr>
          <w:lang w:val="en-CA"/>
        </w:rPr>
        <w:t xml:space="preserve"> as a separate submission.</w:t>
      </w:r>
    </w:p>
    <w:p w14:paraId="43BD1AA9" w14:textId="77777777" w:rsidR="002C3584" w:rsidRDefault="002C3584" w:rsidP="00665E8D">
      <w:pPr>
        <w:pStyle w:val="PlainText"/>
        <w:rPr>
          <w:lang w:val="en-CA"/>
        </w:rPr>
      </w:pPr>
    </w:p>
    <w:p w14:paraId="38FAA426" w14:textId="49272BB3" w:rsidR="005D725E" w:rsidRDefault="002C3584" w:rsidP="00665E8D">
      <w:pPr>
        <w:pStyle w:val="PlainText"/>
        <w:rPr>
          <w:lang w:val="en-US"/>
        </w:rPr>
      </w:pPr>
      <w:r>
        <w:rPr>
          <w:lang w:val="en-CA"/>
        </w:rPr>
        <w:t>In add</w:t>
      </w:r>
      <w:r w:rsidR="00B534D3">
        <w:rPr>
          <w:lang w:val="en-CA"/>
        </w:rPr>
        <w:t xml:space="preserve">ition, </w:t>
      </w:r>
      <w:r>
        <w:rPr>
          <w:lang w:val="en-CA"/>
        </w:rPr>
        <w:t>t</w:t>
      </w:r>
      <w:r w:rsidR="002E3DE2">
        <w:rPr>
          <w:lang w:val="en-CA"/>
        </w:rPr>
        <w:t>here have been quite some developments</w:t>
      </w:r>
      <w:r w:rsidR="00110D9E">
        <w:rPr>
          <w:lang w:val="en-CA"/>
        </w:rPr>
        <w:t xml:space="preserve"> in </w:t>
      </w:r>
      <w:r>
        <w:rPr>
          <w:lang w:val="en-CA"/>
        </w:rPr>
        <w:t>research on synthetic biology.</w:t>
      </w:r>
      <w:r w:rsidR="00110D9E">
        <w:rPr>
          <w:lang w:val="en-CA"/>
        </w:rPr>
        <w:t xml:space="preserve"> </w:t>
      </w:r>
      <w:r w:rsidR="00094332" w:rsidRPr="005D725E">
        <w:rPr>
          <w:lang w:val="en-US"/>
        </w:rPr>
        <w:t xml:space="preserve">These </w:t>
      </w:r>
      <w:r w:rsidR="00110D9E" w:rsidRPr="005D725E">
        <w:rPr>
          <w:lang w:val="en-US"/>
        </w:rPr>
        <w:t>have been documented in</w:t>
      </w:r>
      <w:r w:rsidR="008F5BA8" w:rsidRPr="005D725E">
        <w:rPr>
          <w:lang w:val="en-US"/>
        </w:rPr>
        <w:t xml:space="preserve"> literature</w:t>
      </w:r>
      <w:r w:rsidR="005D725E">
        <w:rPr>
          <w:lang w:val="en-US"/>
        </w:rPr>
        <w:t xml:space="preserve">, newsletters, </w:t>
      </w:r>
      <w:r w:rsidR="004E74D2">
        <w:rPr>
          <w:lang w:val="en-US"/>
        </w:rPr>
        <w:t>websi</w:t>
      </w:r>
      <w:r w:rsidR="005D725E" w:rsidRPr="005D725E">
        <w:rPr>
          <w:lang w:val="en-US"/>
        </w:rPr>
        <w:t>tes</w:t>
      </w:r>
      <w:r w:rsidR="004E74D2">
        <w:rPr>
          <w:lang w:val="en-US"/>
        </w:rPr>
        <w:t xml:space="preserve"> (for example from start</w:t>
      </w:r>
      <w:r w:rsidR="00FC3743">
        <w:rPr>
          <w:lang w:val="en-US"/>
        </w:rPr>
        <w:t>-</w:t>
      </w:r>
      <w:r w:rsidR="004E74D2">
        <w:rPr>
          <w:lang w:val="en-US"/>
        </w:rPr>
        <w:t>up companies)</w:t>
      </w:r>
      <w:r w:rsidR="005D725E">
        <w:rPr>
          <w:lang w:val="en-US"/>
        </w:rPr>
        <w:t xml:space="preserve"> and through </w:t>
      </w:r>
      <w:proofErr w:type="spellStart"/>
      <w:r w:rsidR="005D725E">
        <w:rPr>
          <w:lang w:val="en-US"/>
        </w:rPr>
        <w:t>iGEM</w:t>
      </w:r>
      <w:proofErr w:type="spellEnd"/>
      <w:r w:rsidR="005D725E">
        <w:rPr>
          <w:lang w:val="en-US"/>
        </w:rPr>
        <w:t xml:space="preserve"> competitions</w:t>
      </w:r>
      <w:r w:rsidR="008F5BA8" w:rsidRPr="005D725E">
        <w:rPr>
          <w:lang w:val="en-US"/>
        </w:rPr>
        <w:t xml:space="preserve">. </w:t>
      </w:r>
      <w:r w:rsidR="005D725E" w:rsidRPr="005D725E">
        <w:rPr>
          <w:lang w:val="en-US"/>
        </w:rPr>
        <w:t xml:space="preserve">In </w:t>
      </w:r>
      <w:r w:rsidR="005D725E">
        <w:rPr>
          <w:lang w:val="en-US"/>
        </w:rPr>
        <w:t>the</w:t>
      </w:r>
      <w:r w:rsidR="005D725E" w:rsidRPr="005D725E">
        <w:rPr>
          <w:lang w:val="en-US"/>
        </w:rPr>
        <w:t xml:space="preserve"> </w:t>
      </w:r>
      <w:proofErr w:type="gramStart"/>
      <w:r w:rsidR="005D725E">
        <w:rPr>
          <w:lang w:val="en-US"/>
        </w:rPr>
        <w:t>Netherl</w:t>
      </w:r>
      <w:r w:rsidR="005D725E" w:rsidRPr="005D725E">
        <w:rPr>
          <w:lang w:val="en-US"/>
        </w:rPr>
        <w:t>ands</w:t>
      </w:r>
      <w:proofErr w:type="gramEnd"/>
      <w:r w:rsidR="005D725E" w:rsidRPr="005D725E">
        <w:rPr>
          <w:lang w:val="en-US"/>
        </w:rPr>
        <w:t xml:space="preserve"> a new</w:t>
      </w:r>
      <w:r w:rsidR="005D725E">
        <w:rPr>
          <w:lang w:val="en-US"/>
        </w:rPr>
        <w:t xml:space="preserve">sletter on new developments and applications (titled ‘the Symbiont’) </w:t>
      </w:r>
      <w:r w:rsidR="005D725E" w:rsidRPr="005D725E">
        <w:rPr>
          <w:lang w:val="en-US"/>
        </w:rPr>
        <w:t>is published</w:t>
      </w:r>
      <w:r w:rsidR="005D725E">
        <w:rPr>
          <w:lang w:val="en-US"/>
        </w:rPr>
        <w:t xml:space="preserve"> on a regular basis, but is only available in Dutch. </w:t>
      </w:r>
    </w:p>
    <w:p w14:paraId="02780D97" w14:textId="77777777" w:rsidR="0000479D" w:rsidRDefault="008F5BA8" w:rsidP="00665E8D">
      <w:pPr>
        <w:pStyle w:val="PlainText"/>
        <w:rPr>
          <w:lang w:val="en-US"/>
        </w:rPr>
      </w:pPr>
      <w:r w:rsidRPr="005D725E">
        <w:rPr>
          <w:lang w:val="en-US"/>
        </w:rPr>
        <w:t xml:space="preserve">Some reports </w:t>
      </w:r>
      <w:r w:rsidR="005D725E" w:rsidRPr="005D725E">
        <w:rPr>
          <w:lang w:val="en-US"/>
        </w:rPr>
        <w:t xml:space="preserve">that </w:t>
      </w:r>
      <w:proofErr w:type="gramStart"/>
      <w:r w:rsidR="005D725E" w:rsidRPr="005D725E">
        <w:rPr>
          <w:lang w:val="en-US"/>
        </w:rPr>
        <w:t>have been published</w:t>
      </w:r>
      <w:proofErr w:type="gramEnd"/>
      <w:r w:rsidR="005D725E" w:rsidRPr="005D725E">
        <w:rPr>
          <w:lang w:val="en-US"/>
        </w:rPr>
        <w:t xml:space="preserve"> </w:t>
      </w:r>
      <w:r w:rsidR="005D725E">
        <w:rPr>
          <w:lang w:val="en-US"/>
        </w:rPr>
        <w:t xml:space="preserve">since 2017 </w:t>
      </w:r>
      <w:r w:rsidR="005D725E" w:rsidRPr="005D725E">
        <w:rPr>
          <w:lang w:val="en-US"/>
        </w:rPr>
        <w:t>that h</w:t>
      </w:r>
      <w:r w:rsidR="005D725E">
        <w:rPr>
          <w:lang w:val="en-US"/>
        </w:rPr>
        <w:t>i</w:t>
      </w:r>
      <w:r w:rsidR="005D725E" w:rsidRPr="005D725E">
        <w:rPr>
          <w:lang w:val="en-US"/>
        </w:rPr>
        <w:t>ghlight new developments</w:t>
      </w:r>
      <w:r w:rsidR="005D725E">
        <w:rPr>
          <w:lang w:val="en-US"/>
        </w:rPr>
        <w:t xml:space="preserve"> and concrete applications</w:t>
      </w:r>
      <w:r w:rsidR="0000479D">
        <w:rPr>
          <w:lang w:val="en-US"/>
        </w:rPr>
        <w:t xml:space="preserve"> </w:t>
      </w:r>
      <w:r w:rsidR="005D725E">
        <w:rPr>
          <w:lang w:val="en-US"/>
        </w:rPr>
        <w:t>of modern biotechnology</w:t>
      </w:r>
      <w:r w:rsidR="0000479D">
        <w:rPr>
          <w:lang w:val="en-US"/>
        </w:rPr>
        <w:t xml:space="preserve">, expected timeline and the consequence for risk assessment </w:t>
      </w:r>
      <w:r w:rsidR="004E74D2">
        <w:rPr>
          <w:lang w:val="en-US"/>
        </w:rPr>
        <w:t>are:</w:t>
      </w:r>
    </w:p>
    <w:p w14:paraId="52AE0DC8" w14:textId="77777777" w:rsidR="005D725E" w:rsidRDefault="005D725E" w:rsidP="00665E8D">
      <w:pPr>
        <w:pStyle w:val="PlainText"/>
        <w:rPr>
          <w:lang w:val="en-US"/>
        </w:rPr>
      </w:pPr>
      <w:r>
        <w:rPr>
          <w:lang w:val="en-US"/>
        </w:rPr>
        <w:t xml:space="preserve">-Preparing for future products of biotechnology (2017) Report of the National Academy of Science </w:t>
      </w:r>
    </w:p>
    <w:p w14:paraId="7A5386C6" w14:textId="77777777" w:rsidR="0000479D" w:rsidRPr="0000479D" w:rsidRDefault="005D725E" w:rsidP="0000479D">
      <w:pPr>
        <w:pStyle w:val="PlainText"/>
        <w:rPr>
          <w:i/>
          <w:lang w:val="en-US"/>
        </w:rPr>
      </w:pPr>
      <w:r w:rsidRPr="0000479D">
        <w:rPr>
          <w:i/>
          <w:lang w:val="en-US"/>
        </w:rPr>
        <w:t xml:space="preserve">https://www.nap.edu/catalog/24605/preparing-for-future-products-of-biotechnology </w:t>
      </w:r>
    </w:p>
    <w:p w14:paraId="716657F5" w14:textId="77777777" w:rsidR="0000479D" w:rsidRPr="00F74BE8" w:rsidRDefault="0000479D" w:rsidP="0000479D">
      <w:pPr>
        <w:pStyle w:val="PlainText"/>
        <w:rPr>
          <w:lang w:val="en-US"/>
        </w:rPr>
      </w:pPr>
      <w:r>
        <w:rPr>
          <w:lang w:val="en-US"/>
        </w:rPr>
        <w:t>-</w:t>
      </w:r>
      <w:r w:rsidRPr="0000479D">
        <w:rPr>
          <w:lang w:val="en-US"/>
        </w:rPr>
        <w:t>Assessmen</w:t>
      </w:r>
      <w:r>
        <w:rPr>
          <w:lang w:val="en-US"/>
        </w:rPr>
        <w:t>t of human health and environmen</w:t>
      </w:r>
      <w:r w:rsidRPr="0000479D">
        <w:rPr>
          <w:lang w:val="en-US"/>
        </w:rPr>
        <w:t xml:space="preserve">tal risks of </w:t>
      </w:r>
      <w:r>
        <w:rPr>
          <w:lang w:val="en-US"/>
        </w:rPr>
        <w:t xml:space="preserve">new developments in modern biotechnology - a policy report (2018). </w:t>
      </w:r>
      <w:r w:rsidRPr="00F74BE8">
        <w:rPr>
          <w:lang w:val="en-US"/>
        </w:rPr>
        <w:t>RIVM report (Hogervorst et al.).</w:t>
      </w:r>
    </w:p>
    <w:p w14:paraId="7E493FEC" w14:textId="77777777" w:rsidR="005D725E" w:rsidRPr="00F74BE8" w:rsidRDefault="0000479D" w:rsidP="0000479D">
      <w:pPr>
        <w:pStyle w:val="PlainText"/>
        <w:rPr>
          <w:i/>
          <w:lang w:val="en-US"/>
        </w:rPr>
      </w:pPr>
      <w:r w:rsidRPr="00F74BE8">
        <w:rPr>
          <w:i/>
          <w:lang w:val="en-US"/>
        </w:rPr>
        <w:lastRenderedPageBreak/>
        <w:t>https://www.rivm.nl/publicaties/assessment-of-human-health-and-environmental-risks-of-new-developments-in-modern-biotechnology</w:t>
      </w:r>
    </w:p>
    <w:p w14:paraId="5B262C8E" w14:textId="77777777" w:rsidR="0000479D" w:rsidRDefault="0000479D" w:rsidP="0000479D">
      <w:pPr>
        <w:pStyle w:val="PlainText"/>
        <w:rPr>
          <w:lang w:val="en-US"/>
        </w:rPr>
      </w:pPr>
      <w:r>
        <w:rPr>
          <w:lang w:val="en-US"/>
        </w:rPr>
        <w:t xml:space="preserve">The RIVM report </w:t>
      </w:r>
      <w:proofErr w:type="gramStart"/>
      <w:r>
        <w:rPr>
          <w:lang w:val="en-US"/>
        </w:rPr>
        <w:t>is based</w:t>
      </w:r>
      <w:proofErr w:type="gramEnd"/>
      <w:r>
        <w:rPr>
          <w:lang w:val="en-US"/>
        </w:rPr>
        <w:t xml:space="preserve"> on three reports commissioned by RIVM that describe new developments in red, white and green biotechnology, among others. References </w:t>
      </w:r>
      <w:proofErr w:type="gramStart"/>
      <w:r>
        <w:rPr>
          <w:lang w:val="en-US"/>
        </w:rPr>
        <w:t>can be found</w:t>
      </w:r>
      <w:proofErr w:type="gramEnd"/>
      <w:r>
        <w:rPr>
          <w:lang w:val="en-US"/>
        </w:rPr>
        <w:t xml:space="preserve"> in the report.  </w:t>
      </w:r>
    </w:p>
    <w:p w14:paraId="62882C1C" w14:textId="77777777" w:rsidR="004E74D2" w:rsidRDefault="004E74D2" w:rsidP="0000479D">
      <w:pPr>
        <w:pStyle w:val="PlainText"/>
        <w:rPr>
          <w:lang w:val="en-US"/>
        </w:rPr>
      </w:pPr>
    </w:p>
    <w:p w14:paraId="1D1116ED" w14:textId="77777777" w:rsidR="0000479D" w:rsidRPr="0000479D" w:rsidRDefault="0000479D" w:rsidP="0000479D">
      <w:pPr>
        <w:pStyle w:val="PlainText"/>
        <w:rPr>
          <w:lang w:val="en-US"/>
        </w:rPr>
      </w:pPr>
    </w:p>
    <w:p w14:paraId="33A93307" w14:textId="77777777" w:rsidR="00665E8D" w:rsidRPr="00C87859" w:rsidRDefault="0000479D" w:rsidP="00665E8D">
      <w:pPr>
        <w:pStyle w:val="PlainText"/>
        <w:rPr>
          <w:b/>
          <w:lang w:val="en-CA"/>
        </w:rPr>
      </w:pPr>
      <w:r w:rsidRPr="00C87859">
        <w:rPr>
          <w:b/>
          <w:lang w:val="en-CA"/>
        </w:rPr>
        <w:t xml:space="preserve"> </w:t>
      </w:r>
      <w:proofErr w:type="gramStart"/>
      <w:r w:rsidR="00665E8D" w:rsidRPr="00C87859">
        <w:rPr>
          <w:b/>
          <w:lang w:val="en-CA"/>
        </w:rPr>
        <w:t>(c)           The current state of knowledge by analysing information, including but not limited to peer-reviewed published literature, on the potential 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w:t>
      </w:r>
      <w:r w:rsidR="00110D9E">
        <w:rPr>
          <w:b/>
          <w:lang w:val="en-CA"/>
        </w:rPr>
        <w:t>ynamics of their dissemination</w:t>
      </w:r>
      <w:proofErr w:type="gramEnd"/>
    </w:p>
    <w:p w14:paraId="7D175E78" w14:textId="77777777" w:rsidR="007001A0" w:rsidRDefault="007001A0" w:rsidP="009E634C">
      <w:pPr>
        <w:pStyle w:val="Default"/>
        <w:rPr>
          <w:rFonts w:asciiTheme="minorHAnsi" w:hAnsiTheme="minorHAnsi"/>
          <w:sz w:val="18"/>
          <w:szCs w:val="18"/>
          <w:lang w:val="en-CA"/>
        </w:rPr>
      </w:pPr>
    </w:p>
    <w:p w14:paraId="340B9294" w14:textId="77777777" w:rsidR="00FC3743" w:rsidRDefault="00094332" w:rsidP="00D75BDE">
      <w:pPr>
        <w:pStyle w:val="PlainText"/>
        <w:rPr>
          <w:rFonts w:asciiTheme="minorHAnsi" w:hAnsiTheme="minorHAnsi"/>
          <w:lang w:val="en-CA"/>
        </w:rPr>
      </w:pPr>
      <w:r w:rsidRPr="004E74D2">
        <w:rPr>
          <w:lang w:val="en-CA"/>
        </w:rPr>
        <w:t xml:space="preserve">Potential positive and negative environmental impacts </w:t>
      </w:r>
      <w:r w:rsidR="006B1DBB" w:rsidRPr="004E74D2">
        <w:rPr>
          <w:lang w:val="en-CA"/>
        </w:rPr>
        <w:t xml:space="preserve">resulting from applications of synthetic biology, including organisms containing engineered gene drives, </w:t>
      </w:r>
      <w:r w:rsidRPr="004E74D2">
        <w:rPr>
          <w:lang w:val="en-CA"/>
        </w:rPr>
        <w:t>can only be assessed based on a case-by-case</w:t>
      </w:r>
      <w:r w:rsidR="009E634C" w:rsidRPr="004E74D2">
        <w:rPr>
          <w:lang w:val="en-CA"/>
        </w:rPr>
        <w:t xml:space="preserve"> environmental</w:t>
      </w:r>
      <w:r w:rsidRPr="004E74D2">
        <w:rPr>
          <w:lang w:val="en-CA"/>
        </w:rPr>
        <w:t xml:space="preserve"> risk</w:t>
      </w:r>
      <w:r w:rsidR="006B1DBB" w:rsidRPr="004E74D2">
        <w:rPr>
          <w:lang w:val="en-CA"/>
        </w:rPr>
        <w:t xml:space="preserve"> assessment. This risk assessment takes into account, among others, aspects such as the specific trait, species and dissemination</w:t>
      </w:r>
      <w:r w:rsidR="004E74D2" w:rsidRPr="004E74D2">
        <w:rPr>
          <w:rFonts w:asciiTheme="minorHAnsi" w:hAnsiTheme="minorHAnsi"/>
          <w:lang w:val="en-CA"/>
        </w:rPr>
        <w:t xml:space="preserve"> and for gene </w:t>
      </w:r>
      <w:proofErr w:type="gramStart"/>
      <w:r w:rsidR="004E74D2" w:rsidRPr="004E74D2">
        <w:rPr>
          <w:rFonts w:asciiTheme="minorHAnsi" w:hAnsiTheme="minorHAnsi"/>
          <w:lang w:val="en-CA"/>
        </w:rPr>
        <w:t>drives also</w:t>
      </w:r>
      <w:proofErr w:type="gramEnd"/>
      <w:r w:rsidR="004E74D2" w:rsidRPr="004E74D2">
        <w:rPr>
          <w:rFonts w:asciiTheme="minorHAnsi" w:hAnsiTheme="minorHAnsi"/>
          <w:lang w:val="en-CA"/>
        </w:rPr>
        <w:t xml:space="preserve"> the type of gene drive system (low threshold, high threshold gene drive).</w:t>
      </w:r>
    </w:p>
    <w:p w14:paraId="04901403" w14:textId="2811A90A" w:rsidR="00D75BDE" w:rsidRPr="004E74D2" w:rsidRDefault="009E634C" w:rsidP="00D75BDE">
      <w:pPr>
        <w:pStyle w:val="PlainText"/>
        <w:rPr>
          <w:i/>
          <w:lang w:val="en-US"/>
        </w:rPr>
      </w:pPr>
      <w:r w:rsidRPr="004E74D2">
        <w:rPr>
          <w:lang w:val="en-CA"/>
        </w:rPr>
        <w:t xml:space="preserve">For most applications of synthetic biology the </w:t>
      </w:r>
      <w:r w:rsidR="00265264">
        <w:rPr>
          <w:lang w:val="en-CA"/>
        </w:rPr>
        <w:t>c</w:t>
      </w:r>
      <w:r w:rsidR="00ED059C">
        <w:rPr>
          <w:lang w:val="en-CA"/>
        </w:rPr>
        <w:t xml:space="preserve">urrent </w:t>
      </w:r>
      <w:r w:rsidRPr="004E74D2">
        <w:rPr>
          <w:lang w:val="en-CA"/>
        </w:rPr>
        <w:t xml:space="preserve">environmental </w:t>
      </w:r>
      <w:proofErr w:type="gramStart"/>
      <w:r w:rsidRPr="004E74D2">
        <w:rPr>
          <w:lang w:val="en-CA"/>
        </w:rPr>
        <w:t>risk</w:t>
      </w:r>
      <w:proofErr w:type="gramEnd"/>
      <w:r w:rsidRPr="004E74D2">
        <w:rPr>
          <w:lang w:val="en-CA"/>
        </w:rPr>
        <w:t xml:space="preserve"> assessment methods</w:t>
      </w:r>
      <w:r w:rsidR="00265264">
        <w:rPr>
          <w:lang w:val="en-CA"/>
        </w:rPr>
        <w:t>,</w:t>
      </w:r>
      <w:r w:rsidRPr="004E74D2">
        <w:rPr>
          <w:lang w:val="en-CA"/>
        </w:rPr>
        <w:t xml:space="preserve"> used for LMOs</w:t>
      </w:r>
      <w:r w:rsidR="00265264">
        <w:rPr>
          <w:lang w:val="en-CA"/>
        </w:rPr>
        <w:t>,</w:t>
      </w:r>
      <w:r w:rsidRPr="004E74D2">
        <w:rPr>
          <w:lang w:val="en-CA"/>
        </w:rPr>
        <w:t xml:space="preserve"> can be applied. However, for some </w:t>
      </w:r>
      <w:proofErr w:type="gramStart"/>
      <w:r w:rsidRPr="004E74D2">
        <w:rPr>
          <w:lang w:val="en-CA"/>
        </w:rPr>
        <w:t>applications</w:t>
      </w:r>
      <w:proofErr w:type="gramEnd"/>
      <w:r w:rsidRPr="004E74D2">
        <w:rPr>
          <w:lang w:val="en-CA"/>
        </w:rPr>
        <w:t xml:space="preserve"> this method may not be the most suitable method to use or more knowledge or data is necessary to perform an adequate risk assessment.</w:t>
      </w:r>
      <w:r w:rsidR="00094332" w:rsidRPr="004E74D2">
        <w:rPr>
          <w:lang w:val="en-CA"/>
        </w:rPr>
        <w:t xml:space="preserve"> </w:t>
      </w:r>
      <w:r w:rsidR="00D75BDE" w:rsidRPr="004E74D2">
        <w:rPr>
          <w:lang w:val="en-CA"/>
        </w:rPr>
        <w:t>In the RIVM report mentioned under b) (see link below) a framework was developed to</w:t>
      </w:r>
      <w:r w:rsidRPr="004E74D2">
        <w:rPr>
          <w:lang w:val="en-CA"/>
        </w:rPr>
        <w:t xml:space="preserve"> test the use of the existing </w:t>
      </w:r>
      <w:r w:rsidR="007001A0" w:rsidRPr="004E74D2">
        <w:rPr>
          <w:lang w:val="en-CA"/>
        </w:rPr>
        <w:t xml:space="preserve">risk assessment </w:t>
      </w:r>
      <w:r w:rsidR="00D75BDE" w:rsidRPr="004E74D2">
        <w:rPr>
          <w:lang w:val="en-CA"/>
        </w:rPr>
        <w:t xml:space="preserve">methodology </w:t>
      </w:r>
      <w:r w:rsidRPr="004E74D2">
        <w:rPr>
          <w:lang w:val="en-CA"/>
        </w:rPr>
        <w:t>for 30 new</w:t>
      </w:r>
      <w:r w:rsidR="00E36E85">
        <w:rPr>
          <w:lang w:val="en-CA"/>
        </w:rPr>
        <w:t xml:space="preserve"> or future</w:t>
      </w:r>
      <w:r w:rsidRPr="004E74D2">
        <w:rPr>
          <w:lang w:val="en-CA"/>
        </w:rPr>
        <w:t xml:space="preserve"> applications of modern biotechnology</w:t>
      </w:r>
      <w:r w:rsidR="00265264">
        <w:rPr>
          <w:lang w:val="en-CA"/>
        </w:rPr>
        <w:t>, including synthetic biology</w:t>
      </w:r>
      <w:r w:rsidR="009825A8" w:rsidRPr="004E74D2">
        <w:rPr>
          <w:lang w:val="en-CA"/>
        </w:rPr>
        <w:t>.</w:t>
      </w:r>
      <w:r w:rsidR="007001A0" w:rsidRPr="004E74D2">
        <w:rPr>
          <w:lang w:val="en-CA"/>
        </w:rPr>
        <w:t xml:space="preserve"> </w:t>
      </w:r>
      <w:r w:rsidRPr="004E74D2">
        <w:rPr>
          <w:lang w:val="en-US"/>
        </w:rPr>
        <w:t>The curren</w:t>
      </w:r>
      <w:r w:rsidR="00D75BDE" w:rsidRPr="004E74D2">
        <w:rPr>
          <w:lang w:val="en-US"/>
        </w:rPr>
        <w:t>t risk assessment method appeared</w:t>
      </w:r>
      <w:r w:rsidRPr="004E74D2">
        <w:rPr>
          <w:lang w:val="en-US"/>
        </w:rPr>
        <w:t xml:space="preserve"> to be adequate for about half of these. For the other half</w:t>
      </w:r>
      <w:r w:rsidR="00D75BDE" w:rsidRPr="004E74D2">
        <w:rPr>
          <w:lang w:val="en-US"/>
        </w:rPr>
        <w:t xml:space="preserve">, the risk assessment method did </w:t>
      </w:r>
      <w:r w:rsidR="00E36E85">
        <w:rPr>
          <w:lang w:val="en-US"/>
        </w:rPr>
        <w:t xml:space="preserve">either </w:t>
      </w:r>
      <w:r w:rsidR="00D75BDE" w:rsidRPr="004E74D2">
        <w:rPr>
          <w:lang w:val="en-US"/>
        </w:rPr>
        <w:t>not seem</w:t>
      </w:r>
      <w:r w:rsidRPr="004E74D2">
        <w:rPr>
          <w:lang w:val="en-US"/>
        </w:rPr>
        <w:t xml:space="preserve"> </w:t>
      </w:r>
      <w:r w:rsidR="00D75BDE" w:rsidRPr="004E74D2">
        <w:rPr>
          <w:lang w:val="en-US"/>
        </w:rPr>
        <w:t xml:space="preserve">to </w:t>
      </w:r>
      <w:r w:rsidRPr="004E74D2">
        <w:rPr>
          <w:lang w:val="en-US"/>
        </w:rPr>
        <w:t>be adequate</w:t>
      </w:r>
      <w:r w:rsidR="00265264">
        <w:rPr>
          <w:lang w:val="en-US"/>
        </w:rPr>
        <w:t xml:space="preserve"> because it did not concern living organisms</w:t>
      </w:r>
      <w:r w:rsidRPr="004E74D2">
        <w:rPr>
          <w:lang w:val="en-US"/>
        </w:rPr>
        <w:t>, or insuffic</w:t>
      </w:r>
      <w:r w:rsidR="00D75BDE" w:rsidRPr="004E74D2">
        <w:rPr>
          <w:lang w:val="en-US"/>
        </w:rPr>
        <w:t>ient knowledge or information was</w:t>
      </w:r>
      <w:r w:rsidRPr="004E74D2">
        <w:rPr>
          <w:lang w:val="en-US"/>
        </w:rPr>
        <w:t xml:space="preserve"> available to e</w:t>
      </w:r>
      <w:r w:rsidR="009825A8" w:rsidRPr="004E74D2">
        <w:rPr>
          <w:lang w:val="en-US"/>
        </w:rPr>
        <w:t>ffectively assess risks</w:t>
      </w:r>
      <w:r w:rsidR="00D75BDE" w:rsidRPr="004E74D2">
        <w:rPr>
          <w:lang w:val="en-US"/>
        </w:rPr>
        <w:t>.</w:t>
      </w:r>
      <w:r w:rsidR="00265264">
        <w:rPr>
          <w:lang w:val="en-US"/>
        </w:rPr>
        <w:t xml:space="preserve"> </w:t>
      </w:r>
      <w:r w:rsidR="00C24FDD">
        <w:rPr>
          <w:lang w:val="en-US"/>
        </w:rPr>
        <w:t xml:space="preserve">It was not concluded that potential risks of these new or future applications cannot be </w:t>
      </w:r>
      <w:proofErr w:type="gramStart"/>
      <w:r w:rsidR="00C24FDD">
        <w:rPr>
          <w:lang w:val="en-US"/>
        </w:rPr>
        <w:t>assessed,</w:t>
      </w:r>
      <w:proofErr w:type="gramEnd"/>
      <w:r w:rsidR="00C24FDD">
        <w:rPr>
          <w:lang w:val="en-US"/>
        </w:rPr>
        <w:t xml:space="preserve"> </w:t>
      </w:r>
      <w:r w:rsidR="00FC3743">
        <w:rPr>
          <w:lang w:val="en-US"/>
        </w:rPr>
        <w:t>however</w:t>
      </w:r>
      <w:r w:rsidR="00C24FDD">
        <w:rPr>
          <w:lang w:val="en-US"/>
        </w:rPr>
        <w:t xml:space="preserve"> the assessment of the potential impact is more adequate if more knowledge or data are obtained. </w:t>
      </w:r>
      <w:r w:rsidR="00D75BDE" w:rsidRPr="004E74D2">
        <w:rPr>
          <w:i/>
          <w:lang w:val="en-US"/>
        </w:rPr>
        <w:t>https://www.rivm.nl/publicaties/assessment-of-human-health-and-environmental-risks-of-new-developments-in-modern-biotechnology</w:t>
      </w:r>
      <w:r w:rsidR="00265264">
        <w:rPr>
          <w:i/>
          <w:lang w:val="en-US"/>
        </w:rPr>
        <w:t>.</w:t>
      </w:r>
    </w:p>
    <w:p w14:paraId="265C78A7" w14:textId="36C7D274" w:rsidR="009E634C" w:rsidRDefault="009E634C" w:rsidP="007001A0">
      <w:pPr>
        <w:adjustRightInd w:val="0"/>
        <w:rPr>
          <w:rFonts w:ascii="Times New Roman" w:hAnsi="Times New Roman"/>
          <w:szCs w:val="20"/>
          <w:u w:val="single"/>
          <w:lang w:val="en-US"/>
        </w:rPr>
      </w:pPr>
    </w:p>
    <w:p w14:paraId="448D7609" w14:textId="77777777" w:rsidR="00E36E85" w:rsidRPr="00D75BDE" w:rsidRDefault="00E36E85" w:rsidP="007001A0">
      <w:pPr>
        <w:adjustRightInd w:val="0"/>
        <w:rPr>
          <w:rFonts w:ascii="Times New Roman" w:hAnsi="Times New Roman"/>
          <w:szCs w:val="20"/>
          <w:u w:val="single"/>
          <w:lang w:val="en-US"/>
        </w:rPr>
      </w:pPr>
    </w:p>
    <w:p w14:paraId="01F6092C" w14:textId="24F7B31C" w:rsidR="004E74D2" w:rsidRPr="004E74D2" w:rsidRDefault="004E74D2" w:rsidP="004E74D2">
      <w:pPr>
        <w:autoSpaceDE w:val="0"/>
        <w:autoSpaceDN w:val="0"/>
        <w:adjustRightInd w:val="0"/>
        <w:rPr>
          <w:rFonts w:cs="Arial"/>
          <w:bCs/>
          <w:color w:val="000000"/>
          <w:lang w:val="en-US"/>
        </w:rPr>
      </w:pPr>
      <w:r>
        <w:rPr>
          <w:rFonts w:cs="Times New Roman"/>
          <w:color w:val="000000"/>
          <w:lang w:val="en-GB"/>
        </w:rPr>
        <w:t xml:space="preserve">With respect to organisms containing engineered gene drives, </w:t>
      </w:r>
      <w:r w:rsidRPr="004E74D2">
        <w:rPr>
          <w:rFonts w:cs="Times New Roman"/>
          <w:color w:val="000000"/>
          <w:lang w:val="en-GB"/>
        </w:rPr>
        <w:t xml:space="preserve">a literature report </w:t>
      </w:r>
      <w:proofErr w:type="gramStart"/>
      <w:r w:rsidRPr="004E74D2">
        <w:rPr>
          <w:rFonts w:cs="Times New Roman"/>
          <w:color w:val="000000"/>
          <w:lang w:val="en-GB"/>
        </w:rPr>
        <w:t>was commissioned</w:t>
      </w:r>
      <w:proofErr w:type="gramEnd"/>
      <w:r w:rsidRPr="004E74D2">
        <w:rPr>
          <w:rFonts w:cs="Times New Roman"/>
          <w:color w:val="000000"/>
          <w:lang w:val="en-GB"/>
        </w:rPr>
        <w:t xml:space="preserve"> by </w:t>
      </w:r>
      <w:r w:rsidRPr="004E74D2">
        <w:rPr>
          <w:rFonts w:cs="Arial"/>
          <w:bCs/>
          <w:color w:val="000000"/>
          <w:lang w:val="en-US"/>
        </w:rPr>
        <w:t xml:space="preserve">the </w:t>
      </w:r>
      <w:r>
        <w:rPr>
          <w:rFonts w:cs="Arial"/>
          <w:bCs/>
          <w:color w:val="000000"/>
          <w:lang w:val="en-US"/>
        </w:rPr>
        <w:t xml:space="preserve">Dutch </w:t>
      </w:r>
      <w:r w:rsidRPr="004E74D2">
        <w:rPr>
          <w:rFonts w:cs="Arial"/>
          <w:bCs/>
          <w:color w:val="000000"/>
          <w:lang w:val="en-US"/>
        </w:rPr>
        <w:t>Committee of Genetic Modification</w:t>
      </w:r>
      <w:r w:rsidRPr="004E74D2">
        <w:rPr>
          <w:rFonts w:cs="Times New Roman"/>
          <w:color w:val="000000"/>
          <w:lang w:val="en-GB"/>
        </w:rPr>
        <w:t xml:space="preserve"> (COGEM) </w:t>
      </w:r>
      <w:r>
        <w:rPr>
          <w:rFonts w:cs="Times New Roman"/>
          <w:color w:val="000000"/>
          <w:lang w:val="en-GB"/>
        </w:rPr>
        <w:t xml:space="preserve">in 2017, </w:t>
      </w:r>
      <w:r w:rsidRPr="004E74D2">
        <w:rPr>
          <w:rFonts w:cs="Times New Roman"/>
          <w:color w:val="000000"/>
          <w:lang w:val="en-GB"/>
        </w:rPr>
        <w:t>titled ‘Gene drives</w:t>
      </w:r>
      <w:r>
        <w:rPr>
          <w:rFonts w:cs="Times New Roman"/>
          <w:color w:val="000000"/>
          <w:lang w:val="en-GB"/>
        </w:rPr>
        <w:t xml:space="preserve"> </w:t>
      </w:r>
      <w:r w:rsidRPr="004E74D2">
        <w:rPr>
          <w:rFonts w:cs="Times New Roman"/>
          <w:color w:val="000000"/>
          <w:lang w:val="en-GB"/>
        </w:rPr>
        <w:t>-</w:t>
      </w:r>
      <w:r>
        <w:rPr>
          <w:rFonts w:cs="Times New Roman"/>
          <w:color w:val="000000"/>
          <w:lang w:val="en-GB"/>
        </w:rPr>
        <w:t xml:space="preserve"> </w:t>
      </w:r>
      <w:r w:rsidRPr="004E74D2">
        <w:rPr>
          <w:rFonts w:cs="Arial"/>
          <w:bCs/>
          <w:color w:val="000000"/>
          <w:lang w:val="en-US"/>
        </w:rPr>
        <w:t xml:space="preserve">Experience with gene drive systems that may inform an environmental risk assessment’. The final report </w:t>
      </w:r>
      <w:proofErr w:type="gramStart"/>
      <w:r w:rsidRPr="004E74D2">
        <w:rPr>
          <w:rFonts w:cs="Arial"/>
          <w:bCs/>
          <w:color w:val="000000"/>
          <w:lang w:val="en-US"/>
        </w:rPr>
        <w:t>will soon be published</w:t>
      </w:r>
      <w:proofErr w:type="gramEnd"/>
      <w:r w:rsidRPr="004E74D2">
        <w:rPr>
          <w:rFonts w:cs="Arial"/>
          <w:bCs/>
          <w:color w:val="000000"/>
          <w:lang w:val="en-US"/>
        </w:rPr>
        <w:t xml:space="preserve"> on the COGEM website</w:t>
      </w:r>
      <w:r w:rsidRPr="004E74D2">
        <w:rPr>
          <w:rFonts w:cs="Arial"/>
          <w:color w:val="000000"/>
          <w:lang w:val="en-US"/>
        </w:rPr>
        <w:t xml:space="preserve"> </w:t>
      </w:r>
      <w:hyperlink r:id="rId8" w:history="1">
        <w:r w:rsidRPr="004E74D2">
          <w:rPr>
            <w:rFonts w:cs="Arial"/>
            <w:bCs/>
            <w:color w:val="0000FF" w:themeColor="hyperlink"/>
            <w:u w:val="single"/>
            <w:lang w:val="en-US"/>
          </w:rPr>
          <w:t>https://www.cogem.net/index.cfm/en/publications/</w:t>
        </w:r>
      </w:hyperlink>
    </w:p>
    <w:p w14:paraId="56CA7E8D" w14:textId="77777777" w:rsidR="004E74D2" w:rsidRPr="004E74D2" w:rsidRDefault="004E74D2" w:rsidP="004E74D2">
      <w:pPr>
        <w:autoSpaceDE w:val="0"/>
        <w:autoSpaceDN w:val="0"/>
        <w:adjustRightInd w:val="0"/>
        <w:rPr>
          <w:rFonts w:cs="Arial"/>
          <w:color w:val="000000"/>
          <w:lang w:val="en-US"/>
        </w:rPr>
      </w:pPr>
    </w:p>
    <w:p w14:paraId="3165CF74" w14:textId="77777777" w:rsidR="004E74D2" w:rsidRPr="004E74D2" w:rsidRDefault="004E74D2" w:rsidP="004E74D2">
      <w:pPr>
        <w:autoSpaceDE w:val="0"/>
        <w:autoSpaceDN w:val="0"/>
        <w:adjustRightInd w:val="0"/>
        <w:rPr>
          <w:rFonts w:cs="Times New Roman"/>
          <w:color w:val="000000"/>
          <w:lang w:val="en-GB"/>
        </w:rPr>
      </w:pPr>
      <w:r w:rsidRPr="004E74D2">
        <w:rPr>
          <w:rFonts w:cs="Times New Roman"/>
          <w:color w:val="000000"/>
          <w:lang w:val="en-GB"/>
        </w:rPr>
        <w:t xml:space="preserve">Other information that could be relevant </w:t>
      </w:r>
      <w:r>
        <w:rPr>
          <w:rFonts w:cs="Times New Roman"/>
          <w:color w:val="000000"/>
          <w:lang w:val="en-GB"/>
        </w:rPr>
        <w:t xml:space="preserve">with respect to organisms containing engineered gene drives, </w:t>
      </w:r>
      <w:r w:rsidRPr="004E74D2">
        <w:rPr>
          <w:rFonts w:cs="Times New Roman"/>
          <w:color w:val="000000"/>
          <w:lang w:val="en-GB"/>
        </w:rPr>
        <w:t xml:space="preserve"> is existing information on environmental impacts of biological control agents (such as insects) that have been released in the environment to suppress  pest, information from applications of the sterile insect techniques to suppress mosquitoes, or from experiences with insects genetically modified to suppress populations. Some information </w:t>
      </w:r>
      <w:proofErr w:type="gramStart"/>
      <w:r w:rsidRPr="004E74D2">
        <w:rPr>
          <w:rFonts w:cs="Times New Roman"/>
          <w:color w:val="000000"/>
          <w:lang w:val="en-GB"/>
        </w:rPr>
        <w:t>can be found</w:t>
      </w:r>
      <w:proofErr w:type="gramEnd"/>
      <w:r w:rsidRPr="004E74D2">
        <w:rPr>
          <w:rFonts w:cs="Times New Roman"/>
          <w:color w:val="000000"/>
          <w:lang w:val="en-GB"/>
        </w:rPr>
        <w:t xml:space="preserve"> via the links below.</w:t>
      </w:r>
    </w:p>
    <w:p w14:paraId="29D452A9" w14:textId="77777777" w:rsidR="004E74D2" w:rsidRPr="004E74D2" w:rsidRDefault="00B534D3" w:rsidP="004E74D2">
      <w:pPr>
        <w:rPr>
          <w:u w:val="single"/>
          <w:lang w:val="en-US"/>
        </w:rPr>
      </w:pPr>
      <w:hyperlink r:id="rId9" w:history="1">
        <w:r w:rsidR="004E74D2" w:rsidRPr="004E74D2">
          <w:rPr>
            <w:rFonts w:cs="Times New Roman"/>
            <w:color w:val="0000FF" w:themeColor="hyperlink"/>
            <w:u w:val="single"/>
            <w:lang w:val="en-GB"/>
          </w:rPr>
          <w:t>https://onlinelibrary.wiley.com/doi/10.1002/9781119255574.ch5</w:t>
        </w:r>
      </w:hyperlink>
    </w:p>
    <w:p w14:paraId="5173D5BD" w14:textId="77777777" w:rsidR="004E74D2" w:rsidRPr="004E74D2" w:rsidRDefault="00B534D3" w:rsidP="004E74D2">
      <w:pPr>
        <w:tabs>
          <w:tab w:val="left" w:pos="4035"/>
        </w:tabs>
        <w:rPr>
          <w:lang w:val="en-US"/>
        </w:rPr>
      </w:pPr>
      <w:hyperlink r:id="rId10" w:history="1">
        <w:r w:rsidR="004E74D2" w:rsidRPr="004E74D2">
          <w:rPr>
            <w:color w:val="0000FF" w:themeColor="hyperlink"/>
            <w:u w:val="single"/>
            <w:lang w:val="en-US"/>
          </w:rPr>
          <w:t>https://www.ncbi.nlm.nih.gov/pmc/articles/PMC2946175/</w:t>
        </w:r>
      </w:hyperlink>
    </w:p>
    <w:p w14:paraId="63DBA447" w14:textId="77777777" w:rsidR="004E74D2" w:rsidRPr="004E74D2" w:rsidRDefault="00B534D3" w:rsidP="004E74D2">
      <w:pPr>
        <w:tabs>
          <w:tab w:val="left" w:pos="4035"/>
        </w:tabs>
        <w:rPr>
          <w:lang w:val="en-US"/>
        </w:rPr>
      </w:pPr>
      <w:hyperlink r:id="rId11" w:history="1">
        <w:r w:rsidR="004E74D2" w:rsidRPr="004E74D2">
          <w:rPr>
            <w:color w:val="0000FF" w:themeColor="hyperlink"/>
            <w:u w:val="single"/>
            <w:lang w:val="en-US"/>
          </w:rPr>
          <w:t>https://www.sciencedirect.com/science/article/pii/S2214574515000905</w:t>
        </w:r>
      </w:hyperlink>
    </w:p>
    <w:p w14:paraId="7C3A11DA" w14:textId="77777777" w:rsidR="004E74D2" w:rsidRPr="004E74D2" w:rsidRDefault="00B534D3" w:rsidP="004E74D2">
      <w:pPr>
        <w:tabs>
          <w:tab w:val="left" w:pos="4035"/>
        </w:tabs>
        <w:rPr>
          <w:lang w:val="en-US"/>
        </w:rPr>
      </w:pPr>
      <w:hyperlink r:id="rId12" w:history="1">
        <w:r w:rsidR="004E74D2" w:rsidRPr="004E74D2">
          <w:rPr>
            <w:color w:val="0000FF" w:themeColor="hyperlink"/>
            <w:u w:val="single"/>
            <w:lang w:val="en-US"/>
          </w:rPr>
          <w:t>https://onlinelibrary.wiley.com/doi/full/10.1111/eva.12286</w:t>
        </w:r>
      </w:hyperlink>
    </w:p>
    <w:p w14:paraId="5ACBE522" w14:textId="77777777" w:rsidR="004E74D2" w:rsidRPr="004E74D2" w:rsidRDefault="004E74D2" w:rsidP="004E74D2">
      <w:pPr>
        <w:tabs>
          <w:tab w:val="left" w:pos="4035"/>
        </w:tabs>
        <w:rPr>
          <w:sz w:val="24"/>
          <w:szCs w:val="24"/>
          <w:lang w:val="en-US"/>
        </w:rPr>
      </w:pPr>
      <w:r w:rsidRPr="004E74D2">
        <w:rPr>
          <w:sz w:val="24"/>
          <w:szCs w:val="24"/>
          <w:lang w:val="en-US"/>
        </w:rPr>
        <w:tab/>
      </w:r>
    </w:p>
    <w:p w14:paraId="5B223CD1" w14:textId="77777777" w:rsidR="00094332" w:rsidRPr="004E74D2" w:rsidRDefault="00094332" w:rsidP="00665E8D">
      <w:pPr>
        <w:pStyle w:val="PlainText"/>
        <w:rPr>
          <w:lang w:val="en-US"/>
        </w:rPr>
      </w:pPr>
    </w:p>
    <w:p w14:paraId="4B83F43E" w14:textId="77777777" w:rsidR="00665E8D" w:rsidRPr="00C87859" w:rsidRDefault="00665E8D" w:rsidP="00665E8D">
      <w:pPr>
        <w:pStyle w:val="PlainText"/>
        <w:rPr>
          <w:b/>
          <w:lang w:val="en-CA"/>
        </w:rPr>
      </w:pPr>
      <w:r w:rsidRPr="00C87859">
        <w:rPr>
          <w:b/>
          <w:lang w:val="en-CA"/>
        </w:rPr>
        <w:t>(d)          Living organisms developed thus far through new developments in synthetic biology that may fall outside the definition of living modified organisms as per the Cartagena Protocol.</w:t>
      </w:r>
    </w:p>
    <w:p w14:paraId="203DD1F5" w14:textId="77777777" w:rsidR="009825A8" w:rsidRPr="00B534D3" w:rsidRDefault="00F34C44">
      <w:pPr>
        <w:rPr>
          <w:lang w:val="en-US"/>
        </w:rPr>
      </w:pPr>
      <w:r w:rsidRPr="00B534D3">
        <w:rPr>
          <w:lang w:val="en-US"/>
        </w:rPr>
        <w:lastRenderedPageBreak/>
        <w:t xml:space="preserve">A </w:t>
      </w:r>
      <w:r w:rsidRPr="00B534D3">
        <w:rPr>
          <w:u w:val="single"/>
          <w:lang w:val="en-US"/>
        </w:rPr>
        <w:t>Living Modified Organism (LMO)</w:t>
      </w:r>
      <w:r w:rsidRPr="00B534D3">
        <w:rPr>
          <w:lang w:val="en-US"/>
        </w:rPr>
        <w:t xml:space="preserve"> is defined in the Cartagena Protocol on Biosafety as </w:t>
      </w:r>
      <w:r w:rsidRPr="00B534D3">
        <w:rPr>
          <w:i/>
          <w:lang w:val="en-US"/>
        </w:rPr>
        <w:t xml:space="preserve">any living organism that possesses a novel combination of genetic material obtained </w:t>
      </w:r>
      <w:proofErr w:type="gramStart"/>
      <w:r w:rsidRPr="00B534D3">
        <w:rPr>
          <w:i/>
          <w:lang w:val="en-US"/>
        </w:rPr>
        <w:t>through the use of</w:t>
      </w:r>
      <w:proofErr w:type="gramEnd"/>
      <w:r w:rsidRPr="00B534D3">
        <w:rPr>
          <w:i/>
          <w:lang w:val="en-US"/>
        </w:rPr>
        <w:t xml:space="preserve"> modern biotechnology</w:t>
      </w:r>
      <w:r w:rsidRPr="00B534D3">
        <w:rPr>
          <w:lang w:val="en-US"/>
        </w:rPr>
        <w:t xml:space="preserve">. </w:t>
      </w:r>
    </w:p>
    <w:p w14:paraId="7EAC58E6" w14:textId="77777777" w:rsidR="00F34C44" w:rsidRPr="00B534D3" w:rsidRDefault="00F34C44">
      <w:pPr>
        <w:rPr>
          <w:lang w:val="en-US"/>
        </w:rPr>
      </w:pPr>
      <w:r w:rsidRPr="00B534D3">
        <w:rPr>
          <w:lang w:val="en-US"/>
        </w:rPr>
        <w:t>"Living organism" means any biological entity capable of transferring or replicating genetic material, including sterile organ</w:t>
      </w:r>
      <w:r w:rsidR="009825A8" w:rsidRPr="00B534D3">
        <w:rPr>
          <w:lang w:val="en-US"/>
        </w:rPr>
        <w:t xml:space="preserve">isms, viruses and </w:t>
      </w:r>
      <w:proofErr w:type="spellStart"/>
      <w:r w:rsidR="009825A8" w:rsidRPr="00B534D3">
        <w:rPr>
          <w:lang w:val="en-US"/>
        </w:rPr>
        <w:t>viroids</w:t>
      </w:r>
      <w:proofErr w:type="spellEnd"/>
      <w:r w:rsidR="009825A8" w:rsidRPr="00B534D3">
        <w:rPr>
          <w:lang w:val="en-US"/>
        </w:rPr>
        <w:t xml:space="preserve">, and </w:t>
      </w:r>
      <w:r w:rsidRPr="00B534D3">
        <w:rPr>
          <w:lang w:val="en-US"/>
        </w:rPr>
        <w:t>"Modern biotechnol</w:t>
      </w:r>
      <w:r w:rsidR="00A02D10" w:rsidRPr="00B534D3">
        <w:rPr>
          <w:lang w:val="en-US"/>
        </w:rPr>
        <w:t xml:space="preserve">ogy" means the application </w:t>
      </w:r>
      <w:proofErr w:type="gramStart"/>
      <w:r w:rsidR="00A02D10" w:rsidRPr="00B534D3">
        <w:rPr>
          <w:lang w:val="en-US"/>
        </w:rPr>
        <w:t>of:</w:t>
      </w:r>
      <w:proofErr w:type="gramEnd"/>
      <w:r w:rsidR="00A02D10" w:rsidRPr="00B534D3">
        <w:rPr>
          <w:lang w:val="en-US"/>
        </w:rPr>
        <w:t xml:space="preserve"> </w:t>
      </w:r>
      <w:r w:rsidRPr="00B534D3">
        <w:rPr>
          <w:lang w:val="en-US"/>
        </w:rPr>
        <w:br/>
        <w:t>a. In vitro nucleic acid techniques, including recombinant deoxyribonucleic acid (DNA) and direct injection of nucleic aci</w:t>
      </w:r>
      <w:r w:rsidR="00A02D10" w:rsidRPr="00B534D3">
        <w:rPr>
          <w:lang w:val="en-US"/>
        </w:rPr>
        <w:t xml:space="preserve">d into cells or organelles, or </w:t>
      </w:r>
      <w:r w:rsidRPr="00B534D3">
        <w:rPr>
          <w:lang w:val="en-US"/>
        </w:rPr>
        <w:br/>
        <w:t>b. Fusion of cells beyond the taxonomic family.</w:t>
      </w:r>
    </w:p>
    <w:p w14:paraId="34DB78E6" w14:textId="77777777" w:rsidR="00A02D10" w:rsidRPr="00B534D3" w:rsidRDefault="00A02D10">
      <w:pPr>
        <w:rPr>
          <w:lang w:val="en-US"/>
        </w:rPr>
      </w:pPr>
    </w:p>
    <w:p w14:paraId="62B9E772" w14:textId="77777777" w:rsidR="00A02D10" w:rsidRPr="00B534D3" w:rsidRDefault="00A02D10">
      <w:pPr>
        <w:rPr>
          <w:lang w:val="en-US"/>
        </w:rPr>
      </w:pPr>
      <w:r w:rsidRPr="00B534D3">
        <w:rPr>
          <w:lang w:val="en-US"/>
        </w:rPr>
        <w:t xml:space="preserve">The operational definition of </w:t>
      </w:r>
      <w:r w:rsidRPr="00B534D3">
        <w:rPr>
          <w:u w:val="single"/>
          <w:lang w:val="en-US"/>
        </w:rPr>
        <w:t>synthetic biology</w:t>
      </w:r>
      <w:r w:rsidRPr="00B534D3">
        <w:rPr>
          <w:lang w:val="en-US"/>
        </w:rPr>
        <w:t xml:space="preserve"> </w:t>
      </w:r>
      <w:r w:rsidR="009825A8" w:rsidRPr="00B534D3">
        <w:rPr>
          <w:lang w:val="en-US"/>
        </w:rPr>
        <w:t xml:space="preserve">of the AHTEG synthetic biology </w:t>
      </w:r>
      <w:r w:rsidRPr="00B534D3">
        <w:rPr>
          <w:lang w:val="en-US"/>
        </w:rPr>
        <w:t>is as follows: “</w:t>
      </w:r>
      <w:r w:rsidRPr="00B534D3">
        <w:rPr>
          <w:i/>
          <w:lang w:val="en-US"/>
        </w:rPr>
        <w:t>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w:t>
      </w:r>
      <w:r w:rsidRPr="00B534D3">
        <w:rPr>
          <w:lang w:val="en-US"/>
        </w:rPr>
        <w:t xml:space="preserve">”. </w:t>
      </w:r>
    </w:p>
    <w:p w14:paraId="10F0DCBB" w14:textId="77777777" w:rsidR="00F34C44" w:rsidRPr="00B534D3" w:rsidRDefault="00F34C44">
      <w:pPr>
        <w:rPr>
          <w:lang w:val="en-US"/>
        </w:rPr>
      </w:pPr>
    </w:p>
    <w:p w14:paraId="03509D05" w14:textId="4896061C" w:rsidR="004F2FB6" w:rsidRPr="00B534D3" w:rsidRDefault="004E74D2">
      <w:pPr>
        <w:rPr>
          <w:lang w:val="en-US"/>
        </w:rPr>
      </w:pPr>
      <w:r w:rsidRPr="00B534D3">
        <w:rPr>
          <w:lang w:val="en-US"/>
        </w:rPr>
        <w:t xml:space="preserve">Based on these definitions, it </w:t>
      </w:r>
      <w:proofErr w:type="gramStart"/>
      <w:r w:rsidRPr="00B534D3">
        <w:rPr>
          <w:lang w:val="en-US"/>
        </w:rPr>
        <w:t>can be</w:t>
      </w:r>
      <w:r w:rsidR="00A02D10" w:rsidRPr="00B534D3">
        <w:rPr>
          <w:lang w:val="en-US"/>
        </w:rPr>
        <w:t xml:space="preserve"> consider</w:t>
      </w:r>
      <w:r w:rsidRPr="00B534D3">
        <w:rPr>
          <w:lang w:val="en-US"/>
        </w:rPr>
        <w:t>ed</w:t>
      </w:r>
      <w:proofErr w:type="gramEnd"/>
      <w:r w:rsidR="00A02D10" w:rsidRPr="00B534D3">
        <w:rPr>
          <w:lang w:val="en-US"/>
        </w:rPr>
        <w:t xml:space="preserve"> that all living organisms developed through synthetic biology </w:t>
      </w:r>
      <w:r w:rsidRPr="00B534D3">
        <w:rPr>
          <w:lang w:val="en-US"/>
        </w:rPr>
        <w:t xml:space="preserve">so far </w:t>
      </w:r>
      <w:r w:rsidR="00A02D10" w:rsidRPr="00B534D3">
        <w:rPr>
          <w:lang w:val="en-US"/>
        </w:rPr>
        <w:t xml:space="preserve">will fall under the definition of an LMO. </w:t>
      </w:r>
      <w:r w:rsidR="00C36A7D" w:rsidRPr="00B534D3">
        <w:rPr>
          <w:lang w:val="en-US"/>
        </w:rPr>
        <w:t xml:space="preserve"> </w:t>
      </w:r>
      <w:r w:rsidR="009825A8" w:rsidRPr="00B534D3">
        <w:rPr>
          <w:lang w:val="en-US"/>
        </w:rPr>
        <w:t>In the definition of an LMO</w:t>
      </w:r>
      <w:proofErr w:type="gramStart"/>
      <w:r w:rsidR="009707DD" w:rsidRPr="00B534D3">
        <w:rPr>
          <w:lang w:val="en-US"/>
        </w:rPr>
        <w:t>,</w:t>
      </w:r>
      <w:r w:rsidR="009825A8" w:rsidRPr="00B534D3">
        <w:rPr>
          <w:lang w:val="en-US"/>
        </w:rPr>
        <w:t xml:space="preserve">  the</w:t>
      </w:r>
      <w:proofErr w:type="gramEnd"/>
      <w:r w:rsidR="009825A8" w:rsidRPr="00B534D3">
        <w:rPr>
          <w:lang w:val="en-US"/>
        </w:rPr>
        <w:t xml:space="preserve"> use of in vitro nucleic acid techniques  is not limited to only DNA as genetic material. Therefore </w:t>
      </w:r>
      <w:r w:rsidR="006B1DBB" w:rsidRPr="00B534D3">
        <w:rPr>
          <w:lang w:val="en-US"/>
        </w:rPr>
        <w:t xml:space="preserve">living organisms that </w:t>
      </w:r>
      <w:proofErr w:type="gramStart"/>
      <w:r w:rsidR="006B1DBB" w:rsidRPr="00B534D3">
        <w:rPr>
          <w:lang w:val="en-US"/>
        </w:rPr>
        <w:t xml:space="preserve">are built or modified to </w:t>
      </w:r>
      <w:r w:rsidR="009707DD" w:rsidRPr="00B534D3">
        <w:rPr>
          <w:lang w:val="en-US"/>
        </w:rPr>
        <w:t>contain other genetic material than DNA (such as XNA)</w:t>
      </w:r>
      <w:r w:rsidR="00032F4C" w:rsidRPr="00B534D3">
        <w:rPr>
          <w:lang w:val="en-US"/>
        </w:rPr>
        <w:t xml:space="preserve"> </w:t>
      </w:r>
      <w:r w:rsidR="009707DD" w:rsidRPr="00B534D3">
        <w:rPr>
          <w:lang w:val="en-US"/>
        </w:rPr>
        <w:t xml:space="preserve">for replication </w:t>
      </w:r>
      <w:r w:rsidR="009825A8" w:rsidRPr="00B534D3">
        <w:rPr>
          <w:lang w:val="en-US"/>
        </w:rPr>
        <w:t>would also fall under the definition of an LMO</w:t>
      </w:r>
      <w:proofErr w:type="gramEnd"/>
      <w:r w:rsidR="009825A8" w:rsidRPr="00B534D3">
        <w:rPr>
          <w:lang w:val="en-US"/>
        </w:rPr>
        <w:t>.</w:t>
      </w:r>
      <w:r w:rsidR="00C36A7D" w:rsidRPr="00B534D3">
        <w:rPr>
          <w:lang w:val="en-US"/>
        </w:rPr>
        <w:t xml:space="preserve"> </w:t>
      </w:r>
    </w:p>
    <w:p w14:paraId="46A48D4D" w14:textId="6FE4E39C" w:rsidR="00F34C44" w:rsidRPr="00B534D3" w:rsidRDefault="00C36A7D">
      <w:pPr>
        <w:rPr>
          <w:lang w:val="en-US"/>
        </w:rPr>
      </w:pPr>
      <w:r w:rsidRPr="00B534D3">
        <w:rPr>
          <w:lang w:val="en-US"/>
        </w:rPr>
        <w:t>Examples of living organi</w:t>
      </w:r>
      <w:r w:rsidR="006B1DBB" w:rsidRPr="00B534D3">
        <w:rPr>
          <w:lang w:val="en-US"/>
        </w:rPr>
        <w:t>sms</w:t>
      </w:r>
      <w:r w:rsidRPr="00B534D3">
        <w:rPr>
          <w:lang w:val="en-US"/>
        </w:rPr>
        <w:t xml:space="preserve"> that fall outside the definition of LMOs </w:t>
      </w:r>
      <w:r w:rsidR="006B1DBB" w:rsidRPr="00B534D3">
        <w:rPr>
          <w:lang w:val="en-US"/>
        </w:rPr>
        <w:t xml:space="preserve">seem </w:t>
      </w:r>
      <w:r w:rsidRPr="00B534D3">
        <w:rPr>
          <w:lang w:val="en-US"/>
        </w:rPr>
        <w:t xml:space="preserve">therefore limited to living organisms that do not contain </w:t>
      </w:r>
      <w:r w:rsidR="00140714" w:rsidRPr="00B534D3">
        <w:rPr>
          <w:lang w:val="en-US"/>
        </w:rPr>
        <w:t>genetic materia</w:t>
      </w:r>
      <w:r w:rsidR="00C24FDD" w:rsidRPr="00B534D3">
        <w:rPr>
          <w:lang w:val="en-US"/>
        </w:rPr>
        <w:t>l</w:t>
      </w:r>
      <w:r w:rsidR="00ED059C" w:rsidRPr="00B534D3">
        <w:rPr>
          <w:lang w:val="en-US"/>
        </w:rPr>
        <w:t xml:space="preserve"> that </w:t>
      </w:r>
      <w:proofErr w:type="gramStart"/>
      <w:r w:rsidR="00ED059C" w:rsidRPr="00B534D3">
        <w:rPr>
          <w:lang w:val="en-US"/>
        </w:rPr>
        <w:t>can</w:t>
      </w:r>
      <w:r w:rsidR="00C24FDD" w:rsidRPr="00B534D3">
        <w:rPr>
          <w:lang w:val="en-US"/>
        </w:rPr>
        <w:t xml:space="preserve"> </w:t>
      </w:r>
      <w:r w:rsidR="00ED059C" w:rsidRPr="00B534D3">
        <w:rPr>
          <w:lang w:val="en-US"/>
        </w:rPr>
        <w:t>be transferred or replicated</w:t>
      </w:r>
      <w:proofErr w:type="gramEnd"/>
      <w:r w:rsidR="004F2FB6" w:rsidRPr="00B534D3">
        <w:rPr>
          <w:lang w:val="en-US"/>
        </w:rPr>
        <w:t xml:space="preserve">. This may </w:t>
      </w:r>
      <w:r w:rsidR="009825A8" w:rsidRPr="00B534D3">
        <w:rPr>
          <w:lang w:val="en-US"/>
        </w:rPr>
        <w:t>apply to some living protocells that are</w:t>
      </w:r>
      <w:bookmarkStart w:id="0" w:name="_GoBack"/>
      <w:bookmarkEnd w:id="0"/>
      <w:r w:rsidR="009825A8" w:rsidRPr="00B534D3">
        <w:rPr>
          <w:lang w:val="en-US"/>
        </w:rPr>
        <w:t xml:space="preserve"> still in an early state of research.</w:t>
      </w:r>
    </w:p>
    <w:sectPr w:rsidR="00F34C44" w:rsidRPr="00B534D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9AEC6" w14:textId="77777777" w:rsidR="00DC201A" w:rsidRDefault="00DC201A" w:rsidP="009707DD">
      <w:r>
        <w:separator/>
      </w:r>
    </w:p>
  </w:endnote>
  <w:endnote w:type="continuationSeparator" w:id="0">
    <w:p w14:paraId="7B5435A0" w14:textId="77777777" w:rsidR="00DC201A" w:rsidRDefault="00DC201A" w:rsidP="0097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7D41A" w14:textId="77777777" w:rsidR="00DC201A" w:rsidRDefault="00DC201A" w:rsidP="009707DD">
      <w:r>
        <w:separator/>
      </w:r>
    </w:p>
  </w:footnote>
  <w:footnote w:type="continuationSeparator" w:id="0">
    <w:p w14:paraId="57F8F256" w14:textId="77777777" w:rsidR="00DC201A" w:rsidRDefault="00DC201A" w:rsidP="0097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9AA7" w14:textId="77777777" w:rsidR="009707DD" w:rsidRDefault="00970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B60"/>
    <w:multiLevelType w:val="hybridMultilevel"/>
    <w:tmpl w:val="AE441C64"/>
    <w:lvl w:ilvl="0" w:tplc="99A4AD6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E0442B4"/>
    <w:multiLevelType w:val="multilevel"/>
    <w:tmpl w:val="152C7A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8D"/>
    <w:rsid w:val="0000479D"/>
    <w:rsid w:val="00022463"/>
    <w:rsid w:val="00032F4C"/>
    <w:rsid w:val="00094332"/>
    <w:rsid w:val="000B5B81"/>
    <w:rsid w:val="00110D9E"/>
    <w:rsid w:val="00140714"/>
    <w:rsid w:val="00204EF5"/>
    <w:rsid w:val="00240F80"/>
    <w:rsid w:val="00265264"/>
    <w:rsid w:val="00266D4F"/>
    <w:rsid w:val="002C3584"/>
    <w:rsid w:val="002E3DE2"/>
    <w:rsid w:val="00320777"/>
    <w:rsid w:val="00390156"/>
    <w:rsid w:val="004E74D2"/>
    <w:rsid w:val="004F2FB6"/>
    <w:rsid w:val="005B3A34"/>
    <w:rsid w:val="005D725E"/>
    <w:rsid w:val="00665E8D"/>
    <w:rsid w:val="006B1DBB"/>
    <w:rsid w:val="006F455C"/>
    <w:rsid w:val="007001A0"/>
    <w:rsid w:val="007A1EEE"/>
    <w:rsid w:val="00867DEA"/>
    <w:rsid w:val="008829AF"/>
    <w:rsid w:val="008F5BA8"/>
    <w:rsid w:val="00955124"/>
    <w:rsid w:val="00967588"/>
    <w:rsid w:val="009707DD"/>
    <w:rsid w:val="009825A8"/>
    <w:rsid w:val="009E634C"/>
    <w:rsid w:val="00A02D10"/>
    <w:rsid w:val="00A15B14"/>
    <w:rsid w:val="00B534D3"/>
    <w:rsid w:val="00B93687"/>
    <w:rsid w:val="00C105B6"/>
    <w:rsid w:val="00C24FDD"/>
    <w:rsid w:val="00C36A7D"/>
    <w:rsid w:val="00C87859"/>
    <w:rsid w:val="00CA6ABB"/>
    <w:rsid w:val="00D75BDE"/>
    <w:rsid w:val="00DA6C2A"/>
    <w:rsid w:val="00DC201A"/>
    <w:rsid w:val="00E36E85"/>
    <w:rsid w:val="00ED059C"/>
    <w:rsid w:val="00ED375C"/>
    <w:rsid w:val="00F34C44"/>
    <w:rsid w:val="00F721B5"/>
    <w:rsid w:val="00F74BE8"/>
    <w:rsid w:val="00FC3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5E8D"/>
    <w:rPr>
      <w:rFonts w:ascii="Calibri" w:hAnsi="Calibri" w:cs="Times New Roman"/>
    </w:rPr>
  </w:style>
  <w:style w:type="character" w:customStyle="1" w:styleId="PlainTextChar">
    <w:name w:val="Plain Text Char"/>
    <w:basedOn w:val="DefaultParagraphFont"/>
    <w:link w:val="PlainText"/>
    <w:uiPriority w:val="99"/>
    <w:semiHidden/>
    <w:rsid w:val="00665E8D"/>
    <w:rPr>
      <w:rFonts w:ascii="Calibri" w:hAnsi="Calibri" w:cs="Times New Roman"/>
    </w:rPr>
  </w:style>
  <w:style w:type="paragraph" w:customStyle="1" w:styleId="Para1">
    <w:name w:val="Para1"/>
    <w:basedOn w:val="Normal"/>
    <w:link w:val="Para1Char1"/>
    <w:rsid w:val="00C87859"/>
    <w:pPr>
      <w:numPr>
        <w:numId w:val="1"/>
      </w:numPr>
      <w:spacing w:before="120" w:after="120"/>
      <w:jc w:val="both"/>
    </w:pPr>
    <w:rPr>
      <w:rFonts w:ascii="Times New Roman" w:eastAsia="Times New Roman" w:hAnsi="Times New Roman" w:cs="Times New Roman"/>
      <w:snapToGrid w:val="0"/>
      <w:szCs w:val="18"/>
      <w:lang w:val="en-GB" w:eastAsia="x-none"/>
    </w:rPr>
  </w:style>
  <w:style w:type="paragraph" w:customStyle="1" w:styleId="Para3">
    <w:name w:val="Para3"/>
    <w:basedOn w:val="Normal"/>
    <w:rsid w:val="00C87859"/>
    <w:pPr>
      <w:numPr>
        <w:ilvl w:val="2"/>
        <w:numId w:val="1"/>
      </w:numPr>
      <w:tabs>
        <w:tab w:val="left" w:pos="1980"/>
      </w:tabs>
      <w:spacing w:before="80" w:after="80"/>
      <w:jc w:val="both"/>
    </w:pPr>
    <w:rPr>
      <w:rFonts w:ascii="Times New Roman" w:eastAsia="Times New Roman" w:hAnsi="Times New Roman" w:cs="Times New Roman"/>
      <w:szCs w:val="20"/>
      <w:lang w:val="en-GB"/>
    </w:rPr>
  </w:style>
  <w:style w:type="character" w:customStyle="1" w:styleId="Para1Char1">
    <w:name w:val="Para1 Char1"/>
    <w:link w:val="Para1"/>
    <w:rsid w:val="00C87859"/>
    <w:rPr>
      <w:rFonts w:ascii="Times New Roman" w:eastAsia="Times New Roman" w:hAnsi="Times New Roman" w:cs="Times New Roman"/>
      <w:snapToGrid w:val="0"/>
      <w:szCs w:val="18"/>
      <w:lang w:val="en-GB" w:eastAsia="x-none"/>
    </w:rPr>
  </w:style>
  <w:style w:type="paragraph" w:customStyle="1" w:styleId="Default">
    <w:name w:val="Default"/>
    <w:rsid w:val="009E634C"/>
    <w:pPr>
      <w:autoSpaceDE w:val="0"/>
      <w:autoSpaceDN w:val="0"/>
      <w:adjustRightInd w:val="0"/>
    </w:pPr>
    <w:rPr>
      <w:rFonts w:ascii="Verdana" w:hAnsi="Verdana" w:cs="Verdana"/>
      <w:color w:val="000000"/>
      <w:sz w:val="24"/>
      <w:szCs w:val="24"/>
    </w:rPr>
  </w:style>
  <w:style w:type="paragraph" w:styleId="Title">
    <w:name w:val="Title"/>
    <w:basedOn w:val="Normal"/>
    <w:link w:val="TitleChar"/>
    <w:uiPriority w:val="10"/>
    <w:qFormat/>
    <w:rsid w:val="007001A0"/>
    <w:pPr>
      <w:autoSpaceDE w:val="0"/>
      <w:autoSpaceDN w:val="0"/>
      <w:jc w:val="center"/>
    </w:pPr>
    <w:rPr>
      <w:rFonts w:ascii="Times" w:eastAsia="Times New Roman" w:hAnsi="Times" w:cs="Times New Roman"/>
      <w:b/>
      <w:bCs/>
      <w:spacing w:val="30"/>
      <w:sz w:val="28"/>
      <w:szCs w:val="28"/>
      <w:lang w:val="it-IT" w:eastAsia="it-IT"/>
    </w:rPr>
  </w:style>
  <w:style w:type="character" w:customStyle="1" w:styleId="TitleChar">
    <w:name w:val="Title Char"/>
    <w:basedOn w:val="DefaultParagraphFont"/>
    <w:link w:val="Title"/>
    <w:uiPriority w:val="10"/>
    <w:rsid w:val="007001A0"/>
    <w:rPr>
      <w:rFonts w:ascii="Times" w:eastAsia="Times New Roman" w:hAnsi="Times" w:cs="Times New Roman"/>
      <w:b/>
      <w:bCs/>
      <w:spacing w:val="30"/>
      <w:sz w:val="28"/>
      <w:szCs w:val="28"/>
      <w:lang w:val="it-IT" w:eastAsia="it-IT"/>
    </w:rPr>
  </w:style>
  <w:style w:type="character" w:customStyle="1" w:styleId="current-page">
    <w:name w:val="current-page"/>
    <w:basedOn w:val="DefaultParagraphFont"/>
    <w:rsid w:val="007001A0"/>
    <w:rPr>
      <w:rFonts w:cs="Times New Roman"/>
    </w:rPr>
  </w:style>
  <w:style w:type="character" w:styleId="Hyperlink">
    <w:name w:val="Hyperlink"/>
    <w:basedOn w:val="DefaultParagraphFont"/>
    <w:uiPriority w:val="99"/>
    <w:unhideWhenUsed/>
    <w:rsid w:val="0000479D"/>
    <w:rPr>
      <w:color w:val="0000FF" w:themeColor="hyperlink"/>
      <w:u w:val="single"/>
    </w:rPr>
  </w:style>
  <w:style w:type="paragraph" w:styleId="Header">
    <w:name w:val="header"/>
    <w:basedOn w:val="Normal"/>
    <w:link w:val="HeaderChar"/>
    <w:uiPriority w:val="99"/>
    <w:unhideWhenUsed/>
    <w:rsid w:val="009707DD"/>
    <w:pPr>
      <w:tabs>
        <w:tab w:val="center" w:pos="4513"/>
        <w:tab w:val="right" w:pos="9026"/>
      </w:tabs>
    </w:pPr>
  </w:style>
  <w:style w:type="character" w:customStyle="1" w:styleId="HeaderChar">
    <w:name w:val="Header Char"/>
    <w:basedOn w:val="DefaultParagraphFont"/>
    <w:link w:val="Header"/>
    <w:uiPriority w:val="99"/>
    <w:rsid w:val="009707DD"/>
  </w:style>
  <w:style w:type="paragraph" w:styleId="Footer">
    <w:name w:val="footer"/>
    <w:basedOn w:val="Normal"/>
    <w:link w:val="FooterChar"/>
    <w:uiPriority w:val="99"/>
    <w:unhideWhenUsed/>
    <w:rsid w:val="009707DD"/>
    <w:pPr>
      <w:tabs>
        <w:tab w:val="center" w:pos="4513"/>
        <w:tab w:val="right" w:pos="9026"/>
      </w:tabs>
    </w:pPr>
  </w:style>
  <w:style w:type="character" w:customStyle="1" w:styleId="FooterChar">
    <w:name w:val="Footer Char"/>
    <w:basedOn w:val="DefaultParagraphFont"/>
    <w:link w:val="Footer"/>
    <w:uiPriority w:val="99"/>
    <w:rsid w:val="009707DD"/>
  </w:style>
  <w:style w:type="paragraph" w:styleId="BalloonText">
    <w:name w:val="Balloon Text"/>
    <w:basedOn w:val="Normal"/>
    <w:link w:val="BalloonTextChar"/>
    <w:uiPriority w:val="99"/>
    <w:semiHidden/>
    <w:unhideWhenUsed/>
    <w:rsid w:val="009707DD"/>
    <w:rPr>
      <w:rFonts w:ascii="Tahoma" w:hAnsi="Tahoma" w:cs="Tahoma"/>
      <w:sz w:val="16"/>
      <w:szCs w:val="16"/>
    </w:rPr>
  </w:style>
  <w:style w:type="character" w:customStyle="1" w:styleId="BalloonTextChar">
    <w:name w:val="Balloon Text Char"/>
    <w:basedOn w:val="DefaultParagraphFont"/>
    <w:link w:val="BalloonText"/>
    <w:uiPriority w:val="99"/>
    <w:semiHidden/>
    <w:rsid w:val="009707DD"/>
    <w:rPr>
      <w:rFonts w:ascii="Tahoma" w:hAnsi="Tahoma" w:cs="Tahoma"/>
      <w:sz w:val="16"/>
      <w:szCs w:val="16"/>
    </w:rPr>
  </w:style>
  <w:style w:type="character" w:styleId="CommentReference">
    <w:name w:val="annotation reference"/>
    <w:basedOn w:val="DefaultParagraphFont"/>
    <w:uiPriority w:val="99"/>
    <w:semiHidden/>
    <w:unhideWhenUsed/>
    <w:rsid w:val="00DA6C2A"/>
    <w:rPr>
      <w:sz w:val="16"/>
      <w:szCs w:val="16"/>
    </w:rPr>
  </w:style>
  <w:style w:type="paragraph" w:styleId="CommentText">
    <w:name w:val="annotation text"/>
    <w:basedOn w:val="Normal"/>
    <w:link w:val="CommentTextChar"/>
    <w:uiPriority w:val="99"/>
    <w:semiHidden/>
    <w:unhideWhenUsed/>
    <w:rsid w:val="00DA6C2A"/>
    <w:rPr>
      <w:sz w:val="20"/>
      <w:szCs w:val="20"/>
    </w:rPr>
  </w:style>
  <w:style w:type="character" w:customStyle="1" w:styleId="CommentTextChar">
    <w:name w:val="Comment Text Char"/>
    <w:basedOn w:val="DefaultParagraphFont"/>
    <w:link w:val="CommentText"/>
    <w:uiPriority w:val="99"/>
    <w:semiHidden/>
    <w:rsid w:val="00DA6C2A"/>
    <w:rPr>
      <w:sz w:val="20"/>
      <w:szCs w:val="20"/>
    </w:rPr>
  </w:style>
  <w:style w:type="paragraph" w:styleId="CommentSubject">
    <w:name w:val="annotation subject"/>
    <w:basedOn w:val="CommentText"/>
    <w:next w:val="CommentText"/>
    <w:link w:val="CommentSubjectChar"/>
    <w:uiPriority w:val="99"/>
    <w:semiHidden/>
    <w:unhideWhenUsed/>
    <w:rsid w:val="00DA6C2A"/>
    <w:rPr>
      <w:b/>
      <w:bCs/>
    </w:rPr>
  </w:style>
  <w:style w:type="character" w:customStyle="1" w:styleId="CommentSubjectChar">
    <w:name w:val="Comment Subject Char"/>
    <w:basedOn w:val="CommentTextChar"/>
    <w:link w:val="CommentSubject"/>
    <w:uiPriority w:val="99"/>
    <w:semiHidden/>
    <w:rsid w:val="00DA6C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5E8D"/>
    <w:rPr>
      <w:rFonts w:ascii="Calibri" w:hAnsi="Calibri" w:cs="Times New Roman"/>
    </w:rPr>
  </w:style>
  <w:style w:type="character" w:customStyle="1" w:styleId="PlainTextChar">
    <w:name w:val="Plain Text Char"/>
    <w:basedOn w:val="DefaultParagraphFont"/>
    <w:link w:val="PlainText"/>
    <w:uiPriority w:val="99"/>
    <w:semiHidden/>
    <w:rsid w:val="00665E8D"/>
    <w:rPr>
      <w:rFonts w:ascii="Calibri" w:hAnsi="Calibri" w:cs="Times New Roman"/>
    </w:rPr>
  </w:style>
  <w:style w:type="paragraph" w:customStyle="1" w:styleId="Para1">
    <w:name w:val="Para1"/>
    <w:basedOn w:val="Normal"/>
    <w:link w:val="Para1Char1"/>
    <w:rsid w:val="00C87859"/>
    <w:pPr>
      <w:numPr>
        <w:numId w:val="1"/>
      </w:numPr>
      <w:spacing w:before="120" w:after="120"/>
      <w:jc w:val="both"/>
    </w:pPr>
    <w:rPr>
      <w:rFonts w:ascii="Times New Roman" w:eastAsia="Times New Roman" w:hAnsi="Times New Roman" w:cs="Times New Roman"/>
      <w:snapToGrid w:val="0"/>
      <w:szCs w:val="18"/>
      <w:lang w:val="en-GB" w:eastAsia="x-none"/>
    </w:rPr>
  </w:style>
  <w:style w:type="paragraph" w:customStyle="1" w:styleId="Para3">
    <w:name w:val="Para3"/>
    <w:basedOn w:val="Normal"/>
    <w:rsid w:val="00C87859"/>
    <w:pPr>
      <w:numPr>
        <w:ilvl w:val="2"/>
        <w:numId w:val="1"/>
      </w:numPr>
      <w:tabs>
        <w:tab w:val="left" w:pos="1980"/>
      </w:tabs>
      <w:spacing w:before="80" w:after="80"/>
      <w:jc w:val="both"/>
    </w:pPr>
    <w:rPr>
      <w:rFonts w:ascii="Times New Roman" w:eastAsia="Times New Roman" w:hAnsi="Times New Roman" w:cs="Times New Roman"/>
      <w:szCs w:val="20"/>
      <w:lang w:val="en-GB"/>
    </w:rPr>
  </w:style>
  <w:style w:type="character" w:customStyle="1" w:styleId="Para1Char1">
    <w:name w:val="Para1 Char1"/>
    <w:link w:val="Para1"/>
    <w:rsid w:val="00C87859"/>
    <w:rPr>
      <w:rFonts w:ascii="Times New Roman" w:eastAsia="Times New Roman" w:hAnsi="Times New Roman" w:cs="Times New Roman"/>
      <w:snapToGrid w:val="0"/>
      <w:szCs w:val="18"/>
      <w:lang w:val="en-GB" w:eastAsia="x-none"/>
    </w:rPr>
  </w:style>
  <w:style w:type="paragraph" w:customStyle="1" w:styleId="Default">
    <w:name w:val="Default"/>
    <w:rsid w:val="009E634C"/>
    <w:pPr>
      <w:autoSpaceDE w:val="0"/>
      <w:autoSpaceDN w:val="0"/>
      <w:adjustRightInd w:val="0"/>
    </w:pPr>
    <w:rPr>
      <w:rFonts w:ascii="Verdana" w:hAnsi="Verdana" w:cs="Verdana"/>
      <w:color w:val="000000"/>
      <w:sz w:val="24"/>
      <w:szCs w:val="24"/>
    </w:rPr>
  </w:style>
  <w:style w:type="paragraph" w:styleId="Title">
    <w:name w:val="Title"/>
    <w:basedOn w:val="Normal"/>
    <w:link w:val="TitleChar"/>
    <w:uiPriority w:val="10"/>
    <w:qFormat/>
    <w:rsid w:val="007001A0"/>
    <w:pPr>
      <w:autoSpaceDE w:val="0"/>
      <w:autoSpaceDN w:val="0"/>
      <w:jc w:val="center"/>
    </w:pPr>
    <w:rPr>
      <w:rFonts w:ascii="Times" w:eastAsia="Times New Roman" w:hAnsi="Times" w:cs="Times New Roman"/>
      <w:b/>
      <w:bCs/>
      <w:spacing w:val="30"/>
      <w:sz w:val="28"/>
      <w:szCs w:val="28"/>
      <w:lang w:val="it-IT" w:eastAsia="it-IT"/>
    </w:rPr>
  </w:style>
  <w:style w:type="character" w:customStyle="1" w:styleId="TitleChar">
    <w:name w:val="Title Char"/>
    <w:basedOn w:val="DefaultParagraphFont"/>
    <w:link w:val="Title"/>
    <w:uiPriority w:val="10"/>
    <w:rsid w:val="007001A0"/>
    <w:rPr>
      <w:rFonts w:ascii="Times" w:eastAsia="Times New Roman" w:hAnsi="Times" w:cs="Times New Roman"/>
      <w:b/>
      <w:bCs/>
      <w:spacing w:val="30"/>
      <w:sz w:val="28"/>
      <w:szCs w:val="28"/>
      <w:lang w:val="it-IT" w:eastAsia="it-IT"/>
    </w:rPr>
  </w:style>
  <w:style w:type="character" w:customStyle="1" w:styleId="current-page">
    <w:name w:val="current-page"/>
    <w:basedOn w:val="DefaultParagraphFont"/>
    <w:rsid w:val="007001A0"/>
    <w:rPr>
      <w:rFonts w:cs="Times New Roman"/>
    </w:rPr>
  </w:style>
  <w:style w:type="character" w:styleId="Hyperlink">
    <w:name w:val="Hyperlink"/>
    <w:basedOn w:val="DefaultParagraphFont"/>
    <w:uiPriority w:val="99"/>
    <w:unhideWhenUsed/>
    <w:rsid w:val="0000479D"/>
    <w:rPr>
      <w:color w:val="0000FF" w:themeColor="hyperlink"/>
      <w:u w:val="single"/>
    </w:rPr>
  </w:style>
  <w:style w:type="paragraph" w:styleId="Header">
    <w:name w:val="header"/>
    <w:basedOn w:val="Normal"/>
    <w:link w:val="HeaderChar"/>
    <w:uiPriority w:val="99"/>
    <w:unhideWhenUsed/>
    <w:rsid w:val="009707DD"/>
    <w:pPr>
      <w:tabs>
        <w:tab w:val="center" w:pos="4513"/>
        <w:tab w:val="right" w:pos="9026"/>
      </w:tabs>
    </w:pPr>
  </w:style>
  <w:style w:type="character" w:customStyle="1" w:styleId="HeaderChar">
    <w:name w:val="Header Char"/>
    <w:basedOn w:val="DefaultParagraphFont"/>
    <w:link w:val="Header"/>
    <w:uiPriority w:val="99"/>
    <w:rsid w:val="009707DD"/>
  </w:style>
  <w:style w:type="paragraph" w:styleId="Footer">
    <w:name w:val="footer"/>
    <w:basedOn w:val="Normal"/>
    <w:link w:val="FooterChar"/>
    <w:uiPriority w:val="99"/>
    <w:unhideWhenUsed/>
    <w:rsid w:val="009707DD"/>
    <w:pPr>
      <w:tabs>
        <w:tab w:val="center" w:pos="4513"/>
        <w:tab w:val="right" w:pos="9026"/>
      </w:tabs>
    </w:pPr>
  </w:style>
  <w:style w:type="character" w:customStyle="1" w:styleId="FooterChar">
    <w:name w:val="Footer Char"/>
    <w:basedOn w:val="DefaultParagraphFont"/>
    <w:link w:val="Footer"/>
    <w:uiPriority w:val="99"/>
    <w:rsid w:val="009707DD"/>
  </w:style>
  <w:style w:type="paragraph" w:styleId="BalloonText">
    <w:name w:val="Balloon Text"/>
    <w:basedOn w:val="Normal"/>
    <w:link w:val="BalloonTextChar"/>
    <w:uiPriority w:val="99"/>
    <w:semiHidden/>
    <w:unhideWhenUsed/>
    <w:rsid w:val="009707DD"/>
    <w:rPr>
      <w:rFonts w:ascii="Tahoma" w:hAnsi="Tahoma" w:cs="Tahoma"/>
      <w:sz w:val="16"/>
      <w:szCs w:val="16"/>
    </w:rPr>
  </w:style>
  <w:style w:type="character" w:customStyle="1" w:styleId="BalloonTextChar">
    <w:name w:val="Balloon Text Char"/>
    <w:basedOn w:val="DefaultParagraphFont"/>
    <w:link w:val="BalloonText"/>
    <w:uiPriority w:val="99"/>
    <w:semiHidden/>
    <w:rsid w:val="009707DD"/>
    <w:rPr>
      <w:rFonts w:ascii="Tahoma" w:hAnsi="Tahoma" w:cs="Tahoma"/>
      <w:sz w:val="16"/>
      <w:szCs w:val="16"/>
    </w:rPr>
  </w:style>
  <w:style w:type="character" w:styleId="CommentReference">
    <w:name w:val="annotation reference"/>
    <w:basedOn w:val="DefaultParagraphFont"/>
    <w:uiPriority w:val="99"/>
    <w:semiHidden/>
    <w:unhideWhenUsed/>
    <w:rsid w:val="00DA6C2A"/>
    <w:rPr>
      <w:sz w:val="16"/>
      <w:szCs w:val="16"/>
    </w:rPr>
  </w:style>
  <w:style w:type="paragraph" w:styleId="CommentText">
    <w:name w:val="annotation text"/>
    <w:basedOn w:val="Normal"/>
    <w:link w:val="CommentTextChar"/>
    <w:uiPriority w:val="99"/>
    <w:semiHidden/>
    <w:unhideWhenUsed/>
    <w:rsid w:val="00DA6C2A"/>
    <w:rPr>
      <w:sz w:val="20"/>
      <w:szCs w:val="20"/>
    </w:rPr>
  </w:style>
  <w:style w:type="character" w:customStyle="1" w:styleId="CommentTextChar">
    <w:name w:val="Comment Text Char"/>
    <w:basedOn w:val="DefaultParagraphFont"/>
    <w:link w:val="CommentText"/>
    <w:uiPriority w:val="99"/>
    <w:semiHidden/>
    <w:rsid w:val="00DA6C2A"/>
    <w:rPr>
      <w:sz w:val="20"/>
      <w:szCs w:val="20"/>
    </w:rPr>
  </w:style>
  <w:style w:type="paragraph" w:styleId="CommentSubject">
    <w:name w:val="annotation subject"/>
    <w:basedOn w:val="CommentText"/>
    <w:next w:val="CommentText"/>
    <w:link w:val="CommentSubjectChar"/>
    <w:uiPriority w:val="99"/>
    <w:semiHidden/>
    <w:unhideWhenUsed/>
    <w:rsid w:val="00DA6C2A"/>
    <w:rPr>
      <w:b/>
      <w:bCs/>
    </w:rPr>
  </w:style>
  <w:style w:type="character" w:customStyle="1" w:styleId="CommentSubjectChar">
    <w:name w:val="Comment Subject Char"/>
    <w:basedOn w:val="CommentTextChar"/>
    <w:link w:val="CommentSubject"/>
    <w:uiPriority w:val="99"/>
    <w:semiHidden/>
    <w:rsid w:val="00DA6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gem.net/index.cfm/en/publication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nlinelibrary.wiley.com/doi/full/10.1111/eva.122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science/article/pii/S22145745150009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mc/articles/PMC2946175/" TargetMode="External"/><Relationship Id="rId4" Type="http://schemas.openxmlformats.org/officeDocument/2006/relationships/settings" Target="settings.xml"/><Relationship Id="rId9" Type="http://schemas.openxmlformats.org/officeDocument/2006/relationships/hyperlink" Target="https://onlinelibrary.wiley.com/doi/10.1002/9781119255574.ch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C4B2F422</Template>
  <TotalTime>0</TotalTime>
  <Pages>4</Pages>
  <Words>1862</Words>
  <Characters>10242</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SSC-Campus</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 Glandorf</dc:creator>
  <cp:lastModifiedBy>Boet Glandorf</cp:lastModifiedBy>
  <cp:revision>2</cp:revision>
  <dcterms:created xsi:type="dcterms:W3CDTF">2019-02-14T15:51:00Z</dcterms:created>
  <dcterms:modified xsi:type="dcterms:W3CDTF">2019-02-14T15:51:00Z</dcterms:modified>
</cp:coreProperties>
</file>