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688E" w:rsidRDefault="0026688E" w:rsidP="0026688E">
      <w:pPr>
        <w:spacing w:line="276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78139B">
        <w:rPr>
          <w:b/>
          <w:sz w:val="28"/>
          <w:szCs w:val="28"/>
        </w:rPr>
        <w:t xml:space="preserve">NOTIFICACIÓN </w:t>
      </w:r>
      <w:r w:rsidR="003D3781" w:rsidRPr="003D3781">
        <w:rPr>
          <w:b/>
          <w:sz w:val="28"/>
          <w:szCs w:val="28"/>
        </w:rPr>
        <w:t xml:space="preserve">SCBD/SPS/DC/MM/DA/87054 </w:t>
      </w:r>
      <w:r>
        <w:rPr>
          <w:b/>
          <w:sz w:val="28"/>
          <w:szCs w:val="28"/>
        </w:rPr>
        <w:t>(201</w:t>
      </w:r>
      <w:r w:rsidR="003D3781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-</w:t>
      </w:r>
      <w:r w:rsidR="003D3781">
        <w:rPr>
          <w:b/>
          <w:sz w:val="28"/>
          <w:szCs w:val="28"/>
        </w:rPr>
        <w:t>141</w:t>
      </w:r>
      <w:r w:rsidRPr="0078139B">
        <w:rPr>
          <w:b/>
          <w:sz w:val="28"/>
          <w:szCs w:val="28"/>
        </w:rPr>
        <w:t>)</w:t>
      </w:r>
    </w:p>
    <w:p w:rsidR="0026688E" w:rsidRDefault="0026688E" w:rsidP="0026688E">
      <w:pPr>
        <w:spacing w:line="276" w:lineRule="auto"/>
        <w:jc w:val="center"/>
        <w:rPr>
          <w:b/>
          <w:sz w:val="28"/>
          <w:szCs w:val="28"/>
        </w:rPr>
      </w:pPr>
    </w:p>
    <w:p w:rsidR="00B049D5" w:rsidRDefault="0026688E" w:rsidP="009249FA">
      <w:pPr>
        <w:spacing w:line="276" w:lineRule="auto"/>
        <w:jc w:val="both"/>
        <w:rPr>
          <w:sz w:val="24"/>
          <w:szCs w:val="24"/>
        </w:rPr>
      </w:pPr>
      <w:r w:rsidRPr="00BF2608">
        <w:rPr>
          <w:sz w:val="24"/>
          <w:szCs w:val="24"/>
        </w:rPr>
        <w:t xml:space="preserve">En atención a la decisión </w:t>
      </w:r>
      <w:r w:rsidR="003D3781" w:rsidRPr="00BF2608">
        <w:rPr>
          <w:sz w:val="24"/>
          <w:szCs w:val="24"/>
        </w:rPr>
        <w:t>CP-</w:t>
      </w:r>
      <w:r w:rsidRPr="00BF2608">
        <w:rPr>
          <w:sz w:val="24"/>
          <w:szCs w:val="24"/>
        </w:rPr>
        <w:t>VII</w:t>
      </w:r>
      <w:r w:rsidR="003D3781" w:rsidRPr="00BF2608">
        <w:rPr>
          <w:sz w:val="24"/>
          <w:szCs w:val="24"/>
        </w:rPr>
        <w:t>I</w:t>
      </w:r>
      <w:r w:rsidRPr="00BF2608">
        <w:rPr>
          <w:sz w:val="24"/>
          <w:szCs w:val="24"/>
        </w:rPr>
        <w:t>/</w:t>
      </w:r>
      <w:r w:rsidR="003D3781" w:rsidRPr="00BF2608">
        <w:rPr>
          <w:sz w:val="24"/>
          <w:szCs w:val="24"/>
        </w:rPr>
        <w:t>16</w:t>
      </w:r>
      <w:r w:rsidRPr="00BF2608">
        <w:rPr>
          <w:sz w:val="24"/>
          <w:szCs w:val="24"/>
        </w:rPr>
        <w:t xml:space="preserve"> y de conformidad con el objetivo operacional </w:t>
      </w:r>
      <w:r w:rsidR="003D3781" w:rsidRPr="00BF2608">
        <w:rPr>
          <w:sz w:val="24"/>
          <w:szCs w:val="24"/>
        </w:rPr>
        <w:t>2.3.2 Y 2.3.3</w:t>
      </w:r>
      <w:r w:rsidRPr="00BF2608">
        <w:rPr>
          <w:sz w:val="24"/>
          <w:szCs w:val="24"/>
        </w:rPr>
        <w:t xml:space="preserve"> del Plan Estratégico del Protocolo de Cartagena sobre seguridad de la biotecnología para el período 2011-2020</w:t>
      </w:r>
      <w:r w:rsidR="003D3781" w:rsidRPr="00BF2608">
        <w:rPr>
          <w:sz w:val="24"/>
          <w:szCs w:val="24"/>
        </w:rPr>
        <w:t>,</w:t>
      </w:r>
      <w:r w:rsidRPr="00BF2608">
        <w:rPr>
          <w:rStyle w:val="FootnoteReference"/>
          <w:sz w:val="24"/>
          <w:szCs w:val="24"/>
        </w:rPr>
        <w:footnoteReference w:id="1"/>
      </w:r>
      <w:r w:rsidRPr="00BF2608">
        <w:rPr>
          <w:sz w:val="24"/>
          <w:szCs w:val="24"/>
        </w:rPr>
        <w:t xml:space="preserve"> México informa </w:t>
      </w:r>
      <w:r w:rsidR="003D3781" w:rsidRPr="00BF2608">
        <w:rPr>
          <w:sz w:val="24"/>
          <w:szCs w:val="24"/>
        </w:rPr>
        <w:t xml:space="preserve">que las autoridades competentes </w:t>
      </w:r>
      <w:r w:rsidRPr="00BF2608">
        <w:rPr>
          <w:sz w:val="24"/>
          <w:szCs w:val="24"/>
        </w:rPr>
        <w:t xml:space="preserve"> </w:t>
      </w:r>
      <w:r w:rsidR="003D3781" w:rsidRPr="00BF2608">
        <w:rPr>
          <w:sz w:val="24"/>
          <w:szCs w:val="24"/>
        </w:rPr>
        <w:t>cuentan con laboratorios especializados y con acceso a análisis de altos estándares de confianza y calidad para realizar detección, identificación y cuantificación de organismos vivos modificados, pues algunos de ellos están acreditados por la Entidad Mexicana de Acreditación (EMA)</w:t>
      </w:r>
      <w:r w:rsidR="00BF2608">
        <w:rPr>
          <w:sz w:val="24"/>
          <w:szCs w:val="24"/>
        </w:rPr>
        <w:t xml:space="preserve"> y han demostrado competencia técnica en pruebas de desempeño a nivel internacional</w:t>
      </w:r>
      <w:r w:rsidR="003D3781" w:rsidRPr="00BF2608">
        <w:rPr>
          <w:sz w:val="24"/>
          <w:szCs w:val="24"/>
        </w:rPr>
        <w:t>.</w:t>
      </w:r>
      <w:r w:rsidR="00BF2608">
        <w:rPr>
          <w:sz w:val="24"/>
          <w:szCs w:val="24"/>
        </w:rPr>
        <w:t xml:space="preserve"> </w:t>
      </w:r>
      <w:r w:rsidR="00B049D5">
        <w:rPr>
          <w:sz w:val="24"/>
          <w:szCs w:val="24"/>
        </w:rPr>
        <w:t>Los laboratorios de las autoridades c</w:t>
      </w:r>
      <w:r w:rsidR="00CE323F">
        <w:rPr>
          <w:sz w:val="24"/>
          <w:szCs w:val="24"/>
        </w:rPr>
        <w:t>ompetentes (Secretaría de Salud;</w:t>
      </w:r>
      <w:r w:rsidR="00B049D5">
        <w:rPr>
          <w:sz w:val="24"/>
          <w:szCs w:val="24"/>
        </w:rPr>
        <w:t xml:space="preserve"> </w:t>
      </w:r>
      <w:r w:rsidR="00CE323F">
        <w:rPr>
          <w:sz w:val="24"/>
          <w:szCs w:val="24"/>
        </w:rPr>
        <w:t xml:space="preserve">Secretaría de </w:t>
      </w:r>
      <w:r w:rsidR="00CE323F" w:rsidRPr="00CE323F">
        <w:rPr>
          <w:sz w:val="24"/>
          <w:szCs w:val="24"/>
        </w:rPr>
        <w:t>Agricultura, Ganadería, Desarrollo Rural, Pesca y Alimentación</w:t>
      </w:r>
      <w:r w:rsidR="00CE323F">
        <w:rPr>
          <w:sz w:val="24"/>
          <w:szCs w:val="24"/>
        </w:rPr>
        <w:t>,</w:t>
      </w:r>
      <w:r w:rsidR="00CE323F" w:rsidRPr="00CE323F">
        <w:rPr>
          <w:sz w:val="24"/>
          <w:szCs w:val="24"/>
        </w:rPr>
        <w:t xml:space="preserve"> </w:t>
      </w:r>
      <w:r w:rsidR="00B049D5">
        <w:rPr>
          <w:sz w:val="24"/>
          <w:szCs w:val="24"/>
        </w:rPr>
        <w:t>SAGARPA</w:t>
      </w:r>
      <w:r w:rsidR="00CE323F">
        <w:rPr>
          <w:sz w:val="24"/>
          <w:szCs w:val="24"/>
        </w:rPr>
        <w:t>;</w:t>
      </w:r>
      <w:r w:rsidR="00B049D5">
        <w:rPr>
          <w:sz w:val="24"/>
          <w:szCs w:val="24"/>
        </w:rPr>
        <w:t xml:space="preserve"> y </w:t>
      </w:r>
      <w:r w:rsidR="00CE323F">
        <w:rPr>
          <w:sz w:val="24"/>
          <w:szCs w:val="24"/>
        </w:rPr>
        <w:t xml:space="preserve">Secretaría de Medio Ambiente y Recursos Naturales, </w:t>
      </w:r>
      <w:r w:rsidR="00B049D5">
        <w:rPr>
          <w:sz w:val="24"/>
          <w:szCs w:val="24"/>
        </w:rPr>
        <w:t xml:space="preserve">SEMARNAT), están a cargo de las actividades de detección de OVMs. Los materiales que analizan están en función de las correspondientes atribuciones y ámbitos de competencia de cada una de ellas. </w:t>
      </w:r>
      <w:r w:rsidR="00BF2608">
        <w:rPr>
          <w:sz w:val="24"/>
          <w:szCs w:val="24"/>
        </w:rPr>
        <w:t xml:space="preserve">Existe además una </w:t>
      </w:r>
      <w:r w:rsidR="00BF2608" w:rsidRPr="00BF2608">
        <w:rPr>
          <w:sz w:val="24"/>
          <w:szCs w:val="24"/>
        </w:rPr>
        <w:t>Red Nacional de Laboratorios de Detección, Identificación y Cuantificación de Organismos Genéticamente Modificados (RNLD-OGM)</w:t>
      </w:r>
      <w:r w:rsidR="00CE323F">
        <w:rPr>
          <w:sz w:val="24"/>
          <w:szCs w:val="24"/>
        </w:rPr>
        <w:t>, que se conforma de laboratorios de instituciones públicas interesadas en colaborar con las autoridades</w:t>
      </w:r>
      <w:r w:rsidR="00BF2608">
        <w:rPr>
          <w:sz w:val="24"/>
          <w:szCs w:val="24"/>
        </w:rPr>
        <w:t>.</w:t>
      </w:r>
      <w:r w:rsidR="00BF2608">
        <w:rPr>
          <w:rStyle w:val="FootnoteReference"/>
          <w:sz w:val="24"/>
          <w:szCs w:val="24"/>
        </w:rPr>
        <w:footnoteReference w:id="2"/>
      </w:r>
      <w:r w:rsidR="00BF2608">
        <w:rPr>
          <w:sz w:val="24"/>
          <w:szCs w:val="24"/>
        </w:rPr>
        <w:t xml:space="preserve"> </w:t>
      </w:r>
    </w:p>
    <w:p w:rsidR="009249FA" w:rsidRDefault="009249FA" w:rsidP="0026688E">
      <w:pPr>
        <w:spacing w:line="276" w:lineRule="auto"/>
        <w:jc w:val="both"/>
        <w:rPr>
          <w:sz w:val="24"/>
          <w:szCs w:val="24"/>
        </w:rPr>
      </w:pPr>
    </w:p>
    <w:p w:rsidR="009249FA" w:rsidRPr="009249FA" w:rsidRDefault="009249FA" w:rsidP="0026688E">
      <w:pPr>
        <w:spacing w:line="276" w:lineRule="auto"/>
        <w:jc w:val="both"/>
        <w:rPr>
          <w:b/>
          <w:sz w:val="24"/>
          <w:szCs w:val="24"/>
        </w:rPr>
      </w:pPr>
      <w:r w:rsidRPr="009249FA">
        <w:rPr>
          <w:b/>
          <w:sz w:val="24"/>
          <w:szCs w:val="24"/>
        </w:rPr>
        <w:t>CAPACIDADES TÉCNICAS</w:t>
      </w:r>
      <w:r>
        <w:rPr>
          <w:b/>
          <w:sz w:val="24"/>
          <w:szCs w:val="24"/>
        </w:rPr>
        <w:t xml:space="preserve"> DE LOS LABORATORIOS DE DETECCIÓN EN MÉXICO</w:t>
      </w:r>
      <w:r w:rsidRPr="009249FA">
        <w:rPr>
          <w:b/>
          <w:sz w:val="24"/>
          <w:szCs w:val="24"/>
        </w:rPr>
        <w:t>.</w:t>
      </w:r>
    </w:p>
    <w:p w:rsidR="00B049D5" w:rsidRPr="009249FA" w:rsidRDefault="00B049D5" w:rsidP="00B049D5">
      <w:pPr>
        <w:spacing w:line="276" w:lineRule="auto"/>
        <w:jc w:val="both"/>
        <w:rPr>
          <w:color w:val="FF0000"/>
          <w:sz w:val="24"/>
          <w:szCs w:val="24"/>
        </w:rPr>
      </w:pPr>
      <w:r w:rsidRPr="00BF2608">
        <w:rPr>
          <w:sz w:val="24"/>
          <w:szCs w:val="24"/>
        </w:rPr>
        <w:t>Los análisis que llevan a cabo los laboratorios de detección y análisis de OGMs emplean varias técnicas entre métodos bioquímicos, inmunológicos y moleculares que permiten tener certeza sobre el tipo de modificación genética que pudiera estar presente en el material de estudio, y</w:t>
      </w:r>
      <w:r w:rsidR="00CE323F">
        <w:rPr>
          <w:sz w:val="24"/>
          <w:szCs w:val="24"/>
        </w:rPr>
        <w:t>,</w:t>
      </w:r>
      <w:r w:rsidRPr="00BF2608">
        <w:rPr>
          <w:sz w:val="24"/>
          <w:szCs w:val="24"/>
        </w:rPr>
        <w:t xml:space="preserve"> cuando </w:t>
      </w:r>
      <w:r w:rsidR="00CE323F">
        <w:rPr>
          <w:sz w:val="24"/>
          <w:szCs w:val="24"/>
        </w:rPr>
        <w:t>se requiere</w:t>
      </w:r>
      <w:r w:rsidRPr="00BF2608">
        <w:rPr>
          <w:sz w:val="24"/>
          <w:szCs w:val="24"/>
        </w:rPr>
        <w:t xml:space="preserve">, determinar la cantidad en la que </w:t>
      </w:r>
      <w:r>
        <w:rPr>
          <w:sz w:val="24"/>
          <w:szCs w:val="24"/>
        </w:rPr>
        <w:t xml:space="preserve">éste </w:t>
      </w:r>
      <w:r w:rsidRPr="00BF2608">
        <w:rPr>
          <w:sz w:val="24"/>
          <w:szCs w:val="24"/>
        </w:rPr>
        <w:t>se encuentra</w:t>
      </w:r>
      <w:r>
        <w:rPr>
          <w:sz w:val="24"/>
          <w:szCs w:val="24"/>
        </w:rPr>
        <w:t xml:space="preserve"> presente en la muestra</w:t>
      </w:r>
      <w:r w:rsidRPr="00BF2608">
        <w:rPr>
          <w:sz w:val="24"/>
          <w:szCs w:val="24"/>
        </w:rPr>
        <w:t xml:space="preserve">, proporcionando </w:t>
      </w:r>
      <w:r w:rsidR="00CE323F">
        <w:rPr>
          <w:sz w:val="24"/>
          <w:szCs w:val="24"/>
        </w:rPr>
        <w:t>así elementos que apoyan a las a</w:t>
      </w:r>
      <w:r w:rsidRPr="00BF2608">
        <w:rPr>
          <w:sz w:val="24"/>
          <w:szCs w:val="24"/>
        </w:rPr>
        <w:t xml:space="preserve">utoridades a tomar las decisiones, </w:t>
      </w:r>
      <w:r>
        <w:rPr>
          <w:sz w:val="24"/>
          <w:szCs w:val="24"/>
        </w:rPr>
        <w:t xml:space="preserve">y </w:t>
      </w:r>
      <w:r w:rsidRPr="00BF2608">
        <w:rPr>
          <w:sz w:val="24"/>
          <w:szCs w:val="24"/>
        </w:rPr>
        <w:t xml:space="preserve">coadyuvando cuando es necesario al proceso de evaluación de riesgo y acciones </w:t>
      </w:r>
      <w:r>
        <w:rPr>
          <w:sz w:val="24"/>
          <w:szCs w:val="24"/>
        </w:rPr>
        <w:t xml:space="preserve">para el cumplimiento del marco regulatorio en materia </w:t>
      </w:r>
      <w:r w:rsidRPr="00BF2608">
        <w:rPr>
          <w:sz w:val="24"/>
          <w:szCs w:val="24"/>
        </w:rPr>
        <w:t>de bioseguridad.</w:t>
      </w:r>
      <w:r>
        <w:rPr>
          <w:sz w:val="24"/>
          <w:szCs w:val="24"/>
        </w:rPr>
        <w:t xml:space="preserve"> </w:t>
      </w:r>
    </w:p>
    <w:p w:rsidR="009249FA" w:rsidRDefault="009249FA" w:rsidP="009249FA">
      <w:pPr>
        <w:spacing w:line="276" w:lineRule="auto"/>
        <w:jc w:val="both"/>
        <w:rPr>
          <w:sz w:val="24"/>
          <w:szCs w:val="24"/>
        </w:rPr>
      </w:pPr>
    </w:p>
    <w:p w:rsidR="009249FA" w:rsidRPr="00BF2608" w:rsidRDefault="009249FA" w:rsidP="009249FA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 la </w:t>
      </w:r>
      <w:r w:rsidR="00DD436F">
        <w:rPr>
          <w:sz w:val="24"/>
          <w:szCs w:val="24"/>
        </w:rPr>
        <w:t>Tabla 1</w:t>
      </w:r>
      <w:r>
        <w:rPr>
          <w:sz w:val="24"/>
          <w:szCs w:val="24"/>
        </w:rPr>
        <w:t xml:space="preserve"> se enlistan los laboratorios que pertenecen a la RNLD-OGM, y se presenta de manera general la capacidad técnica que poseen.</w:t>
      </w:r>
    </w:p>
    <w:p w:rsidR="005616A6" w:rsidRDefault="005616A6" w:rsidP="009249FA">
      <w:pPr>
        <w:spacing w:line="276" w:lineRule="auto"/>
        <w:jc w:val="both"/>
        <w:rPr>
          <w:sz w:val="24"/>
          <w:szCs w:val="24"/>
        </w:rPr>
      </w:pPr>
    </w:p>
    <w:p w:rsidR="00EE148F" w:rsidRDefault="00EE148F" w:rsidP="009249FA">
      <w:pPr>
        <w:spacing w:line="276" w:lineRule="auto"/>
        <w:jc w:val="both"/>
        <w:rPr>
          <w:sz w:val="24"/>
          <w:szCs w:val="24"/>
        </w:rPr>
      </w:pPr>
    </w:p>
    <w:p w:rsidR="00EE148F" w:rsidRDefault="00EE148F" w:rsidP="009249FA">
      <w:pPr>
        <w:spacing w:line="276" w:lineRule="auto"/>
        <w:jc w:val="both"/>
        <w:rPr>
          <w:sz w:val="24"/>
          <w:szCs w:val="24"/>
        </w:rPr>
      </w:pPr>
    </w:p>
    <w:p w:rsidR="00EE148F" w:rsidRDefault="00EE148F" w:rsidP="009249FA">
      <w:pPr>
        <w:spacing w:line="276" w:lineRule="auto"/>
        <w:jc w:val="both"/>
        <w:rPr>
          <w:sz w:val="24"/>
          <w:szCs w:val="24"/>
        </w:rPr>
      </w:pPr>
    </w:p>
    <w:p w:rsidR="00EE148F" w:rsidRDefault="00EE148F" w:rsidP="009249FA">
      <w:pPr>
        <w:spacing w:line="276" w:lineRule="auto"/>
        <w:jc w:val="both"/>
        <w:rPr>
          <w:sz w:val="24"/>
          <w:szCs w:val="24"/>
        </w:rPr>
      </w:pPr>
    </w:p>
    <w:p w:rsidR="0088667E" w:rsidRDefault="001248D1" w:rsidP="009249FA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Tabla1. Laboratorios que integran la RNLD-OGM en México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"/>
        <w:gridCol w:w="3604"/>
        <w:gridCol w:w="3261"/>
        <w:gridCol w:w="2409"/>
      </w:tblGrid>
      <w:tr w:rsidR="0088667E" w:rsidRPr="003226C8" w:rsidTr="004F7991">
        <w:trPr>
          <w:trHeight w:val="399"/>
          <w:tblHeader/>
        </w:trPr>
        <w:tc>
          <w:tcPr>
            <w:tcW w:w="435" w:type="dxa"/>
            <w:vAlign w:val="bottom"/>
          </w:tcPr>
          <w:p w:rsidR="0088667E" w:rsidRPr="004309BD" w:rsidRDefault="0088667E" w:rsidP="004F799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es-MX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es-MX"/>
              </w:rPr>
              <w:t>No.</w:t>
            </w:r>
          </w:p>
        </w:tc>
        <w:tc>
          <w:tcPr>
            <w:tcW w:w="3604" w:type="dxa"/>
            <w:shd w:val="clear" w:color="auto" w:fill="auto"/>
            <w:vAlign w:val="bottom"/>
            <w:hideMark/>
          </w:tcPr>
          <w:p w:rsidR="0088667E" w:rsidRPr="004309BD" w:rsidRDefault="001248D1" w:rsidP="004F799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es-MX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es-MX"/>
              </w:rPr>
              <w:t>Laboratorio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88667E" w:rsidRPr="004309BD" w:rsidRDefault="001248D1" w:rsidP="004F799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es-MX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es-MX"/>
              </w:rPr>
              <w:t>Institución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88667E" w:rsidRPr="004309BD" w:rsidRDefault="001248D1" w:rsidP="004F799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es-MX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es-MX"/>
              </w:rPr>
              <w:t>Capacidad técnica</w:t>
            </w:r>
          </w:p>
        </w:tc>
      </w:tr>
      <w:tr w:rsidR="00CE323F" w:rsidRPr="00443396" w:rsidTr="004F7991">
        <w:trPr>
          <w:trHeight w:val="670"/>
        </w:trPr>
        <w:tc>
          <w:tcPr>
            <w:tcW w:w="435" w:type="dxa"/>
          </w:tcPr>
          <w:p w:rsidR="00CE323F" w:rsidRDefault="00CE323F" w:rsidP="00CE323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604" w:type="dxa"/>
            <w:shd w:val="clear" w:color="auto" w:fill="auto"/>
          </w:tcPr>
          <w:p w:rsidR="00CE323F" w:rsidRPr="00EE148F" w:rsidRDefault="00EE148F" w:rsidP="00CE32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Laboratorio de Biometrologí</w:t>
            </w:r>
            <w:r w:rsidR="00CE323F" w:rsidRPr="00EE148F">
              <w:rPr>
                <w:rFonts w:ascii="Times New Roman" w:hAnsi="Times New Roman"/>
                <w:sz w:val="20"/>
              </w:rPr>
              <w:t xml:space="preserve">a de la División de Materiales Orgánicos </w:t>
            </w:r>
          </w:p>
        </w:tc>
        <w:tc>
          <w:tcPr>
            <w:tcW w:w="3261" w:type="dxa"/>
            <w:shd w:val="clear" w:color="auto" w:fill="auto"/>
          </w:tcPr>
          <w:p w:rsidR="00CE323F" w:rsidRPr="00EE148F" w:rsidRDefault="00CE323F" w:rsidP="00CE323F">
            <w:pPr>
              <w:rPr>
                <w:rFonts w:ascii="Times New Roman" w:hAnsi="Times New Roman"/>
                <w:sz w:val="20"/>
              </w:rPr>
            </w:pPr>
            <w:r w:rsidRPr="00EE148F">
              <w:rPr>
                <w:rFonts w:ascii="Times New Roman" w:hAnsi="Times New Roman"/>
                <w:sz w:val="20"/>
              </w:rPr>
              <w:t>Centro Nacional de Metrología (CENAM).</w:t>
            </w:r>
          </w:p>
        </w:tc>
        <w:tc>
          <w:tcPr>
            <w:tcW w:w="2409" w:type="dxa"/>
            <w:shd w:val="clear" w:color="auto" w:fill="auto"/>
          </w:tcPr>
          <w:p w:rsidR="00CE323F" w:rsidRPr="00EE148F" w:rsidRDefault="00CE323F" w:rsidP="00CE323F">
            <w:pPr>
              <w:rPr>
                <w:rFonts w:ascii="Times New Roman" w:hAnsi="Times New Roman"/>
                <w:sz w:val="20"/>
              </w:rPr>
            </w:pPr>
            <w:r w:rsidRPr="00EE148F">
              <w:rPr>
                <w:rFonts w:ascii="Times New Roman" w:hAnsi="Times New Roman"/>
                <w:sz w:val="20"/>
              </w:rPr>
              <w:t>PCR punto final, PCR Tiempo Real y PCR Digital</w:t>
            </w:r>
          </w:p>
        </w:tc>
      </w:tr>
      <w:tr w:rsidR="00CE323F" w:rsidRPr="00443396" w:rsidTr="004F7991">
        <w:trPr>
          <w:trHeight w:val="670"/>
        </w:trPr>
        <w:tc>
          <w:tcPr>
            <w:tcW w:w="435" w:type="dxa"/>
          </w:tcPr>
          <w:p w:rsidR="00CE323F" w:rsidRDefault="00CE323F" w:rsidP="00CE323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604" w:type="dxa"/>
            <w:shd w:val="clear" w:color="auto" w:fill="auto"/>
          </w:tcPr>
          <w:p w:rsidR="00CE323F" w:rsidRPr="00EE148F" w:rsidRDefault="00CE323F" w:rsidP="00CE323F">
            <w:pPr>
              <w:rPr>
                <w:rFonts w:ascii="Times New Roman" w:hAnsi="Times New Roman"/>
                <w:sz w:val="20"/>
              </w:rPr>
            </w:pPr>
            <w:r w:rsidRPr="00EE148F">
              <w:rPr>
                <w:rFonts w:ascii="Times New Roman" w:hAnsi="Times New Roman"/>
                <w:sz w:val="20"/>
              </w:rPr>
              <w:t>Centro Nacional de Referencia en Detección de Organismos Genéticamente Modificados</w:t>
            </w:r>
          </w:p>
        </w:tc>
        <w:tc>
          <w:tcPr>
            <w:tcW w:w="3261" w:type="dxa"/>
            <w:shd w:val="clear" w:color="auto" w:fill="auto"/>
          </w:tcPr>
          <w:p w:rsidR="00CE323F" w:rsidRPr="00EE148F" w:rsidRDefault="00CE323F" w:rsidP="00CE323F">
            <w:pPr>
              <w:rPr>
                <w:rFonts w:ascii="Times New Roman" w:hAnsi="Times New Roman"/>
                <w:sz w:val="20"/>
              </w:rPr>
            </w:pPr>
            <w:r w:rsidRPr="00EE148F">
              <w:rPr>
                <w:rFonts w:ascii="Times New Roman" w:hAnsi="Times New Roman"/>
                <w:sz w:val="20"/>
              </w:rPr>
              <w:t>SENASICA-SAGARPA</w:t>
            </w:r>
          </w:p>
        </w:tc>
        <w:tc>
          <w:tcPr>
            <w:tcW w:w="2409" w:type="dxa"/>
            <w:shd w:val="clear" w:color="auto" w:fill="auto"/>
          </w:tcPr>
          <w:p w:rsidR="00CE323F" w:rsidRPr="00EE148F" w:rsidRDefault="00CE323F" w:rsidP="00CE323F">
            <w:pPr>
              <w:rPr>
                <w:rFonts w:ascii="Times New Roman" w:hAnsi="Times New Roman"/>
                <w:sz w:val="20"/>
              </w:rPr>
            </w:pPr>
            <w:r w:rsidRPr="00EE148F">
              <w:rPr>
                <w:rFonts w:ascii="Times New Roman" w:hAnsi="Times New Roman"/>
                <w:sz w:val="20"/>
              </w:rPr>
              <w:t>PCR punto final, PCR Tiempo Real, PCR Digital, Secuenciación capilar y Secuenciación masiva</w:t>
            </w:r>
          </w:p>
        </w:tc>
      </w:tr>
      <w:tr w:rsidR="00CE323F" w:rsidRPr="00443396" w:rsidTr="004F7991">
        <w:trPr>
          <w:trHeight w:val="670"/>
        </w:trPr>
        <w:tc>
          <w:tcPr>
            <w:tcW w:w="435" w:type="dxa"/>
          </w:tcPr>
          <w:p w:rsidR="00CE323F" w:rsidRDefault="00CE323F" w:rsidP="00CE323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604" w:type="dxa"/>
            <w:shd w:val="clear" w:color="auto" w:fill="auto"/>
          </w:tcPr>
          <w:p w:rsidR="00CE323F" w:rsidRPr="00EE148F" w:rsidRDefault="00CE323F" w:rsidP="00CE323F">
            <w:pPr>
              <w:rPr>
                <w:rFonts w:ascii="Times New Roman" w:hAnsi="Times New Roman"/>
                <w:sz w:val="20"/>
              </w:rPr>
            </w:pPr>
            <w:r w:rsidRPr="00EE148F">
              <w:rPr>
                <w:rFonts w:ascii="Times New Roman" w:hAnsi="Times New Roman"/>
                <w:sz w:val="20"/>
              </w:rPr>
              <w:t>Comisión de Control Analítico y Ampliación de Cobertura (CCAyAC)</w:t>
            </w:r>
          </w:p>
        </w:tc>
        <w:tc>
          <w:tcPr>
            <w:tcW w:w="3261" w:type="dxa"/>
            <w:shd w:val="clear" w:color="auto" w:fill="auto"/>
          </w:tcPr>
          <w:p w:rsidR="00CE323F" w:rsidRPr="00EE148F" w:rsidRDefault="00CE323F" w:rsidP="00CE323F">
            <w:pPr>
              <w:rPr>
                <w:rFonts w:ascii="Times New Roman" w:hAnsi="Times New Roman"/>
                <w:sz w:val="20"/>
              </w:rPr>
            </w:pPr>
            <w:r w:rsidRPr="00EE148F">
              <w:rPr>
                <w:rFonts w:ascii="Times New Roman" w:hAnsi="Times New Roman"/>
                <w:sz w:val="20"/>
              </w:rPr>
              <w:t>Secretaría de Salud</w:t>
            </w:r>
          </w:p>
        </w:tc>
        <w:tc>
          <w:tcPr>
            <w:tcW w:w="2409" w:type="dxa"/>
            <w:shd w:val="clear" w:color="auto" w:fill="auto"/>
          </w:tcPr>
          <w:p w:rsidR="00CE323F" w:rsidRPr="00EE148F" w:rsidRDefault="00CE323F" w:rsidP="00CE323F">
            <w:pPr>
              <w:rPr>
                <w:rFonts w:ascii="Times New Roman" w:hAnsi="Times New Roman"/>
                <w:sz w:val="20"/>
              </w:rPr>
            </w:pPr>
            <w:r w:rsidRPr="00EE148F">
              <w:rPr>
                <w:rFonts w:ascii="Times New Roman" w:hAnsi="Times New Roman"/>
                <w:sz w:val="20"/>
              </w:rPr>
              <w:t>PCR punto final y PCR Tiempo Real</w:t>
            </w:r>
          </w:p>
        </w:tc>
      </w:tr>
      <w:tr w:rsidR="00CE323F" w:rsidRPr="00443396" w:rsidTr="00EE148F">
        <w:trPr>
          <w:trHeight w:val="670"/>
        </w:trPr>
        <w:tc>
          <w:tcPr>
            <w:tcW w:w="435" w:type="dxa"/>
          </w:tcPr>
          <w:p w:rsidR="00CE323F" w:rsidRDefault="00CE323F" w:rsidP="00CE323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604" w:type="dxa"/>
            <w:shd w:val="clear" w:color="auto" w:fill="FFFFFF" w:themeFill="background1"/>
          </w:tcPr>
          <w:p w:rsidR="00CE323F" w:rsidRPr="00EE148F" w:rsidRDefault="00EE148F" w:rsidP="00CE323F">
            <w:pPr>
              <w:rPr>
                <w:rFonts w:ascii="Times New Roman" w:hAnsi="Times New Roman"/>
                <w:sz w:val="20"/>
              </w:rPr>
            </w:pPr>
            <w:r w:rsidRPr="00EE148F">
              <w:rPr>
                <w:rFonts w:ascii="Times New Roman" w:hAnsi="Times New Roman"/>
                <w:sz w:val="20"/>
              </w:rPr>
              <w:t>Laboratorio de Biología Molecular</w:t>
            </w:r>
          </w:p>
          <w:p w:rsidR="00CE323F" w:rsidRPr="00EE148F" w:rsidRDefault="00CE323F" w:rsidP="00CE32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261" w:type="dxa"/>
            <w:shd w:val="clear" w:color="auto" w:fill="auto"/>
          </w:tcPr>
          <w:p w:rsidR="00CE323F" w:rsidRPr="00EE148F" w:rsidRDefault="00CE323F" w:rsidP="00CE323F">
            <w:pPr>
              <w:spacing w:after="100" w:line="276" w:lineRule="auto"/>
              <w:rPr>
                <w:rFonts w:ascii="Times New Roman" w:hAnsi="Times New Roman"/>
                <w:sz w:val="20"/>
              </w:rPr>
            </w:pPr>
            <w:r w:rsidRPr="00EE148F">
              <w:rPr>
                <w:rFonts w:ascii="Times New Roman" w:hAnsi="Times New Roman"/>
                <w:sz w:val="20"/>
              </w:rPr>
              <w:t>Instituto Nacional de Ecología y Cambio Climático (INECC)</w:t>
            </w:r>
          </w:p>
        </w:tc>
        <w:tc>
          <w:tcPr>
            <w:tcW w:w="2409" w:type="dxa"/>
            <w:shd w:val="clear" w:color="auto" w:fill="auto"/>
          </w:tcPr>
          <w:p w:rsidR="00CE323F" w:rsidRPr="00EE148F" w:rsidRDefault="00CE323F" w:rsidP="00CE323F">
            <w:pPr>
              <w:rPr>
                <w:rFonts w:ascii="Times New Roman" w:hAnsi="Times New Roman"/>
                <w:sz w:val="20"/>
              </w:rPr>
            </w:pPr>
            <w:r w:rsidRPr="00EE148F">
              <w:rPr>
                <w:rFonts w:ascii="Times New Roman" w:hAnsi="Times New Roman"/>
                <w:sz w:val="20"/>
              </w:rPr>
              <w:t>PCR punto final y PCR Tiempo Real</w:t>
            </w:r>
          </w:p>
        </w:tc>
      </w:tr>
      <w:tr w:rsidR="00CE323F" w:rsidRPr="00443396" w:rsidTr="004F7991">
        <w:trPr>
          <w:trHeight w:val="670"/>
        </w:trPr>
        <w:tc>
          <w:tcPr>
            <w:tcW w:w="435" w:type="dxa"/>
          </w:tcPr>
          <w:p w:rsidR="00CE323F" w:rsidRPr="00F9476B" w:rsidRDefault="00EE148F" w:rsidP="00CE323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604" w:type="dxa"/>
            <w:shd w:val="clear" w:color="auto" w:fill="auto"/>
            <w:hideMark/>
          </w:tcPr>
          <w:p w:rsidR="00CE323F" w:rsidRPr="00EE148F" w:rsidRDefault="00CE323F" w:rsidP="00CE323F">
            <w:pPr>
              <w:rPr>
                <w:rFonts w:ascii="Times New Roman" w:hAnsi="Times New Roman"/>
                <w:sz w:val="20"/>
              </w:rPr>
            </w:pPr>
            <w:r w:rsidRPr="00EE148F">
              <w:rPr>
                <w:rFonts w:ascii="Times New Roman" w:hAnsi="Times New Roman"/>
                <w:sz w:val="20"/>
              </w:rPr>
              <w:t>Facultad de Ciencias Biológicas y Agropecuarias</w:t>
            </w:r>
          </w:p>
        </w:tc>
        <w:tc>
          <w:tcPr>
            <w:tcW w:w="3261" w:type="dxa"/>
            <w:shd w:val="clear" w:color="auto" w:fill="auto"/>
          </w:tcPr>
          <w:p w:rsidR="00CE323F" w:rsidRPr="00EE148F" w:rsidRDefault="00CE323F" w:rsidP="00CE323F">
            <w:pPr>
              <w:rPr>
                <w:rFonts w:ascii="Times New Roman" w:hAnsi="Times New Roman"/>
                <w:sz w:val="20"/>
              </w:rPr>
            </w:pPr>
            <w:r w:rsidRPr="00EE148F">
              <w:rPr>
                <w:rFonts w:ascii="Times New Roman" w:hAnsi="Times New Roman"/>
                <w:sz w:val="20"/>
              </w:rPr>
              <w:t>Universidad de Colima</w:t>
            </w:r>
          </w:p>
        </w:tc>
        <w:tc>
          <w:tcPr>
            <w:tcW w:w="2409" w:type="dxa"/>
            <w:shd w:val="clear" w:color="auto" w:fill="auto"/>
          </w:tcPr>
          <w:p w:rsidR="00CE323F" w:rsidRPr="00EE148F" w:rsidRDefault="00CE323F" w:rsidP="00CE323F">
            <w:pPr>
              <w:rPr>
                <w:rFonts w:ascii="Times New Roman" w:hAnsi="Times New Roman"/>
                <w:sz w:val="20"/>
              </w:rPr>
            </w:pPr>
            <w:r w:rsidRPr="00EE148F">
              <w:rPr>
                <w:rFonts w:ascii="Times New Roman" w:hAnsi="Times New Roman"/>
                <w:sz w:val="20"/>
              </w:rPr>
              <w:t>PCR punto final y PCR Tiempo Real</w:t>
            </w:r>
          </w:p>
        </w:tc>
      </w:tr>
      <w:tr w:rsidR="00CE323F" w:rsidRPr="004309BD" w:rsidTr="004F7991">
        <w:trPr>
          <w:trHeight w:val="559"/>
        </w:trPr>
        <w:tc>
          <w:tcPr>
            <w:tcW w:w="435" w:type="dxa"/>
          </w:tcPr>
          <w:p w:rsidR="00CE323F" w:rsidRPr="00F9476B" w:rsidRDefault="00EE148F" w:rsidP="00CE323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604" w:type="dxa"/>
            <w:shd w:val="clear" w:color="auto" w:fill="auto"/>
          </w:tcPr>
          <w:p w:rsidR="00CE323F" w:rsidRPr="00EE148F" w:rsidRDefault="00CE323F" w:rsidP="00CE323F">
            <w:pPr>
              <w:rPr>
                <w:rFonts w:ascii="Times New Roman" w:hAnsi="Times New Roman"/>
                <w:sz w:val="20"/>
              </w:rPr>
            </w:pPr>
            <w:r w:rsidRPr="00EE148F">
              <w:rPr>
                <w:rFonts w:ascii="Times New Roman" w:hAnsi="Times New Roman"/>
                <w:sz w:val="20"/>
              </w:rPr>
              <w:t xml:space="preserve">Facultad de Química </w:t>
            </w:r>
          </w:p>
        </w:tc>
        <w:tc>
          <w:tcPr>
            <w:tcW w:w="3261" w:type="dxa"/>
            <w:shd w:val="clear" w:color="auto" w:fill="auto"/>
          </w:tcPr>
          <w:p w:rsidR="00CE323F" w:rsidRPr="00EE148F" w:rsidRDefault="00CE323F" w:rsidP="00CE323F">
            <w:pPr>
              <w:rPr>
                <w:rFonts w:ascii="Times New Roman" w:hAnsi="Times New Roman"/>
                <w:sz w:val="20"/>
              </w:rPr>
            </w:pPr>
            <w:r w:rsidRPr="00EE148F">
              <w:rPr>
                <w:rFonts w:ascii="Times New Roman" w:hAnsi="Times New Roman"/>
                <w:sz w:val="20"/>
              </w:rPr>
              <w:t xml:space="preserve">Universidad Nacional Autónoma de México </w:t>
            </w:r>
          </w:p>
        </w:tc>
        <w:tc>
          <w:tcPr>
            <w:tcW w:w="2409" w:type="dxa"/>
            <w:shd w:val="clear" w:color="auto" w:fill="auto"/>
          </w:tcPr>
          <w:p w:rsidR="00CE323F" w:rsidRPr="00EE148F" w:rsidRDefault="00CE323F" w:rsidP="00CE323F">
            <w:pPr>
              <w:rPr>
                <w:rFonts w:ascii="Times New Roman" w:hAnsi="Times New Roman"/>
                <w:sz w:val="20"/>
              </w:rPr>
            </w:pPr>
            <w:r w:rsidRPr="00EE148F">
              <w:rPr>
                <w:rFonts w:ascii="Times New Roman" w:hAnsi="Times New Roman"/>
                <w:sz w:val="20"/>
              </w:rPr>
              <w:t>PCR punto final y PCR Tiempo Real</w:t>
            </w:r>
          </w:p>
        </w:tc>
      </w:tr>
      <w:tr w:rsidR="00CE323F" w:rsidRPr="004309BD" w:rsidTr="004F7991">
        <w:trPr>
          <w:trHeight w:val="600"/>
        </w:trPr>
        <w:tc>
          <w:tcPr>
            <w:tcW w:w="435" w:type="dxa"/>
          </w:tcPr>
          <w:p w:rsidR="00CE323F" w:rsidRDefault="00EE148F" w:rsidP="00CE323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604" w:type="dxa"/>
            <w:shd w:val="clear" w:color="auto" w:fill="auto"/>
            <w:hideMark/>
          </w:tcPr>
          <w:p w:rsidR="00CE323F" w:rsidRPr="00EE148F" w:rsidRDefault="00CE323F" w:rsidP="00CE323F">
            <w:pPr>
              <w:rPr>
                <w:rFonts w:ascii="Times New Roman" w:hAnsi="Times New Roman"/>
                <w:sz w:val="20"/>
              </w:rPr>
            </w:pPr>
            <w:r w:rsidRPr="00EE148F">
              <w:rPr>
                <w:rFonts w:ascii="Times New Roman" w:hAnsi="Times New Roman"/>
                <w:sz w:val="20"/>
              </w:rPr>
              <w:t xml:space="preserve">Instituto de Biotecnología. </w:t>
            </w:r>
          </w:p>
        </w:tc>
        <w:tc>
          <w:tcPr>
            <w:tcW w:w="3261" w:type="dxa"/>
            <w:shd w:val="clear" w:color="auto" w:fill="auto"/>
          </w:tcPr>
          <w:p w:rsidR="00CE323F" w:rsidRPr="00EE148F" w:rsidRDefault="00CE323F" w:rsidP="00CE323F">
            <w:pPr>
              <w:rPr>
                <w:rFonts w:ascii="Times New Roman" w:hAnsi="Times New Roman"/>
                <w:sz w:val="20"/>
              </w:rPr>
            </w:pPr>
            <w:r w:rsidRPr="00EE148F">
              <w:rPr>
                <w:rFonts w:ascii="Times New Roman" w:hAnsi="Times New Roman"/>
                <w:sz w:val="20"/>
              </w:rPr>
              <w:t>Universidad Autónoma de Nuevo León.</w:t>
            </w:r>
          </w:p>
        </w:tc>
        <w:tc>
          <w:tcPr>
            <w:tcW w:w="2409" w:type="dxa"/>
            <w:shd w:val="clear" w:color="auto" w:fill="auto"/>
          </w:tcPr>
          <w:p w:rsidR="00CE323F" w:rsidRPr="00EE148F" w:rsidRDefault="00CE323F" w:rsidP="00CE323F">
            <w:pPr>
              <w:rPr>
                <w:rFonts w:ascii="Times New Roman" w:hAnsi="Times New Roman"/>
                <w:sz w:val="20"/>
              </w:rPr>
            </w:pPr>
            <w:r w:rsidRPr="00EE148F">
              <w:rPr>
                <w:rFonts w:ascii="Times New Roman" w:hAnsi="Times New Roman"/>
                <w:sz w:val="20"/>
              </w:rPr>
              <w:t>PCR punto final y PCR Tiempo Real</w:t>
            </w:r>
          </w:p>
        </w:tc>
      </w:tr>
      <w:tr w:rsidR="00CE323F" w:rsidRPr="004309BD" w:rsidTr="004F7991">
        <w:trPr>
          <w:trHeight w:val="676"/>
        </w:trPr>
        <w:tc>
          <w:tcPr>
            <w:tcW w:w="435" w:type="dxa"/>
          </w:tcPr>
          <w:p w:rsidR="00CE323F" w:rsidRPr="00F9476B" w:rsidRDefault="00EE148F" w:rsidP="00CE323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604" w:type="dxa"/>
            <w:shd w:val="clear" w:color="auto" w:fill="auto"/>
            <w:hideMark/>
          </w:tcPr>
          <w:p w:rsidR="00CE323F" w:rsidRPr="00EE148F" w:rsidRDefault="00CE323F" w:rsidP="00CE323F">
            <w:pPr>
              <w:rPr>
                <w:rFonts w:ascii="Times New Roman" w:hAnsi="Times New Roman"/>
                <w:sz w:val="20"/>
              </w:rPr>
            </w:pPr>
            <w:r w:rsidRPr="00EE148F">
              <w:rPr>
                <w:rFonts w:ascii="Times New Roman" w:hAnsi="Times New Roman"/>
                <w:sz w:val="20"/>
              </w:rPr>
              <w:t xml:space="preserve">Laboratorio de Diagnóstico Molecular de la Comisión de Recursos Naturales de la Secretaria del Medio Ambiente del Gobierno del Distrito Federal. </w:t>
            </w:r>
          </w:p>
        </w:tc>
        <w:tc>
          <w:tcPr>
            <w:tcW w:w="3261" w:type="dxa"/>
            <w:shd w:val="clear" w:color="auto" w:fill="auto"/>
          </w:tcPr>
          <w:p w:rsidR="00CE323F" w:rsidRPr="00EE148F" w:rsidRDefault="00CE323F" w:rsidP="00CE323F">
            <w:pPr>
              <w:rPr>
                <w:rFonts w:ascii="Times New Roman" w:hAnsi="Times New Roman"/>
                <w:sz w:val="20"/>
              </w:rPr>
            </w:pPr>
            <w:r w:rsidRPr="00EE148F">
              <w:rPr>
                <w:rFonts w:ascii="Times New Roman" w:hAnsi="Times New Roman"/>
                <w:sz w:val="20"/>
              </w:rPr>
              <w:t>Universidad Autónoma de la Ciudad de México.</w:t>
            </w:r>
          </w:p>
        </w:tc>
        <w:tc>
          <w:tcPr>
            <w:tcW w:w="2409" w:type="dxa"/>
            <w:shd w:val="clear" w:color="auto" w:fill="auto"/>
          </w:tcPr>
          <w:p w:rsidR="00CE323F" w:rsidRPr="00EE148F" w:rsidRDefault="00CE323F" w:rsidP="00CE323F">
            <w:pPr>
              <w:rPr>
                <w:rFonts w:ascii="Times New Roman" w:hAnsi="Times New Roman"/>
                <w:sz w:val="20"/>
              </w:rPr>
            </w:pPr>
            <w:r w:rsidRPr="00EE148F">
              <w:rPr>
                <w:rFonts w:ascii="Times New Roman" w:hAnsi="Times New Roman"/>
                <w:sz w:val="20"/>
              </w:rPr>
              <w:t>PCR punto final y PCR Tiempo Real</w:t>
            </w:r>
          </w:p>
        </w:tc>
      </w:tr>
      <w:tr w:rsidR="00CE323F" w:rsidRPr="00D04806" w:rsidTr="004F7991">
        <w:trPr>
          <w:trHeight w:val="544"/>
        </w:trPr>
        <w:tc>
          <w:tcPr>
            <w:tcW w:w="435" w:type="dxa"/>
          </w:tcPr>
          <w:p w:rsidR="00CE323F" w:rsidRPr="00F9476B" w:rsidRDefault="00EE148F" w:rsidP="00CE323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604" w:type="dxa"/>
            <w:shd w:val="clear" w:color="auto" w:fill="auto"/>
            <w:hideMark/>
          </w:tcPr>
          <w:p w:rsidR="00CE323F" w:rsidRPr="00EE148F" w:rsidRDefault="00CE323F" w:rsidP="00CE323F">
            <w:pPr>
              <w:rPr>
                <w:rFonts w:ascii="Times New Roman" w:hAnsi="Times New Roman"/>
                <w:sz w:val="20"/>
              </w:rPr>
            </w:pPr>
            <w:r w:rsidRPr="00EE148F">
              <w:rPr>
                <w:rFonts w:ascii="Times New Roman" w:hAnsi="Times New Roman"/>
                <w:sz w:val="20"/>
              </w:rPr>
              <w:t xml:space="preserve">Centro de Biotecnología </w:t>
            </w:r>
            <w:r w:rsidR="00EE148F" w:rsidRPr="00EE148F">
              <w:rPr>
                <w:rFonts w:ascii="Times New Roman" w:hAnsi="Times New Roman"/>
                <w:sz w:val="20"/>
              </w:rPr>
              <w:t>Genómica.</w:t>
            </w:r>
          </w:p>
        </w:tc>
        <w:tc>
          <w:tcPr>
            <w:tcW w:w="3261" w:type="dxa"/>
            <w:shd w:val="clear" w:color="auto" w:fill="auto"/>
          </w:tcPr>
          <w:p w:rsidR="00CE323F" w:rsidRPr="00EE148F" w:rsidRDefault="00CE323F" w:rsidP="00CE323F">
            <w:pPr>
              <w:rPr>
                <w:rFonts w:ascii="Times New Roman" w:hAnsi="Times New Roman"/>
                <w:sz w:val="20"/>
              </w:rPr>
            </w:pPr>
            <w:r w:rsidRPr="00EE148F">
              <w:rPr>
                <w:rFonts w:ascii="Times New Roman" w:hAnsi="Times New Roman"/>
                <w:sz w:val="20"/>
              </w:rPr>
              <w:t>Instituto Politécnico Nacional</w:t>
            </w:r>
          </w:p>
        </w:tc>
        <w:tc>
          <w:tcPr>
            <w:tcW w:w="2409" w:type="dxa"/>
            <w:shd w:val="clear" w:color="auto" w:fill="auto"/>
          </w:tcPr>
          <w:p w:rsidR="00CE323F" w:rsidRPr="00EE148F" w:rsidRDefault="00CE323F" w:rsidP="00CE323F">
            <w:pPr>
              <w:rPr>
                <w:rFonts w:ascii="Times New Roman" w:hAnsi="Times New Roman"/>
                <w:sz w:val="20"/>
              </w:rPr>
            </w:pPr>
            <w:r w:rsidRPr="00EE148F">
              <w:rPr>
                <w:rFonts w:ascii="Times New Roman" w:hAnsi="Times New Roman"/>
                <w:sz w:val="20"/>
              </w:rPr>
              <w:t>PCR punto final y PCR Tiempo Real</w:t>
            </w:r>
          </w:p>
        </w:tc>
      </w:tr>
      <w:tr w:rsidR="00CE323F" w:rsidRPr="004309BD" w:rsidTr="00EE148F">
        <w:trPr>
          <w:trHeight w:val="584"/>
        </w:trPr>
        <w:tc>
          <w:tcPr>
            <w:tcW w:w="435" w:type="dxa"/>
          </w:tcPr>
          <w:p w:rsidR="00CE323F" w:rsidRPr="00F9476B" w:rsidRDefault="00EE148F" w:rsidP="00CE323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3604" w:type="dxa"/>
            <w:shd w:val="clear" w:color="auto" w:fill="auto"/>
          </w:tcPr>
          <w:p w:rsidR="00CE323F" w:rsidRPr="00EE148F" w:rsidRDefault="00CE323F" w:rsidP="00CE323F">
            <w:pPr>
              <w:rPr>
                <w:rFonts w:ascii="Times New Roman" w:hAnsi="Times New Roman"/>
                <w:sz w:val="20"/>
              </w:rPr>
            </w:pPr>
            <w:r w:rsidRPr="00EE148F">
              <w:rPr>
                <w:rFonts w:ascii="Times New Roman" w:hAnsi="Times New Roman"/>
                <w:sz w:val="20"/>
              </w:rPr>
              <w:t>Biología molecular y Genómica funcional.</w:t>
            </w:r>
          </w:p>
        </w:tc>
        <w:tc>
          <w:tcPr>
            <w:tcW w:w="3261" w:type="dxa"/>
            <w:shd w:val="clear" w:color="auto" w:fill="auto"/>
          </w:tcPr>
          <w:p w:rsidR="00CE323F" w:rsidRPr="00EE148F" w:rsidRDefault="00CE323F" w:rsidP="00CE323F">
            <w:pPr>
              <w:rPr>
                <w:rFonts w:ascii="Times New Roman" w:hAnsi="Times New Roman"/>
                <w:sz w:val="20"/>
              </w:rPr>
            </w:pPr>
            <w:r w:rsidRPr="00EE148F">
              <w:rPr>
                <w:rFonts w:ascii="Times New Roman" w:hAnsi="Times New Roman"/>
                <w:sz w:val="20"/>
              </w:rPr>
              <w:t>Colegio de Postgraduados. Campus Campeche</w:t>
            </w:r>
          </w:p>
        </w:tc>
        <w:tc>
          <w:tcPr>
            <w:tcW w:w="2409" w:type="dxa"/>
            <w:shd w:val="clear" w:color="auto" w:fill="auto"/>
          </w:tcPr>
          <w:p w:rsidR="00CE323F" w:rsidRPr="00EE148F" w:rsidRDefault="00CE323F" w:rsidP="00CE323F">
            <w:pPr>
              <w:rPr>
                <w:rFonts w:ascii="Times New Roman" w:hAnsi="Times New Roman"/>
                <w:sz w:val="20"/>
              </w:rPr>
            </w:pPr>
            <w:r w:rsidRPr="00EE148F">
              <w:rPr>
                <w:rFonts w:ascii="Times New Roman" w:hAnsi="Times New Roman"/>
                <w:sz w:val="20"/>
              </w:rPr>
              <w:t>PCR punto final y PCR Tiempo Real</w:t>
            </w:r>
          </w:p>
        </w:tc>
      </w:tr>
      <w:tr w:rsidR="00CE323F" w:rsidRPr="004309BD" w:rsidTr="00EE148F">
        <w:trPr>
          <w:trHeight w:val="762"/>
        </w:trPr>
        <w:tc>
          <w:tcPr>
            <w:tcW w:w="435" w:type="dxa"/>
          </w:tcPr>
          <w:p w:rsidR="00CE323F" w:rsidRPr="00F9476B" w:rsidRDefault="00EE148F" w:rsidP="00CE323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3604" w:type="dxa"/>
            <w:shd w:val="clear" w:color="auto" w:fill="auto"/>
          </w:tcPr>
          <w:p w:rsidR="00CE323F" w:rsidRPr="00EE148F" w:rsidRDefault="00CE323F" w:rsidP="00CE323F">
            <w:pPr>
              <w:rPr>
                <w:rFonts w:ascii="Times New Roman" w:hAnsi="Times New Roman"/>
                <w:sz w:val="20"/>
              </w:rPr>
            </w:pPr>
            <w:r w:rsidRPr="00EE148F">
              <w:rPr>
                <w:rFonts w:ascii="Times New Roman" w:hAnsi="Times New Roman"/>
                <w:sz w:val="20"/>
              </w:rPr>
              <w:t>CICY - Unidad de Recursos Naturales.</w:t>
            </w:r>
          </w:p>
        </w:tc>
        <w:tc>
          <w:tcPr>
            <w:tcW w:w="3261" w:type="dxa"/>
            <w:shd w:val="clear" w:color="auto" w:fill="auto"/>
          </w:tcPr>
          <w:p w:rsidR="00CE323F" w:rsidRPr="00EE148F" w:rsidRDefault="00CE323F" w:rsidP="00CE323F">
            <w:pPr>
              <w:rPr>
                <w:rFonts w:ascii="Times New Roman" w:hAnsi="Times New Roman"/>
                <w:sz w:val="20"/>
              </w:rPr>
            </w:pPr>
            <w:r w:rsidRPr="00EE148F">
              <w:rPr>
                <w:rFonts w:ascii="Times New Roman" w:hAnsi="Times New Roman"/>
                <w:sz w:val="20"/>
              </w:rPr>
              <w:t>Centro de Investigación Científica de Yucatán.</w:t>
            </w:r>
          </w:p>
        </w:tc>
        <w:tc>
          <w:tcPr>
            <w:tcW w:w="2409" w:type="dxa"/>
            <w:shd w:val="clear" w:color="auto" w:fill="auto"/>
          </w:tcPr>
          <w:p w:rsidR="00CE323F" w:rsidRPr="00EE148F" w:rsidRDefault="00CE323F" w:rsidP="00CE323F">
            <w:pPr>
              <w:rPr>
                <w:rFonts w:ascii="Times New Roman" w:hAnsi="Times New Roman"/>
                <w:sz w:val="20"/>
              </w:rPr>
            </w:pPr>
            <w:r w:rsidRPr="00EE148F">
              <w:rPr>
                <w:rFonts w:ascii="Times New Roman" w:hAnsi="Times New Roman"/>
                <w:sz w:val="20"/>
              </w:rPr>
              <w:t>PCR punto final y PCR Tiempo Real</w:t>
            </w:r>
          </w:p>
        </w:tc>
      </w:tr>
      <w:tr w:rsidR="00CE323F" w:rsidRPr="00841A46" w:rsidTr="00EE148F">
        <w:trPr>
          <w:trHeight w:val="633"/>
        </w:trPr>
        <w:tc>
          <w:tcPr>
            <w:tcW w:w="435" w:type="dxa"/>
          </w:tcPr>
          <w:p w:rsidR="00CE323F" w:rsidRPr="00F9476B" w:rsidRDefault="00EE148F" w:rsidP="00CE323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3604" w:type="dxa"/>
            <w:shd w:val="clear" w:color="auto" w:fill="auto"/>
          </w:tcPr>
          <w:p w:rsidR="00CE323F" w:rsidRPr="00EE148F" w:rsidRDefault="00CE323F" w:rsidP="00CE323F">
            <w:pPr>
              <w:rPr>
                <w:rFonts w:ascii="Times New Roman" w:hAnsi="Times New Roman"/>
                <w:sz w:val="20"/>
              </w:rPr>
            </w:pPr>
            <w:r w:rsidRPr="00EE148F">
              <w:rPr>
                <w:rFonts w:ascii="Times New Roman" w:hAnsi="Times New Roman"/>
                <w:sz w:val="20"/>
              </w:rPr>
              <w:t xml:space="preserve">Laboratorio Estatal de Salud Pública de Michoacán </w:t>
            </w:r>
          </w:p>
        </w:tc>
        <w:tc>
          <w:tcPr>
            <w:tcW w:w="3261" w:type="dxa"/>
            <w:shd w:val="clear" w:color="auto" w:fill="auto"/>
          </w:tcPr>
          <w:p w:rsidR="00CE323F" w:rsidRPr="00EE148F" w:rsidRDefault="00CE323F" w:rsidP="00CE323F">
            <w:pPr>
              <w:rPr>
                <w:rFonts w:ascii="Times New Roman" w:hAnsi="Times New Roman"/>
                <w:sz w:val="20"/>
              </w:rPr>
            </w:pPr>
            <w:r w:rsidRPr="00EE148F">
              <w:rPr>
                <w:rFonts w:ascii="Times New Roman" w:hAnsi="Times New Roman"/>
                <w:sz w:val="20"/>
              </w:rPr>
              <w:t>Secretaria de Salud de Michoacán</w:t>
            </w:r>
          </w:p>
        </w:tc>
        <w:tc>
          <w:tcPr>
            <w:tcW w:w="2409" w:type="dxa"/>
            <w:shd w:val="clear" w:color="auto" w:fill="auto"/>
          </w:tcPr>
          <w:p w:rsidR="00CE323F" w:rsidRPr="00EE148F" w:rsidRDefault="00CE323F" w:rsidP="00CE323F">
            <w:pPr>
              <w:rPr>
                <w:rFonts w:ascii="Times New Roman" w:hAnsi="Times New Roman"/>
                <w:sz w:val="20"/>
              </w:rPr>
            </w:pPr>
            <w:r w:rsidRPr="00EE148F">
              <w:rPr>
                <w:rFonts w:ascii="Times New Roman" w:hAnsi="Times New Roman"/>
                <w:sz w:val="20"/>
              </w:rPr>
              <w:t>PCR punto final y PCR Tiempo Real</w:t>
            </w:r>
          </w:p>
        </w:tc>
      </w:tr>
      <w:tr w:rsidR="00CE323F" w:rsidRPr="00841A46" w:rsidTr="004F7991">
        <w:trPr>
          <w:trHeight w:val="900"/>
        </w:trPr>
        <w:tc>
          <w:tcPr>
            <w:tcW w:w="435" w:type="dxa"/>
          </w:tcPr>
          <w:p w:rsidR="00CE323F" w:rsidRPr="00F9476B" w:rsidRDefault="00EE148F" w:rsidP="00CE323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3604" w:type="dxa"/>
            <w:shd w:val="clear" w:color="auto" w:fill="auto"/>
          </w:tcPr>
          <w:p w:rsidR="00CE323F" w:rsidRPr="00EE148F" w:rsidRDefault="00CE323F" w:rsidP="00CE323F">
            <w:pPr>
              <w:rPr>
                <w:rFonts w:ascii="Times New Roman" w:hAnsi="Times New Roman"/>
                <w:sz w:val="20"/>
              </w:rPr>
            </w:pPr>
            <w:r w:rsidRPr="00EE148F">
              <w:rPr>
                <w:rFonts w:ascii="Times New Roman" w:hAnsi="Times New Roman"/>
                <w:sz w:val="20"/>
              </w:rPr>
              <w:t xml:space="preserve">Unidad de Servicios Analíticos y Metrológicos </w:t>
            </w:r>
          </w:p>
        </w:tc>
        <w:tc>
          <w:tcPr>
            <w:tcW w:w="3261" w:type="dxa"/>
            <w:shd w:val="clear" w:color="auto" w:fill="auto"/>
          </w:tcPr>
          <w:p w:rsidR="00CE323F" w:rsidRPr="00EE148F" w:rsidRDefault="00CE323F" w:rsidP="00CE323F">
            <w:pPr>
              <w:rPr>
                <w:rFonts w:ascii="Times New Roman" w:hAnsi="Times New Roman"/>
                <w:sz w:val="20"/>
              </w:rPr>
            </w:pPr>
            <w:r w:rsidRPr="00EE148F">
              <w:rPr>
                <w:rFonts w:ascii="Times New Roman" w:hAnsi="Times New Roman"/>
                <w:sz w:val="20"/>
              </w:rPr>
              <w:t>Centro de Investigaciones y Asistencia en Tecnología y Diseño del Estado de Jalisco (CIATEJ)</w:t>
            </w:r>
          </w:p>
        </w:tc>
        <w:tc>
          <w:tcPr>
            <w:tcW w:w="2409" w:type="dxa"/>
            <w:shd w:val="clear" w:color="auto" w:fill="auto"/>
          </w:tcPr>
          <w:p w:rsidR="00CE323F" w:rsidRPr="00EE148F" w:rsidRDefault="00CE323F" w:rsidP="00CE323F">
            <w:pPr>
              <w:rPr>
                <w:rFonts w:ascii="Times New Roman" w:hAnsi="Times New Roman"/>
                <w:sz w:val="20"/>
              </w:rPr>
            </w:pPr>
            <w:r w:rsidRPr="00EE148F">
              <w:rPr>
                <w:rFonts w:ascii="Times New Roman" w:hAnsi="Times New Roman"/>
                <w:sz w:val="20"/>
              </w:rPr>
              <w:t>PCR punto final y PCR Tiempo Real</w:t>
            </w:r>
          </w:p>
        </w:tc>
      </w:tr>
      <w:tr w:rsidR="00CE323F" w:rsidRPr="00C12EB7" w:rsidTr="004F7991">
        <w:trPr>
          <w:trHeight w:val="589"/>
        </w:trPr>
        <w:tc>
          <w:tcPr>
            <w:tcW w:w="435" w:type="dxa"/>
          </w:tcPr>
          <w:p w:rsidR="00CE323F" w:rsidRDefault="00EE148F" w:rsidP="00CE323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3604" w:type="dxa"/>
            <w:shd w:val="clear" w:color="auto" w:fill="auto"/>
          </w:tcPr>
          <w:p w:rsidR="00CE323F" w:rsidRPr="00EE148F" w:rsidRDefault="00CE323F" w:rsidP="00CE323F">
            <w:pPr>
              <w:rPr>
                <w:rFonts w:ascii="Times New Roman" w:hAnsi="Times New Roman"/>
                <w:sz w:val="20"/>
              </w:rPr>
            </w:pPr>
            <w:r w:rsidRPr="00EE148F">
              <w:rPr>
                <w:rFonts w:ascii="Times New Roman" w:hAnsi="Times New Roman"/>
                <w:sz w:val="20"/>
              </w:rPr>
              <w:t>Laboratorio de Cultivo de Tejidos,</w:t>
            </w:r>
          </w:p>
          <w:p w:rsidR="00CE323F" w:rsidRPr="00EE148F" w:rsidRDefault="00CE323F" w:rsidP="00CE323F">
            <w:pPr>
              <w:rPr>
                <w:rFonts w:ascii="Times New Roman" w:hAnsi="Times New Roman"/>
                <w:sz w:val="20"/>
              </w:rPr>
            </w:pPr>
            <w:r w:rsidRPr="00EE148F">
              <w:rPr>
                <w:rFonts w:ascii="Times New Roman" w:hAnsi="Times New Roman"/>
                <w:sz w:val="20"/>
              </w:rPr>
              <w:t>Unidad de Biotecnología</w:t>
            </w:r>
          </w:p>
          <w:p w:rsidR="00CE323F" w:rsidRPr="00EE148F" w:rsidRDefault="00CE323F" w:rsidP="00CE32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261" w:type="dxa"/>
            <w:shd w:val="clear" w:color="auto" w:fill="auto"/>
          </w:tcPr>
          <w:p w:rsidR="00CE323F" w:rsidRPr="00EE148F" w:rsidRDefault="00CE323F" w:rsidP="00CE323F">
            <w:pPr>
              <w:rPr>
                <w:rFonts w:ascii="Times New Roman" w:hAnsi="Times New Roman"/>
                <w:sz w:val="20"/>
              </w:rPr>
            </w:pPr>
            <w:r w:rsidRPr="00EE148F">
              <w:rPr>
                <w:rFonts w:ascii="Times New Roman" w:hAnsi="Times New Roman"/>
                <w:sz w:val="20"/>
              </w:rPr>
              <w:t xml:space="preserve">Campo Experimental Bajío, CIRCE-INIFAP </w:t>
            </w:r>
          </w:p>
        </w:tc>
        <w:tc>
          <w:tcPr>
            <w:tcW w:w="2409" w:type="dxa"/>
            <w:shd w:val="clear" w:color="auto" w:fill="auto"/>
          </w:tcPr>
          <w:p w:rsidR="00CE323F" w:rsidRPr="00EE148F" w:rsidRDefault="00CE323F" w:rsidP="00CE323F">
            <w:pPr>
              <w:rPr>
                <w:rFonts w:ascii="Times New Roman" w:hAnsi="Times New Roman"/>
                <w:sz w:val="20"/>
              </w:rPr>
            </w:pPr>
            <w:r w:rsidRPr="00EE148F">
              <w:rPr>
                <w:rFonts w:ascii="Times New Roman" w:hAnsi="Times New Roman"/>
                <w:sz w:val="20"/>
              </w:rPr>
              <w:t>PCR punto final y PCR Tiempo Real</w:t>
            </w:r>
          </w:p>
        </w:tc>
      </w:tr>
      <w:tr w:rsidR="00CE323F" w:rsidRPr="00C12EB7" w:rsidTr="004F7991">
        <w:trPr>
          <w:trHeight w:val="300"/>
        </w:trPr>
        <w:tc>
          <w:tcPr>
            <w:tcW w:w="435" w:type="dxa"/>
          </w:tcPr>
          <w:p w:rsidR="00CE323F" w:rsidRDefault="00EE148F" w:rsidP="00CE323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3604" w:type="dxa"/>
            <w:shd w:val="clear" w:color="auto" w:fill="auto"/>
          </w:tcPr>
          <w:p w:rsidR="00CE323F" w:rsidRPr="00EE148F" w:rsidRDefault="00CE323F" w:rsidP="00CE323F">
            <w:pPr>
              <w:rPr>
                <w:rFonts w:ascii="Times New Roman" w:hAnsi="Times New Roman"/>
                <w:sz w:val="20"/>
              </w:rPr>
            </w:pPr>
            <w:r w:rsidRPr="00EE148F">
              <w:rPr>
                <w:rFonts w:ascii="Times New Roman" w:hAnsi="Times New Roman"/>
                <w:sz w:val="20"/>
              </w:rPr>
              <w:t>Departamento de Ingeniería Genética</w:t>
            </w:r>
          </w:p>
          <w:p w:rsidR="00CE323F" w:rsidRPr="00EE148F" w:rsidRDefault="00CE323F" w:rsidP="00CE32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261" w:type="dxa"/>
            <w:shd w:val="clear" w:color="auto" w:fill="auto"/>
          </w:tcPr>
          <w:p w:rsidR="00CE323F" w:rsidRPr="00EE148F" w:rsidRDefault="00CE323F" w:rsidP="00CE323F">
            <w:pPr>
              <w:rPr>
                <w:rFonts w:ascii="Times New Roman" w:hAnsi="Times New Roman"/>
                <w:sz w:val="20"/>
              </w:rPr>
            </w:pPr>
            <w:r w:rsidRPr="00EE148F">
              <w:rPr>
                <w:rFonts w:ascii="Times New Roman" w:hAnsi="Times New Roman"/>
                <w:sz w:val="20"/>
              </w:rPr>
              <w:t>Centro de Investigación y de Estudios Avanzados del IPN (CINVESTAV), Unidad Irapuato</w:t>
            </w:r>
          </w:p>
          <w:p w:rsidR="00CE323F" w:rsidRPr="00EE148F" w:rsidRDefault="00CE323F" w:rsidP="00CE32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CE323F" w:rsidRPr="00EE148F" w:rsidRDefault="00CE323F" w:rsidP="00CE323F">
            <w:pPr>
              <w:rPr>
                <w:rFonts w:ascii="Times New Roman" w:hAnsi="Times New Roman"/>
                <w:sz w:val="20"/>
              </w:rPr>
            </w:pPr>
            <w:r w:rsidRPr="00EE148F">
              <w:rPr>
                <w:rFonts w:ascii="Times New Roman" w:hAnsi="Times New Roman"/>
                <w:sz w:val="20"/>
              </w:rPr>
              <w:t xml:space="preserve">PCR punto final, PCR Tiempo Real, PCR Digital y Secuenciación capilar </w:t>
            </w:r>
          </w:p>
        </w:tc>
      </w:tr>
      <w:tr w:rsidR="00CE323F" w:rsidRPr="00D05E77" w:rsidTr="004F7991">
        <w:trPr>
          <w:trHeight w:val="300"/>
        </w:trPr>
        <w:tc>
          <w:tcPr>
            <w:tcW w:w="435" w:type="dxa"/>
          </w:tcPr>
          <w:p w:rsidR="00CE323F" w:rsidRPr="00D05E77" w:rsidRDefault="00EE148F" w:rsidP="00CE323F">
            <w:pPr>
              <w:rPr>
                <w:rFonts w:ascii="Times New Roman" w:hAnsi="Times New Roman"/>
                <w:lang w:val="pt-PT"/>
              </w:rPr>
            </w:pPr>
            <w:r>
              <w:rPr>
                <w:rFonts w:ascii="Times New Roman" w:hAnsi="Times New Roman"/>
                <w:lang w:val="pt-PT"/>
              </w:rPr>
              <w:t>16</w:t>
            </w:r>
          </w:p>
        </w:tc>
        <w:tc>
          <w:tcPr>
            <w:tcW w:w="3604" w:type="dxa"/>
            <w:shd w:val="clear" w:color="auto" w:fill="auto"/>
          </w:tcPr>
          <w:p w:rsidR="00CE323F" w:rsidRPr="00EE148F" w:rsidRDefault="00CE323F" w:rsidP="00CE323F">
            <w:pPr>
              <w:rPr>
                <w:rFonts w:ascii="Times New Roman" w:hAnsi="Times New Roman"/>
                <w:sz w:val="20"/>
              </w:rPr>
            </w:pPr>
            <w:r w:rsidRPr="00EE148F">
              <w:rPr>
                <w:rFonts w:ascii="Times New Roman" w:hAnsi="Times New Roman"/>
                <w:sz w:val="20"/>
              </w:rPr>
              <w:t xml:space="preserve">Laboratorio 24, Departamento de Biotecnología </w:t>
            </w:r>
          </w:p>
          <w:p w:rsidR="00CE323F" w:rsidRPr="00EE148F" w:rsidRDefault="00CE323F" w:rsidP="00CE32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261" w:type="dxa"/>
            <w:shd w:val="clear" w:color="auto" w:fill="auto"/>
          </w:tcPr>
          <w:p w:rsidR="00CE323F" w:rsidRPr="00EE148F" w:rsidRDefault="00CE323F" w:rsidP="00CE323F">
            <w:pPr>
              <w:rPr>
                <w:rFonts w:ascii="Times New Roman" w:hAnsi="Times New Roman"/>
                <w:sz w:val="20"/>
              </w:rPr>
            </w:pPr>
            <w:r w:rsidRPr="00EE148F">
              <w:rPr>
                <w:rFonts w:ascii="Times New Roman" w:hAnsi="Times New Roman"/>
                <w:sz w:val="20"/>
              </w:rPr>
              <w:t>CINVESTAV, Unidad Zacatenco</w:t>
            </w:r>
          </w:p>
        </w:tc>
        <w:tc>
          <w:tcPr>
            <w:tcW w:w="2409" w:type="dxa"/>
            <w:shd w:val="clear" w:color="auto" w:fill="auto"/>
          </w:tcPr>
          <w:p w:rsidR="00CE323F" w:rsidRPr="00EE148F" w:rsidRDefault="00CE323F" w:rsidP="00CE323F">
            <w:pPr>
              <w:rPr>
                <w:rFonts w:ascii="Times New Roman" w:hAnsi="Times New Roman"/>
                <w:sz w:val="20"/>
              </w:rPr>
            </w:pPr>
            <w:r w:rsidRPr="00EE148F">
              <w:rPr>
                <w:rFonts w:ascii="Times New Roman" w:hAnsi="Times New Roman"/>
                <w:sz w:val="20"/>
              </w:rPr>
              <w:t>PCR punto final y  PCR Tiempo Real</w:t>
            </w:r>
          </w:p>
        </w:tc>
      </w:tr>
    </w:tbl>
    <w:p w:rsidR="0088667E" w:rsidRDefault="0088667E" w:rsidP="009249FA">
      <w:pPr>
        <w:spacing w:line="276" w:lineRule="auto"/>
        <w:jc w:val="both"/>
        <w:rPr>
          <w:sz w:val="24"/>
          <w:szCs w:val="24"/>
        </w:rPr>
      </w:pPr>
    </w:p>
    <w:p w:rsidR="00074715" w:rsidRDefault="00F36477" w:rsidP="001D5D9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Estos laboratorios han </w:t>
      </w:r>
      <w:r w:rsidR="00EE148F">
        <w:rPr>
          <w:sz w:val="24"/>
          <w:szCs w:val="24"/>
        </w:rPr>
        <w:t>fortalecido su capacidad, incluyendo</w:t>
      </w:r>
      <w:r w:rsidRPr="00F36477">
        <w:rPr>
          <w:sz w:val="24"/>
          <w:szCs w:val="24"/>
        </w:rPr>
        <w:t xml:space="preserve"> la generación de materiales de referencia certificados para OGM en los últimos años</w:t>
      </w:r>
      <w:r w:rsidR="001D5D95">
        <w:rPr>
          <w:sz w:val="24"/>
          <w:szCs w:val="24"/>
        </w:rPr>
        <w:t>, a través del desarrollo de</w:t>
      </w:r>
      <w:r w:rsidR="00EE148F">
        <w:rPr>
          <w:sz w:val="24"/>
          <w:szCs w:val="24"/>
        </w:rPr>
        <w:t xml:space="preserve"> un</w:t>
      </w:r>
      <w:r w:rsidR="001D5D95">
        <w:rPr>
          <w:sz w:val="24"/>
          <w:szCs w:val="24"/>
        </w:rPr>
        <w:t xml:space="preserve"> </w:t>
      </w:r>
      <w:r w:rsidR="001D5D95" w:rsidRPr="001D5D95">
        <w:rPr>
          <w:sz w:val="24"/>
          <w:szCs w:val="24"/>
        </w:rPr>
        <w:t>Estudio Nacional Colaborativo (ENC). La primera etapa</w:t>
      </w:r>
      <w:r w:rsidR="001D5D95">
        <w:rPr>
          <w:sz w:val="24"/>
          <w:szCs w:val="24"/>
        </w:rPr>
        <w:t xml:space="preserve"> de dicho estudio</w:t>
      </w:r>
      <w:r w:rsidR="001D5D95" w:rsidRPr="001D5D95">
        <w:rPr>
          <w:sz w:val="24"/>
          <w:szCs w:val="24"/>
        </w:rPr>
        <w:t xml:space="preserve"> consistió en </w:t>
      </w:r>
      <w:r w:rsidR="001D5D95">
        <w:rPr>
          <w:sz w:val="24"/>
          <w:szCs w:val="24"/>
        </w:rPr>
        <w:t>el</w:t>
      </w:r>
      <w:r w:rsidR="00EE148F">
        <w:rPr>
          <w:sz w:val="24"/>
          <w:szCs w:val="24"/>
        </w:rPr>
        <w:t xml:space="preserve"> envío</w:t>
      </w:r>
      <w:r w:rsidR="001D5D95" w:rsidRPr="001D5D95">
        <w:rPr>
          <w:sz w:val="24"/>
          <w:szCs w:val="24"/>
        </w:rPr>
        <w:t xml:space="preserve"> de materiales </w:t>
      </w:r>
      <w:r w:rsidR="00EE148F">
        <w:rPr>
          <w:sz w:val="24"/>
          <w:szCs w:val="24"/>
        </w:rPr>
        <w:t xml:space="preserve">para análisis </w:t>
      </w:r>
      <w:r w:rsidR="001D5D95">
        <w:rPr>
          <w:sz w:val="24"/>
          <w:szCs w:val="24"/>
        </w:rPr>
        <w:t>a</w:t>
      </w:r>
      <w:r w:rsidR="001D5D95" w:rsidRPr="001D5D95">
        <w:rPr>
          <w:sz w:val="24"/>
          <w:szCs w:val="24"/>
        </w:rPr>
        <w:t xml:space="preserve"> once laboratorios,</w:t>
      </w:r>
      <w:r w:rsidR="00EE148F">
        <w:rPr>
          <w:sz w:val="24"/>
          <w:szCs w:val="24"/>
        </w:rPr>
        <w:t xml:space="preserve"> y durante éste</w:t>
      </w:r>
      <w:r w:rsidR="001D5D95" w:rsidRPr="001D5D95">
        <w:rPr>
          <w:sz w:val="24"/>
          <w:szCs w:val="24"/>
        </w:rPr>
        <w:t xml:space="preserve"> </w:t>
      </w:r>
      <w:r w:rsidR="001D5D95">
        <w:rPr>
          <w:sz w:val="24"/>
          <w:szCs w:val="24"/>
        </w:rPr>
        <w:t xml:space="preserve">se verificaron </w:t>
      </w:r>
      <w:r w:rsidR="001D5D95" w:rsidRPr="001D5D95">
        <w:rPr>
          <w:sz w:val="24"/>
          <w:szCs w:val="24"/>
        </w:rPr>
        <w:t>las capacidades de los participantes</w:t>
      </w:r>
      <w:r w:rsidR="00EE148F" w:rsidRPr="00EE148F">
        <w:rPr>
          <w:sz w:val="24"/>
          <w:szCs w:val="24"/>
        </w:rPr>
        <w:t xml:space="preserve"> </w:t>
      </w:r>
      <w:r w:rsidR="00EE148F">
        <w:rPr>
          <w:sz w:val="24"/>
          <w:szCs w:val="24"/>
        </w:rPr>
        <w:t>bajo criterios generales</w:t>
      </w:r>
      <w:r w:rsidR="001D5D95" w:rsidRPr="001D5D95">
        <w:rPr>
          <w:sz w:val="24"/>
          <w:szCs w:val="24"/>
        </w:rPr>
        <w:t>.</w:t>
      </w:r>
      <w:r w:rsidR="00EE148F">
        <w:rPr>
          <w:sz w:val="24"/>
          <w:szCs w:val="24"/>
        </w:rPr>
        <w:t xml:space="preserve"> En la</w:t>
      </w:r>
      <w:r w:rsidR="001D5D95" w:rsidRPr="001D5D95">
        <w:rPr>
          <w:sz w:val="24"/>
          <w:szCs w:val="24"/>
        </w:rPr>
        <w:t xml:space="preserve"> segunda etapa, se utiliz</w:t>
      </w:r>
      <w:r w:rsidR="00EE148F">
        <w:rPr>
          <w:sz w:val="24"/>
          <w:szCs w:val="24"/>
        </w:rPr>
        <w:t>aron</w:t>
      </w:r>
      <w:r w:rsidR="001D5D95" w:rsidRPr="001D5D95">
        <w:rPr>
          <w:sz w:val="24"/>
          <w:szCs w:val="24"/>
        </w:rPr>
        <w:t xml:space="preserve"> como muestras Materiales de Referencia previamente Certificados (MRC) por el CENAM, con la colaboración del IRMM para la caracterización en número de copias de los mismos, de acuerdo a las guía</w:t>
      </w:r>
      <w:r w:rsidR="001D5D95">
        <w:rPr>
          <w:sz w:val="24"/>
          <w:szCs w:val="24"/>
        </w:rPr>
        <w:t>s</w:t>
      </w:r>
      <w:r w:rsidR="001D5D95" w:rsidRPr="001D5D95">
        <w:rPr>
          <w:sz w:val="24"/>
          <w:szCs w:val="24"/>
        </w:rPr>
        <w:t xml:space="preserve"> ISO 5725-2:1994 NMX-CH-5725-2-IMNC-2006, empleando un esquema modular para el cual algunas etapas del proceso de análisis y detección fueron armonizadas. El CENAM determinó para cada uno de los quince laboratorios participantes la exactitud y precisión del resultado de medición reportado.</w:t>
      </w:r>
      <w:r w:rsidR="001D5D95">
        <w:rPr>
          <w:sz w:val="24"/>
          <w:szCs w:val="24"/>
        </w:rPr>
        <w:t xml:space="preserve"> </w:t>
      </w:r>
      <w:r w:rsidR="001D5D95" w:rsidRPr="001D5D95">
        <w:rPr>
          <w:sz w:val="24"/>
          <w:szCs w:val="24"/>
        </w:rPr>
        <w:t>Mediante el proyecto 2011-09-172352 “Desarrollo de materiales de referencia certificados, validación de métodos y fortalecimiento de la infraestructura de soporte de las redes de laboratorios para la Inocuidad y Calidad Alimentaria financiado por el Fondo sectorial SAGARPA-CONACYT realizado como tercera etapa, se obtuvo la publicación de los protocolos de medición que puede</w:t>
      </w:r>
      <w:r w:rsidR="001D5D95">
        <w:rPr>
          <w:sz w:val="24"/>
          <w:szCs w:val="24"/>
        </w:rPr>
        <w:t>n</w:t>
      </w:r>
      <w:r w:rsidR="00074715">
        <w:rPr>
          <w:sz w:val="24"/>
          <w:szCs w:val="24"/>
        </w:rPr>
        <w:t xml:space="preserve"> encontrarse en el siguiente vínculo: </w:t>
      </w:r>
    </w:p>
    <w:p w:rsidR="001D5D95" w:rsidRPr="00074715" w:rsidRDefault="00D17A93" w:rsidP="001D5D95">
      <w:pPr>
        <w:jc w:val="both"/>
        <w:rPr>
          <w:color w:val="1F497D" w:themeColor="text2"/>
          <w:sz w:val="24"/>
          <w:szCs w:val="24"/>
        </w:rPr>
      </w:pPr>
      <w:hyperlink r:id="rId8" w:history="1">
        <w:r w:rsidR="001D5D95" w:rsidRPr="00074715">
          <w:rPr>
            <w:color w:val="1F497D" w:themeColor="text2"/>
            <w:sz w:val="24"/>
            <w:szCs w:val="24"/>
          </w:rPr>
          <w:t>http://www.cenam.mx/publicaciones/gratuitas/</w:t>
        </w:r>
      </w:hyperlink>
    </w:p>
    <w:p w:rsidR="001D5D95" w:rsidRPr="001D5D95" w:rsidRDefault="001D5D95" w:rsidP="001D5D95">
      <w:pPr>
        <w:jc w:val="both"/>
        <w:rPr>
          <w:sz w:val="24"/>
          <w:szCs w:val="24"/>
        </w:rPr>
      </w:pPr>
    </w:p>
    <w:p w:rsidR="001D5D95" w:rsidRDefault="001D5D95" w:rsidP="001D5D9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L</w:t>
      </w:r>
      <w:r w:rsidRPr="001D5D95">
        <w:rPr>
          <w:sz w:val="24"/>
          <w:szCs w:val="24"/>
        </w:rPr>
        <w:t xml:space="preserve">a cuarta etapa </w:t>
      </w:r>
      <w:r>
        <w:rPr>
          <w:sz w:val="24"/>
          <w:szCs w:val="24"/>
        </w:rPr>
        <w:t>de</w:t>
      </w:r>
      <w:r w:rsidR="00074715">
        <w:rPr>
          <w:sz w:val="24"/>
          <w:szCs w:val="24"/>
        </w:rPr>
        <w:t>l</w:t>
      </w:r>
      <w:r>
        <w:rPr>
          <w:sz w:val="24"/>
          <w:szCs w:val="24"/>
        </w:rPr>
        <w:t xml:space="preserve"> </w:t>
      </w:r>
      <w:r w:rsidRPr="001D5D95">
        <w:rPr>
          <w:sz w:val="24"/>
          <w:szCs w:val="24"/>
        </w:rPr>
        <w:t>ENC</w:t>
      </w:r>
      <w:r w:rsidR="000901B8">
        <w:rPr>
          <w:sz w:val="24"/>
          <w:szCs w:val="24"/>
        </w:rPr>
        <w:t>, se realizó entre 2015 y 2016 para establecer</w:t>
      </w:r>
      <w:r w:rsidRPr="001D5D95">
        <w:rPr>
          <w:sz w:val="24"/>
          <w:szCs w:val="24"/>
        </w:rPr>
        <w:t xml:space="preserve"> la comparabilidad de las mediciones para el marcador de modificación genética t-NOS/Le</w:t>
      </w:r>
      <w:r w:rsidR="00074715">
        <w:rPr>
          <w:sz w:val="24"/>
          <w:szCs w:val="24"/>
        </w:rPr>
        <w:t>c</w:t>
      </w:r>
      <w:r w:rsidRPr="001D5D95">
        <w:rPr>
          <w:sz w:val="24"/>
          <w:szCs w:val="24"/>
        </w:rPr>
        <w:t>1 en soya</w:t>
      </w:r>
      <w:r>
        <w:rPr>
          <w:sz w:val="24"/>
          <w:szCs w:val="24"/>
        </w:rPr>
        <w:t xml:space="preserve">, que </w:t>
      </w:r>
      <w:r w:rsidRPr="001D5D95">
        <w:rPr>
          <w:sz w:val="24"/>
          <w:szCs w:val="24"/>
        </w:rPr>
        <w:t xml:space="preserve">es uno de los elementos de regulación más comúnmente empleados para el tamizaje de OGMs </w:t>
      </w:r>
      <w:r w:rsidR="00074715" w:rsidRPr="001D5D95">
        <w:rPr>
          <w:sz w:val="24"/>
          <w:szCs w:val="24"/>
        </w:rPr>
        <w:t xml:space="preserve">entre laboratorios </w:t>
      </w:r>
      <w:r w:rsidRPr="001D5D95">
        <w:rPr>
          <w:sz w:val="24"/>
          <w:szCs w:val="24"/>
        </w:rPr>
        <w:t xml:space="preserve">(Waiblinger et al., 2010), utilizando las técnicas de medición que se emplean para su detección y cuantificación. </w:t>
      </w:r>
    </w:p>
    <w:p w:rsidR="001D5D95" w:rsidRDefault="001D5D95" w:rsidP="001D5D95">
      <w:pPr>
        <w:spacing w:line="276" w:lineRule="auto"/>
        <w:jc w:val="both"/>
        <w:rPr>
          <w:sz w:val="24"/>
          <w:szCs w:val="24"/>
        </w:rPr>
      </w:pPr>
    </w:p>
    <w:p w:rsidR="0026688E" w:rsidRPr="00BF2608" w:rsidRDefault="003D3781" w:rsidP="001D5D95">
      <w:pPr>
        <w:spacing w:line="276" w:lineRule="auto"/>
        <w:jc w:val="both"/>
        <w:rPr>
          <w:sz w:val="24"/>
          <w:szCs w:val="24"/>
        </w:rPr>
      </w:pPr>
      <w:r w:rsidRPr="00BF2608">
        <w:rPr>
          <w:sz w:val="24"/>
          <w:szCs w:val="24"/>
        </w:rPr>
        <w:t>De los laboratorios acredita</w:t>
      </w:r>
      <w:r w:rsidR="004027B4">
        <w:rPr>
          <w:sz w:val="24"/>
          <w:szCs w:val="24"/>
        </w:rPr>
        <w:t>dos</w:t>
      </w:r>
      <w:r w:rsidRPr="00BF2608">
        <w:rPr>
          <w:sz w:val="24"/>
          <w:szCs w:val="24"/>
        </w:rPr>
        <w:t>, destaca el Centro Nacional de Referencia en Detección de Organismos Genéticamente Modificados (CNDROGM), que pertenece al Servicio Nacional de Sanidad, Inocuidad y Calidad Agroalimentaria, de la Secretaría de Agricultura, Ganadería, Desarrollo rural, Pesca y Alimentación (SAGARPA). Los laboratorios de este centro cuentan con la acreditación y certificaciones siguientes:</w:t>
      </w:r>
    </w:p>
    <w:p w:rsidR="00BF2608" w:rsidRPr="00BF2608" w:rsidRDefault="00BF2608" w:rsidP="00BF2608">
      <w:pPr>
        <w:pStyle w:val="ListParagraph"/>
        <w:numPr>
          <w:ilvl w:val="0"/>
          <w:numId w:val="19"/>
        </w:numPr>
        <w:spacing w:line="276" w:lineRule="auto"/>
        <w:jc w:val="both"/>
        <w:rPr>
          <w:sz w:val="24"/>
          <w:szCs w:val="24"/>
        </w:rPr>
      </w:pPr>
      <w:r w:rsidRPr="00BF2608">
        <w:rPr>
          <w:sz w:val="24"/>
          <w:szCs w:val="24"/>
        </w:rPr>
        <w:t>Acreditación bajo la norma NMX-EC-17025- IMNC-2006 (ISO/IEC 17025:2005)</w:t>
      </w:r>
    </w:p>
    <w:p w:rsidR="00BF2608" w:rsidRPr="00BF2608" w:rsidRDefault="00BF2608" w:rsidP="00BF2608">
      <w:pPr>
        <w:pStyle w:val="ListParagraph"/>
        <w:numPr>
          <w:ilvl w:val="0"/>
          <w:numId w:val="19"/>
        </w:numPr>
        <w:spacing w:line="276" w:lineRule="auto"/>
        <w:jc w:val="both"/>
        <w:rPr>
          <w:sz w:val="24"/>
          <w:szCs w:val="24"/>
        </w:rPr>
      </w:pPr>
      <w:r w:rsidRPr="00BF2608">
        <w:rPr>
          <w:sz w:val="24"/>
          <w:szCs w:val="24"/>
        </w:rPr>
        <w:t>Certificación bajo la norma NMX-CC-IMNC-9001-2008 (ISO 9001:2008)</w:t>
      </w:r>
    </w:p>
    <w:p w:rsidR="003D3781" w:rsidRDefault="00BF2608" w:rsidP="00BF2608">
      <w:pPr>
        <w:pStyle w:val="ListParagraph"/>
        <w:numPr>
          <w:ilvl w:val="0"/>
          <w:numId w:val="19"/>
        </w:numPr>
        <w:spacing w:line="276" w:lineRule="auto"/>
        <w:jc w:val="both"/>
        <w:rPr>
          <w:sz w:val="24"/>
          <w:szCs w:val="24"/>
        </w:rPr>
      </w:pPr>
      <w:r w:rsidRPr="00BF2608">
        <w:rPr>
          <w:sz w:val="24"/>
          <w:szCs w:val="24"/>
        </w:rPr>
        <w:t>Certificación bajo la norma NMX-SAA-14001-IMNC-2004 (ISO 14001:2004)</w:t>
      </w:r>
    </w:p>
    <w:p w:rsidR="00BF2608" w:rsidRDefault="00BF2608" w:rsidP="00BF2608">
      <w:pPr>
        <w:spacing w:line="276" w:lineRule="auto"/>
        <w:jc w:val="both"/>
        <w:rPr>
          <w:sz w:val="24"/>
          <w:szCs w:val="24"/>
        </w:rPr>
      </w:pPr>
    </w:p>
    <w:p w:rsidR="00BF2608" w:rsidRDefault="00BF2608" w:rsidP="00BF2608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Adicionalmente </w:t>
      </w:r>
      <w:r w:rsidR="004027B4">
        <w:rPr>
          <w:sz w:val="24"/>
          <w:szCs w:val="24"/>
        </w:rPr>
        <w:t>existen</w:t>
      </w:r>
      <w:r w:rsidRPr="00BF2608">
        <w:rPr>
          <w:sz w:val="24"/>
          <w:szCs w:val="24"/>
        </w:rPr>
        <w:t xml:space="preserve"> laboratorios </w:t>
      </w:r>
      <w:r w:rsidR="00074715">
        <w:rPr>
          <w:sz w:val="24"/>
          <w:szCs w:val="24"/>
        </w:rPr>
        <w:t xml:space="preserve">que </w:t>
      </w:r>
      <w:r w:rsidR="00A935EB">
        <w:rPr>
          <w:sz w:val="24"/>
          <w:szCs w:val="24"/>
        </w:rPr>
        <w:t>opera</w:t>
      </w:r>
      <w:r w:rsidRPr="00BF2608">
        <w:rPr>
          <w:sz w:val="24"/>
          <w:szCs w:val="24"/>
        </w:rPr>
        <w:t>n bajo estándares de certificación y gestión d</w:t>
      </w:r>
      <w:r w:rsidR="004027B4">
        <w:rPr>
          <w:sz w:val="24"/>
          <w:szCs w:val="24"/>
        </w:rPr>
        <w:t>e calidad:</w:t>
      </w:r>
    </w:p>
    <w:p w:rsidR="00BF2608" w:rsidRPr="00BF2608" w:rsidRDefault="00BF2608" w:rsidP="00BF2608">
      <w:pPr>
        <w:spacing w:line="276" w:lineRule="auto"/>
        <w:ind w:left="851" w:right="616" w:hanging="425"/>
        <w:jc w:val="both"/>
        <w:rPr>
          <w:sz w:val="24"/>
          <w:szCs w:val="24"/>
        </w:rPr>
      </w:pPr>
      <w:r w:rsidRPr="00BF2608">
        <w:rPr>
          <w:sz w:val="24"/>
          <w:szCs w:val="24"/>
        </w:rPr>
        <w:t>•</w:t>
      </w:r>
      <w:r w:rsidRPr="00BF2608">
        <w:rPr>
          <w:sz w:val="24"/>
          <w:szCs w:val="24"/>
        </w:rPr>
        <w:tab/>
        <w:t>Laboratorio de Biometrología de la División de Materiales Orgánicos, del Centro</w:t>
      </w:r>
      <w:r w:rsidR="00A935EB">
        <w:rPr>
          <w:sz w:val="24"/>
          <w:szCs w:val="24"/>
        </w:rPr>
        <w:t xml:space="preserve"> Nacional de Metrología (CENAM).</w:t>
      </w:r>
    </w:p>
    <w:p w:rsidR="00BF2608" w:rsidRPr="00BF2608" w:rsidRDefault="00BF2608" w:rsidP="00BF2608">
      <w:pPr>
        <w:spacing w:line="276" w:lineRule="auto"/>
        <w:ind w:left="851" w:right="616" w:hanging="425"/>
        <w:jc w:val="both"/>
        <w:rPr>
          <w:sz w:val="24"/>
          <w:szCs w:val="24"/>
        </w:rPr>
      </w:pPr>
      <w:r w:rsidRPr="00BF2608">
        <w:rPr>
          <w:sz w:val="24"/>
          <w:szCs w:val="24"/>
        </w:rPr>
        <w:t>•</w:t>
      </w:r>
      <w:r w:rsidRPr="00BF2608">
        <w:rPr>
          <w:sz w:val="24"/>
          <w:szCs w:val="24"/>
        </w:rPr>
        <w:tab/>
        <w:t>Comisión de Control Analítico y Ampliación de Cobertura (CCAyAC)</w:t>
      </w:r>
      <w:r w:rsidR="00A935EB">
        <w:rPr>
          <w:sz w:val="24"/>
          <w:szCs w:val="24"/>
        </w:rPr>
        <w:t>.</w:t>
      </w:r>
    </w:p>
    <w:p w:rsidR="00BF2608" w:rsidRDefault="00BF2608" w:rsidP="00BF2608">
      <w:pPr>
        <w:spacing w:line="276" w:lineRule="auto"/>
        <w:ind w:left="851" w:right="616" w:hanging="425"/>
        <w:jc w:val="both"/>
        <w:rPr>
          <w:sz w:val="24"/>
          <w:szCs w:val="24"/>
        </w:rPr>
      </w:pPr>
      <w:r w:rsidRPr="00BF2608">
        <w:rPr>
          <w:sz w:val="24"/>
          <w:szCs w:val="24"/>
        </w:rPr>
        <w:t>•</w:t>
      </w:r>
      <w:r w:rsidRPr="00BF2608">
        <w:rPr>
          <w:sz w:val="24"/>
          <w:szCs w:val="24"/>
        </w:rPr>
        <w:tab/>
        <w:t>Laboratorio de Biología Molecular de la Unidad de Servi</w:t>
      </w:r>
      <w:r>
        <w:rPr>
          <w:sz w:val="24"/>
          <w:szCs w:val="24"/>
        </w:rPr>
        <w:t xml:space="preserve">cios Analíticos y Metrológicos, del </w:t>
      </w:r>
      <w:r w:rsidRPr="00BF2608">
        <w:rPr>
          <w:sz w:val="24"/>
          <w:szCs w:val="24"/>
        </w:rPr>
        <w:t>Centro de Investigación y Asistencia en Tecnología y Diseño del Estado de Jalisco, (CIATEJ).</w:t>
      </w:r>
    </w:p>
    <w:p w:rsidR="009249FA" w:rsidRDefault="009249FA" w:rsidP="00BF2608">
      <w:pPr>
        <w:spacing w:line="276" w:lineRule="auto"/>
        <w:ind w:left="851" w:right="616" w:hanging="425"/>
        <w:jc w:val="both"/>
        <w:rPr>
          <w:sz w:val="24"/>
          <w:szCs w:val="24"/>
        </w:rPr>
      </w:pPr>
    </w:p>
    <w:p w:rsidR="009249FA" w:rsidRDefault="009249FA" w:rsidP="00BF2608">
      <w:pPr>
        <w:spacing w:line="276" w:lineRule="auto"/>
        <w:ind w:left="851" w:right="616" w:hanging="425"/>
        <w:jc w:val="both"/>
        <w:rPr>
          <w:sz w:val="24"/>
          <w:szCs w:val="24"/>
        </w:rPr>
      </w:pPr>
    </w:p>
    <w:p w:rsidR="009249FA" w:rsidRDefault="009249FA" w:rsidP="00BF2608">
      <w:pPr>
        <w:spacing w:line="276" w:lineRule="auto"/>
        <w:ind w:left="851" w:right="616" w:hanging="425"/>
        <w:jc w:val="both"/>
        <w:rPr>
          <w:sz w:val="24"/>
          <w:szCs w:val="24"/>
        </w:rPr>
      </w:pPr>
    </w:p>
    <w:p w:rsidR="009249FA" w:rsidRPr="009249FA" w:rsidRDefault="009249FA" w:rsidP="004027B4">
      <w:pPr>
        <w:spacing w:line="276" w:lineRule="auto"/>
        <w:ind w:right="616"/>
        <w:jc w:val="both"/>
        <w:rPr>
          <w:b/>
          <w:sz w:val="24"/>
          <w:szCs w:val="24"/>
        </w:rPr>
      </w:pPr>
      <w:r w:rsidRPr="009249FA">
        <w:rPr>
          <w:b/>
          <w:sz w:val="24"/>
          <w:szCs w:val="24"/>
        </w:rPr>
        <w:t>NECESIDADES DE CAPACITACIÓN IDENTIFICADAS.</w:t>
      </w:r>
    </w:p>
    <w:p w:rsidR="009249FA" w:rsidRDefault="009249FA" w:rsidP="00BF2608">
      <w:pPr>
        <w:spacing w:line="276" w:lineRule="auto"/>
        <w:ind w:left="851" w:right="616" w:hanging="425"/>
        <w:jc w:val="both"/>
        <w:rPr>
          <w:sz w:val="24"/>
          <w:szCs w:val="24"/>
        </w:rPr>
      </w:pPr>
    </w:p>
    <w:p w:rsidR="009249FA" w:rsidRPr="009249FA" w:rsidRDefault="009249FA" w:rsidP="009249FA">
      <w:pPr>
        <w:spacing w:line="276" w:lineRule="auto"/>
        <w:ind w:left="426" w:right="616"/>
        <w:jc w:val="both"/>
        <w:rPr>
          <w:sz w:val="24"/>
          <w:szCs w:val="24"/>
        </w:rPr>
      </w:pPr>
      <w:r>
        <w:rPr>
          <w:sz w:val="24"/>
          <w:szCs w:val="24"/>
        </w:rPr>
        <w:t>Respecto a la</w:t>
      </w:r>
      <w:r w:rsidRPr="009249FA">
        <w:rPr>
          <w:sz w:val="24"/>
          <w:szCs w:val="24"/>
        </w:rPr>
        <w:t>s necesidad</w:t>
      </w:r>
      <w:r>
        <w:rPr>
          <w:sz w:val="24"/>
          <w:szCs w:val="24"/>
        </w:rPr>
        <w:t>es</w:t>
      </w:r>
      <w:r w:rsidRPr="009249FA">
        <w:rPr>
          <w:sz w:val="24"/>
          <w:szCs w:val="24"/>
        </w:rPr>
        <w:t xml:space="preserve"> de capacitación, </w:t>
      </w:r>
      <w:r>
        <w:rPr>
          <w:sz w:val="24"/>
          <w:szCs w:val="24"/>
        </w:rPr>
        <w:t>los miembros de la Red de laboratorios han propuesto</w:t>
      </w:r>
      <w:r w:rsidRPr="009249FA">
        <w:rPr>
          <w:sz w:val="24"/>
          <w:szCs w:val="24"/>
        </w:rPr>
        <w:t xml:space="preserve"> los siguientes</w:t>
      </w:r>
      <w:r>
        <w:rPr>
          <w:sz w:val="24"/>
          <w:szCs w:val="24"/>
        </w:rPr>
        <w:t xml:space="preserve"> temas</w:t>
      </w:r>
      <w:r w:rsidR="00074715">
        <w:rPr>
          <w:sz w:val="24"/>
          <w:szCs w:val="24"/>
        </w:rPr>
        <w:t xml:space="preserve"> que consideran relevantes para mejorar su desempeño:</w:t>
      </w:r>
    </w:p>
    <w:p w:rsidR="009249FA" w:rsidRDefault="009249FA" w:rsidP="009249FA">
      <w:pPr>
        <w:spacing w:line="276" w:lineRule="auto"/>
        <w:ind w:left="851" w:right="616" w:hanging="425"/>
        <w:jc w:val="both"/>
        <w:rPr>
          <w:sz w:val="24"/>
          <w:szCs w:val="24"/>
        </w:rPr>
      </w:pPr>
    </w:p>
    <w:p w:rsidR="009249FA" w:rsidRPr="009249FA" w:rsidRDefault="009249FA" w:rsidP="009249FA">
      <w:pPr>
        <w:pStyle w:val="ListParagraph"/>
        <w:numPr>
          <w:ilvl w:val="0"/>
          <w:numId w:val="20"/>
        </w:numPr>
        <w:spacing w:line="276" w:lineRule="auto"/>
        <w:ind w:right="616"/>
        <w:jc w:val="both"/>
        <w:rPr>
          <w:sz w:val="24"/>
          <w:szCs w:val="24"/>
        </w:rPr>
      </w:pPr>
      <w:r w:rsidRPr="009249FA">
        <w:rPr>
          <w:sz w:val="24"/>
          <w:szCs w:val="24"/>
        </w:rPr>
        <w:t xml:space="preserve">Capacitación práctica sobre </w:t>
      </w:r>
      <w:r w:rsidR="004027B4">
        <w:rPr>
          <w:sz w:val="24"/>
          <w:szCs w:val="24"/>
        </w:rPr>
        <w:t xml:space="preserve">estrategias para la </w:t>
      </w:r>
      <w:r w:rsidRPr="009249FA">
        <w:rPr>
          <w:sz w:val="24"/>
          <w:szCs w:val="24"/>
        </w:rPr>
        <w:t>detección en placa (pre-spotted plates) y su diseño para el cumplimiento de la regulación internacional</w:t>
      </w:r>
      <w:r w:rsidR="004027B4">
        <w:rPr>
          <w:sz w:val="24"/>
          <w:szCs w:val="24"/>
        </w:rPr>
        <w:t>.</w:t>
      </w:r>
      <w:r w:rsidRPr="009249FA">
        <w:rPr>
          <w:sz w:val="24"/>
          <w:szCs w:val="24"/>
        </w:rPr>
        <w:t xml:space="preserve"> </w:t>
      </w:r>
    </w:p>
    <w:p w:rsidR="009249FA" w:rsidRPr="009249FA" w:rsidRDefault="009249FA" w:rsidP="009249FA">
      <w:pPr>
        <w:pStyle w:val="ListParagraph"/>
        <w:numPr>
          <w:ilvl w:val="0"/>
          <w:numId w:val="20"/>
        </w:numPr>
        <w:spacing w:line="276" w:lineRule="auto"/>
        <w:ind w:right="616"/>
        <w:jc w:val="both"/>
        <w:rPr>
          <w:sz w:val="24"/>
          <w:szCs w:val="24"/>
        </w:rPr>
      </w:pPr>
      <w:r w:rsidRPr="009249FA">
        <w:rPr>
          <w:sz w:val="24"/>
          <w:szCs w:val="24"/>
        </w:rPr>
        <w:t>Capacitación</w:t>
      </w:r>
      <w:r w:rsidR="00074715">
        <w:rPr>
          <w:sz w:val="24"/>
          <w:szCs w:val="24"/>
        </w:rPr>
        <w:t xml:space="preserve"> e intercambio de</w:t>
      </w:r>
      <w:r w:rsidRPr="009249FA">
        <w:rPr>
          <w:sz w:val="24"/>
          <w:szCs w:val="24"/>
        </w:rPr>
        <w:t xml:space="preserve"> </w:t>
      </w:r>
      <w:r w:rsidR="00074715">
        <w:rPr>
          <w:sz w:val="24"/>
          <w:szCs w:val="24"/>
        </w:rPr>
        <w:t>experiencias respecto a</w:t>
      </w:r>
      <w:r w:rsidRPr="009249FA">
        <w:rPr>
          <w:sz w:val="24"/>
          <w:szCs w:val="24"/>
        </w:rPr>
        <w:t xml:space="preserve"> casos de estudio sobre amplicones </w:t>
      </w:r>
      <w:r w:rsidR="00074715">
        <w:rPr>
          <w:sz w:val="24"/>
          <w:szCs w:val="24"/>
        </w:rPr>
        <w:t xml:space="preserve">de eventos </w:t>
      </w:r>
      <w:r w:rsidRPr="009249FA">
        <w:rPr>
          <w:sz w:val="24"/>
          <w:szCs w:val="24"/>
        </w:rPr>
        <w:t>GM</w:t>
      </w:r>
      <w:r w:rsidR="00074715">
        <w:rPr>
          <w:sz w:val="24"/>
          <w:szCs w:val="24"/>
        </w:rPr>
        <w:t xml:space="preserve"> </w:t>
      </w:r>
      <w:r w:rsidR="004027B4">
        <w:rPr>
          <w:sz w:val="24"/>
          <w:szCs w:val="24"/>
        </w:rPr>
        <w:t xml:space="preserve">y </w:t>
      </w:r>
      <w:r w:rsidRPr="009249FA">
        <w:rPr>
          <w:sz w:val="24"/>
          <w:szCs w:val="24"/>
        </w:rPr>
        <w:t>casos de éxito</w:t>
      </w:r>
      <w:r w:rsidR="004027B4">
        <w:rPr>
          <w:sz w:val="24"/>
          <w:szCs w:val="24"/>
        </w:rPr>
        <w:t xml:space="preserve"> en materia de detección e identificación</w:t>
      </w:r>
      <w:r w:rsidRPr="009249FA">
        <w:rPr>
          <w:sz w:val="24"/>
          <w:szCs w:val="24"/>
        </w:rPr>
        <w:t>.</w:t>
      </w:r>
    </w:p>
    <w:p w:rsidR="009249FA" w:rsidRPr="009249FA" w:rsidRDefault="009249FA" w:rsidP="009249FA">
      <w:pPr>
        <w:pStyle w:val="ListParagraph"/>
        <w:numPr>
          <w:ilvl w:val="0"/>
          <w:numId w:val="20"/>
        </w:numPr>
        <w:spacing w:line="276" w:lineRule="auto"/>
        <w:ind w:right="616"/>
        <w:jc w:val="both"/>
        <w:rPr>
          <w:sz w:val="24"/>
          <w:szCs w:val="24"/>
        </w:rPr>
      </w:pPr>
      <w:r w:rsidRPr="009249FA">
        <w:rPr>
          <w:sz w:val="24"/>
          <w:szCs w:val="24"/>
        </w:rPr>
        <w:t>Armonización de metodologías utilizando PCR digital para la cuantificación de OGM.</w:t>
      </w:r>
    </w:p>
    <w:p w:rsidR="009249FA" w:rsidRPr="009249FA" w:rsidRDefault="009249FA" w:rsidP="009249FA">
      <w:pPr>
        <w:pStyle w:val="ListParagraph"/>
        <w:numPr>
          <w:ilvl w:val="0"/>
          <w:numId w:val="20"/>
        </w:numPr>
        <w:spacing w:line="276" w:lineRule="auto"/>
        <w:ind w:right="616"/>
        <w:jc w:val="both"/>
        <w:rPr>
          <w:sz w:val="24"/>
          <w:szCs w:val="24"/>
        </w:rPr>
      </w:pPr>
      <w:r w:rsidRPr="009249FA">
        <w:rPr>
          <w:sz w:val="24"/>
          <w:szCs w:val="24"/>
        </w:rPr>
        <w:t>Preparación y certificación de materiales de referencia para el análisis de OGMs.</w:t>
      </w:r>
    </w:p>
    <w:p w:rsidR="009249FA" w:rsidRPr="009249FA" w:rsidRDefault="009249FA" w:rsidP="009249FA">
      <w:pPr>
        <w:pStyle w:val="ListParagraph"/>
        <w:numPr>
          <w:ilvl w:val="0"/>
          <w:numId w:val="20"/>
        </w:numPr>
        <w:spacing w:line="276" w:lineRule="auto"/>
        <w:ind w:right="616"/>
        <w:jc w:val="both"/>
        <w:rPr>
          <w:sz w:val="24"/>
          <w:szCs w:val="24"/>
        </w:rPr>
      </w:pPr>
      <w:r w:rsidRPr="009249FA">
        <w:rPr>
          <w:sz w:val="24"/>
          <w:szCs w:val="24"/>
        </w:rPr>
        <w:t>Intercambio de experiencias a nivel internacional sobre las últimas actividades de los laboratorios de cada región.</w:t>
      </w:r>
    </w:p>
    <w:sectPr w:rsidR="009249FA" w:rsidRPr="009249FA" w:rsidSect="00972183">
      <w:headerReference w:type="default" r:id="rId9"/>
      <w:footerReference w:type="default" r:id="rId10"/>
      <w:pgSz w:w="12240" w:h="15840"/>
      <w:pgMar w:top="2085" w:right="1134" w:bottom="567" w:left="1276" w:header="709" w:footer="5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10FB" w:rsidRDefault="00A010FB" w:rsidP="00990B34">
      <w:r>
        <w:separator/>
      </w:r>
    </w:p>
  </w:endnote>
  <w:endnote w:type="continuationSeparator" w:id="0">
    <w:p w:rsidR="00A010FB" w:rsidRDefault="00A010FB" w:rsidP="00990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dobe Caslon Pro">
    <w:altName w:val="Georgia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87004545"/>
      <w:docPartObj>
        <w:docPartGallery w:val="Page Numbers (Bottom of Page)"/>
        <w:docPartUnique/>
      </w:docPartObj>
    </w:sdtPr>
    <w:sdtEndPr/>
    <w:sdtContent>
      <w:p w:rsidR="000F368F" w:rsidRDefault="000F368F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7A93" w:rsidRPr="00D17A93">
          <w:rPr>
            <w:noProof/>
            <w:lang w:val="es-ES"/>
          </w:rPr>
          <w:t>3</w:t>
        </w:r>
        <w:r>
          <w:fldChar w:fldCharType="end"/>
        </w:r>
      </w:p>
    </w:sdtContent>
  </w:sdt>
  <w:p w:rsidR="000F368F" w:rsidRDefault="000F36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10FB" w:rsidRDefault="00A010FB" w:rsidP="00990B34">
      <w:r>
        <w:separator/>
      </w:r>
    </w:p>
  </w:footnote>
  <w:footnote w:type="continuationSeparator" w:id="0">
    <w:p w:rsidR="00A010FB" w:rsidRDefault="00A010FB" w:rsidP="00990B34">
      <w:r>
        <w:continuationSeparator/>
      </w:r>
    </w:p>
  </w:footnote>
  <w:footnote w:id="1">
    <w:p w:rsidR="0026688E" w:rsidRDefault="0026688E" w:rsidP="00BF2608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Objetivo Operacional </w:t>
      </w:r>
      <w:r w:rsidR="003D3781">
        <w:t>2.3.2</w:t>
      </w:r>
      <w:r>
        <w:t xml:space="preserve">: </w:t>
      </w:r>
      <w:r w:rsidR="003D3781">
        <w:t>Partes que han establecido laboratorios de detección fiables o cuentan con acceso a estos. Objetivo 2.3.3</w:t>
      </w:r>
      <w:r>
        <w:t>.</w:t>
      </w:r>
      <w:r w:rsidR="003D3781">
        <w:t xml:space="preserve"> Laboratorios nacionales y regionales certificados, con capacidad para detectar OVMs.</w:t>
      </w:r>
    </w:p>
  </w:footnote>
  <w:footnote w:id="2">
    <w:p w:rsidR="00BF2608" w:rsidRDefault="00BF2608" w:rsidP="00BF2608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BF2608">
        <w:t>Red Nacional de Laboratorios de Detección, Identificación y Cuantificación de Organismos Genéticamente Modificados</w:t>
      </w:r>
      <w:r>
        <w:t xml:space="preserve">.  (CIBIOGEM, 2017) </w:t>
      </w:r>
      <w:hyperlink r:id="rId1" w:history="1">
        <w:r w:rsidRPr="000E646A">
          <w:rPr>
            <w:rStyle w:val="Hyperlink"/>
          </w:rPr>
          <w:t>https://www.conacyt.gob.mx/cibiogem/index.php/rnld-ogm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66D8" w:rsidRDefault="00C42016" w:rsidP="00687976">
    <w:pPr>
      <w:pStyle w:val="Header"/>
      <w:jc w:val="right"/>
      <w:rPr>
        <w:rFonts w:ascii="Adobe Caslon Pro" w:hAnsi="Adobe Caslon Pro"/>
        <w:b/>
        <w:color w:val="777772"/>
        <w:sz w:val="18"/>
        <w:szCs w:val="18"/>
      </w:rPr>
    </w:pPr>
    <w:r>
      <w:rPr>
        <w:rFonts w:ascii="Adobe Caslon Pro" w:hAnsi="Adobe Caslon Pro"/>
        <w:noProof/>
        <w:color w:val="777772"/>
        <w:lang w:eastAsia="es-MX"/>
      </w:rPr>
      <w:drawing>
        <wp:anchor distT="0" distB="0" distL="114300" distR="114300" simplePos="0" relativeHeight="251664384" behindDoc="0" locked="0" layoutInCell="1" allowOverlap="1" wp14:anchorId="16EFEEC2" wp14:editId="0DA7471F">
          <wp:simplePos x="0" y="0"/>
          <wp:positionH relativeFrom="column">
            <wp:posOffset>4999990</wp:posOffset>
          </wp:positionH>
          <wp:positionV relativeFrom="paragraph">
            <wp:posOffset>16510</wp:posOffset>
          </wp:positionV>
          <wp:extent cx="647700" cy="647700"/>
          <wp:effectExtent l="19050" t="0" r="0" b="0"/>
          <wp:wrapNone/>
          <wp:docPr id="6" name="Imagen 1" descr="D:\Usuarios\jgonzalezh\Mis documentos\Documentos-Rosita\Manual de identidad CIBIOGEM\Logotipo CIBIOGEM\JPG\CIBIOGEM_lg_vol_CMYK_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uarios\jgonzalezh\Mis documentos\Documentos-Rosita\Manual de identidad CIBIOGEM\Logotipo CIBIOGEM\JPG\CIBIOGEM_lg_vol_CMYK_300dpi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D5FA4">
      <w:rPr>
        <w:rFonts w:ascii="Adobe Caslon Pro" w:hAnsi="Adobe Caslon Pro"/>
        <w:noProof/>
        <w:color w:val="777772"/>
        <w:lang w:eastAsia="es-MX"/>
      </w:rPr>
      <w:drawing>
        <wp:anchor distT="0" distB="0" distL="114300" distR="114300" simplePos="0" relativeHeight="251662336" behindDoc="0" locked="0" layoutInCell="1" allowOverlap="1" wp14:anchorId="65601E0A" wp14:editId="336D6529">
          <wp:simplePos x="0" y="0"/>
          <wp:positionH relativeFrom="column">
            <wp:posOffset>-38735</wp:posOffset>
          </wp:positionH>
          <wp:positionV relativeFrom="paragraph">
            <wp:posOffset>16510</wp:posOffset>
          </wp:positionV>
          <wp:extent cx="2276475" cy="647700"/>
          <wp:effectExtent l="19050" t="0" r="9525" b="0"/>
          <wp:wrapNone/>
          <wp:docPr id="3" name="3 Imagen" descr="Gobier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biern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276475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D5FA4" w:rsidRDefault="00CD5FA4" w:rsidP="00687976">
    <w:pPr>
      <w:pStyle w:val="Header"/>
      <w:jc w:val="right"/>
      <w:rPr>
        <w:rFonts w:ascii="Adobe Caslon Pro" w:hAnsi="Adobe Caslon Pro"/>
        <w:b/>
        <w:color w:val="777772"/>
        <w:sz w:val="16"/>
        <w:szCs w:val="18"/>
      </w:rPr>
    </w:pPr>
  </w:p>
  <w:p w:rsidR="00CD5FA4" w:rsidRDefault="00CD5FA4" w:rsidP="00687976">
    <w:pPr>
      <w:pStyle w:val="Header"/>
      <w:jc w:val="right"/>
      <w:rPr>
        <w:rFonts w:ascii="Adobe Caslon Pro" w:hAnsi="Adobe Caslon Pro"/>
        <w:b/>
        <w:color w:val="777772"/>
        <w:sz w:val="16"/>
        <w:szCs w:val="18"/>
      </w:rPr>
    </w:pPr>
  </w:p>
  <w:p w:rsidR="00CD5FA4" w:rsidRDefault="00CD5FA4" w:rsidP="00687976">
    <w:pPr>
      <w:pStyle w:val="Header"/>
      <w:jc w:val="right"/>
      <w:rPr>
        <w:rFonts w:ascii="Adobe Caslon Pro" w:hAnsi="Adobe Caslon Pro"/>
        <w:b/>
        <w:color w:val="777772"/>
        <w:sz w:val="16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B33B8"/>
    <w:multiLevelType w:val="hybridMultilevel"/>
    <w:tmpl w:val="93F466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10FA7"/>
    <w:multiLevelType w:val="hybridMultilevel"/>
    <w:tmpl w:val="1D4AFB9E"/>
    <w:lvl w:ilvl="0" w:tplc="8A16189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FA447D"/>
    <w:multiLevelType w:val="hybridMultilevel"/>
    <w:tmpl w:val="6BF2B3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1F30E1"/>
    <w:multiLevelType w:val="hybridMultilevel"/>
    <w:tmpl w:val="E83000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B162D3"/>
    <w:multiLevelType w:val="hybridMultilevel"/>
    <w:tmpl w:val="236EA280"/>
    <w:lvl w:ilvl="0" w:tplc="A99EC0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0F0890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76271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76892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C3612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3255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816D2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A76EB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884F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BE2660B"/>
    <w:multiLevelType w:val="hybridMultilevel"/>
    <w:tmpl w:val="E6E8F472"/>
    <w:lvl w:ilvl="0" w:tplc="51C0B0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95EDC8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4B2E1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E0E3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3C92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4B8C3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ADC5B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FFE0E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3C4AC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250D244C"/>
    <w:multiLevelType w:val="hybridMultilevel"/>
    <w:tmpl w:val="65DAB8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F401C6"/>
    <w:multiLevelType w:val="hybridMultilevel"/>
    <w:tmpl w:val="96583A6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F63FA9"/>
    <w:multiLevelType w:val="hybridMultilevel"/>
    <w:tmpl w:val="834A22FE"/>
    <w:lvl w:ilvl="0" w:tplc="33FEF3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A26A02"/>
    <w:multiLevelType w:val="hybridMultilevel"/>
    <w:tmpl w:val="57AA7E90"/>
    <w:lvl w:ilvl="0" w:tplc="F96C5F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97A7F0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84F0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F1C79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FCE79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A54CA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AC39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47AE7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8D8B5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525F40C5"/>
    <w:multiLevelType w:val="hybridMultilevel"/>
    <w:tmpl w:val="0FE2C9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B93BC4"/>
    <w:multiLevelType w:val="hybridMultilevel"/>
    <w:tmpl w:val="24EA6C2E"/>
    <w:lvl w:ilvl="0" w:tplc="D034E6D6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5ABF19D7"/>
    <w:multiLevelType w:val="hybridMultilevel"/>
    <w:tmpl w:val="2C504628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C9A39B8"/>
    <w:multiLevelType w:val="hybridMultilevel"/>
    <w:tmpl w:val="3976D91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32720C2"/>
    <w:multiLevelType w:val="hybridMultilevel"/>
    <w:tmpl w:val="E8663C40"/>
    <w:lvl w:ilvl="0" w:tplc="B0DA2288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6B4D27BA"/>
    <w:multiLevelType w:val="hybridMultilevel"/>
    <w:tmpl w:val="567A1868"/>
    <w:lvl w:ilvl="0" w:tplc="B5AAEC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8AD3F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32DE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0481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CEF2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BC29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8A53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CEC7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C648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6C996A70"/>
    <w:multiLevelType w:val="hybridMultilevel"/>
    <w:tmpl w:val="B92EACD4"/>
    <w:lvl w:ilvl="0" w:tplc="A79203C4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EF6904"/>
    <w:multiLevelType w:val="hybridMultilevel"/>
    <w:tmpl w:val="0B041652"/>
    <w:lvl w:ilvl="0" w:tplc="A63A8C9C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1150C56"/>
    <w:multiLevelType w:val="hybridMultilevel"/>
    <w:tmpl w:val="DD76B89C"/>
    <w:lvl w:ilvl="0" w:tplc="8B24490C">
      <w:numFmt w:val="bullet"/>
      <w:lvlText w:val=""/>
      <w:lvlJc w:val="left"/>
      <w:pPr>
        <w:ind w:left="720" w:hanging="360"/>
      </w:pPr>
      <w:rPr>
        <w:rFonts w:ascii="Symbol" w:eastAsiaTheme="minorHAnsi" w:hAnsi="Symbol" w:cs="Book Antiqua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0077D3"/>
    <w:multiLevelType w:val="hybridMultilevel"/>
    <w:tmpl w:val="691CBF5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</w:num>
  <w:num w:numId="3">
    <w:abstractNumId w:val="1"/>
  </w:num>
  <w:num w:numId="4">
    <w:abstractNumId w:val="5"/>
  </w:num>
  <w:num w:numId="5">
    <w:abstractNumId w:val="9"/>
  </w:num>
  <w:num w:numId="6">
    <w:abstractNumId w:val="4"/>
  </w:num>
  <w:num w:numId="7">
    <w:abstractNumId w:val="12"/>
  </w:num>
  <w:num w:numId="8">
    <w:abstractNumId w:val="7"/>
  </w:num>
  <w:num w:numId="9">
    <w:abstractNumId w:val="14"/>
  </w:num>
  <w:num w:numId="10">
    <w:abstractNumId w:val="11"/>
  </w:num>
  <w:num w:numId="11">
    <w:abstractNumId w:val="3"/>
  </w:num>
  <w:num w:numId="12">
    <w:abstractNumId w:val="19"/>
  </w:num>
  <w:num w:numId="13">
    <w:abstractNumId w:val="18"/>
  </w:num>
  <w:num w:numId="14">
    <w:abstractNumId w:val="13"/>
  </w:num>
  <w:num w:numId="15">
    <w:abstractNumId w:val="17"/>
  </w:num>
  <w:num w:numId="16">
    <w:abstractNumId w:val="8"/>
  </w:num>
  <w:num w:numId="17">
    <w:abstractNumId w:val="10"/>
  </w:num>
  <w:num w:numId="18">
    <w:abstractNumId w:val="16"/>
  </w:num>
  <w:num w:numId="19">
    <w:abstractNumId w:val="6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1E4"/>
    <w:rsid w:val="00015847"/>
    <w:rsid w:val="000165AA"/>
    <w:rsid w:val="00037427"/>
    <w:rsid w:val="00041B7C"/>
    <w:rsid w:val="00071C66"/>
    <w:rsid w:val="00074715"/>
    <w:rsid w:val="00083FD1"/>
    <w:rsid w:val="000867D7"/>
    <w:rsid w:val="000901B8"/>
    <w:rsid w:val="00092DDF"/>
    <w:rsid w:val="000A17FF"/>
    <w:rsid w:val="000F295C"/>
    <w:rsid w:val="000F368F"/>
    <w:rsid w:val="00110E56"/>
    <w:rsid w:val="001248D1"/>
    <w:rsid w:val="00127131"/>
    <w:rsid w:val="00130B8A"/>
    <w:rsid w:val="001403D1"/>
    <w:rsid w:val="00150ACC"/>
    <w:rsid w:val="00150E1F"/>
    <w:rsid w:val="001767D6"/>
    <w:rsid w:val="00185866"/>
    <w:rsid w:val="001C1E30"/>
    <w:rsid w:val="001C254D"/>
    <w:rsid w:val="001D5D95"/>
    <w:rsid w:val="001E089B"/>
    <w:rsid w:val="001E2C2B"/>
    <w:rsid w:val="001F6B29"/>
    <w:rsid w:val="00210CE4"/>
    <w:rsid w:val="002264C4"/>
    <w:rsid w:val="00246FC2"/>
    <w:rsid w:val="0026688E"/>
    <w:rsid w:val="002725D0"/>
    <w:rsid w:val="00274103"/>
    <w:rsid w:val="00293A96"/>
    <w:rsid w:val="002B2A61"/>
    <w:rsid w:val="002C1E50"/>
    <w:rsid w:val="002D4F25"/>
    <w:rsid w:val="002D516D"/>
    <w:rsid w:val="002D76A5"/>
    <w:rsid w:val="002E6D2E"/>
    <w:rsid w:val="002F096A"/>
    <w:rsid w:val="002F47AB"/>
    <w:rsid w:val="00315F3F"/>
    <w:rsid w:val="0032624A"/>
    <w:rsid w:val="0035501C"/>
    <w:rsid w:val="003722C9"/>
    <w:rsid w:val="003A1E4C"/>
    <w:rsid w:val="003B05D5"/>
    <w:rsid w:val="003C07F9"/>
    <w:rsid w:val="003D3781"/>
    <w:rsid w:val="003E719A"/>
    <w:rsid w:val="003F2C55"/>
    <w:rsid w:val="003F5C01"/>
    <w:rsid w:val="004027B4"/>
    <w:rsid w:val="00406B01"/>
    <w:rsid w:val="00414321"/>
    <w:rsid w:val="004218D2"/>
    <w:rsid w:val="00441FEC"/>
    <w:rsid w:val="0045664E"/>
    <w:rsid w:val="00466F16"/>
    <w:rsid w:val="004752E0"/>
    <w:rsid w:val="004817B6"/>
    <w:rsid w:val="0049135D"/>
    <w:rsid w:val="004A3DE3"/>
    <w:rsid w:val="004A6526"/>
    <w:rsid w:val="004B4AB0"/>
    <w:rsid w:val="004B7386"/>
    <w:rsid w:val="004C766A"/>
    <w:rsid w:val="004E3E0F"/>
    <w:rsid w:val="004E5C5A"/>
    <w:rsid w:val="004F4A77"/>
    <w:rsid w:val="0050034F"/>
    <w:rsid w:val="005040E7"/>
    <w:rsid w:val="00512D5D"/>
    <w:rsid w:val="005253A0"/>
    <w:rsid w:val="005263C6"/>
    <w:rsid w:val="0054760A"/>
    <w:rsid w:val="005616A6"/>
    <w:rsid w:val="005C7E8E"/>
    <w:rsid w:val="005D0DC7"/>
    <w:rsid w:val="005D6548"/>
    <w:rsid w:val="00604508"/>
    <w:rsid w:val="00605E0D"/>
    <w:rsid w:val="00636FC0"/>
    <w:rsid w:val="006448F8"/>
    <w:rsid w:val="00651A2A"/>
    <w:rsid w:val="006525CC"/>
    <w:rsid w:val="00654852"/>
    <w:rsid w:val="00682517"/>
    <w:rsid w:val="00687976"/>
    <w:rsid w:val="00691D83"/>
    <w:rsid w:val="00695DBA"/>
    <w:rsid w:val="006C3805"/>
    <w:rsid w:val="006C6093"/>
    <w:rsid w:val="006D64F7"/>
    <w:rsid w:val="006E3885"/>
    <w:rsid w:val="006F4593"/>
    <w:rsid w:val="007210BD"/>
    <w:rsid w:val="00721191"/>
    <w:rsid w:val="0072404C"/>
    <w:rsid w:val="00727B48"/>
    <w:rsid w:val="00731108"/>
    <w:rsid w:val="00744A14"/>
    <w:rsid w:val="00754DDC"/>
    <w:rsid w:val="00760310"/>
    <w:rsid w:val="00764B1E"/>
    <w:rsid w:val="00770D53"/>
    <w:rsid w:val="007772B0"/>
    <w:rsid w:val="00784E97"/>
    <w:rsid w:val="00785DC3"/>
    <w:rsid w:val="00790BF6"/>
    <w:rsid w:val="007A00C0"/>
    <w:rsid w:val="007A2A94"/>
    <w:rsid w:val="007B4F08"/>
    <w:rsid w:val="007E412C"/>
    <w:rsid w:val="007F725E"/>
    <w:rsid w:val="00800819"/>
    <w:rsid w:val="008253DC"/>
    <w:rsid w:val="008531FE"/>
    <w:rsid w:val="00866EBA"/>
    <w:rsid w:val="008673EE"/>
    <w:rsid w:val="00872C6D"/>
    <w:rsid w:val="00875C05"/>
    <w:rsid w:val="008828C3"/>
    <w:rsid w:val="0088667E"/>
    <w:rsid w:val="008A21C7"/>
    <w:rsid w:val="008A5489"/>
    <w:rsid w:val="008C1893"/>
    <w:rsid w:val="008F1084"/>
    <w:rsid w:val="00901E5C"/>
    <w:rsid w:val="009249FA"/>
    <w:rsid w:val="00931C5D"/>
    <w:rsid w:val="00972183"/>
    <w:rsid w:val="0098739F"/>
    <w:rsid w:val="00990B34"/>
    <w:rsid w:val="009947BC"/>
    <w:rsid w:val="00995206"/>
    <w:rsid w:val="009952BA"/>
    <w:rsid w:val="009A433F"/>
    <w:rsid w:val="009B09DC"/>
    <w:rsid w:val="009C0928"/>
    <w:rsid w:val="009E6DED"/>
    <w:rsid w:val="00A010FB"/>
    <w:rsid w:val="00A06CA8"/>
    <w:rsid w:val="00A23085"/>
    <w:rsid w:val="00A23F53"/>
    <w:rsid w:val="00A458F3"/>
    <w:rsid w:val="00A5127A"/>
    <w:rsid w:val="00A5157F"/>
    <w:rsid w:val="00A632B5"/>
    <w:rsid w:val="00A72178"/>
    <w:rsid w:val="00A80140"/>
    <w:rsid w:val="00A935EB"/>
    <w:rsid w:val="00AA2F0E"/>
    <w:rsid w:val="00AA5FCC"/>
    <w:rsid w:val="00AB5CD1"/>
    <w:rsid w:val="00AD7B09"/>
    <w:rsid w:val="00B049D5"/>
    <w:rsid w:val="00B13428"/>
    <w:rsid w:val="00B52D6F"/>
    <w:rsid w:val="00B53A8D"/>
    <w:rsid w:val="00B60378"/>
    <w:rsid w:val="00B70C3C"/>
    <w:rsid w:val="00B87D30"/>
    <w:rsid w:val="00B91BC6"/>
    <w:rsid w:val="00B956EE"/>
    <w:rsid w:val="00BA2057"/>
    <w:rsid w:val="00BB193E"/>
    <w:rsid w:val="00BC1FDB"/>
    <w:rsid w:val="00BE3EFC"/>
    <w:rsid w:val="00BE5770"/>
    <w:rsid w:val="00BE6E22"/>
    <w:rsid w:val="00BF2608"/>
    <w:rsid w:val="00BF5763"/>
    <w:rsid w:val="00BF5C5D"/>
    <w:rsid w:val="00BF6E56"/>
    <w:rsid w:val="00C266D8"/>
    <w:rsid w:val="00C42016"/>
    <w:rsid w:val="00C54051"/>
    <w:rsid w:val="00C62BF3"/>
    <w:rsid w:val="00C75E07"/>
    <w:rsid w:val="00CD5FA4"/>
    <w:rsid w:val="00CE1FDE"/>
    <w:rsid w:val="00CE31CE"/>
    <w:rsid w:val="00CE323F"/>
    <w:rsid w:val="00CE4A1B"/>
    <w:rsid w:val="00CF78FB"/>
    <w:rsid w:val="00D17A93"/>
    <w:rsid w:val="00D45A8A"/>
    <w:rsid w:val="00D45BB0"/>
    <w:rsid w:val="00D827C0"/>
    <w:rsid w:val="00D956AD"/>
    <w:rsid w:val="00DB02E3"/>
    <w:rsid w:val="00DB0FAF"/>
    <w:rsid w:val="00DD2651"/>
    <w:rsid w:val="00DD436F"/>
    <w:rsid w:val="00DE258A"/>
    <w:rsid w:val="00DE358E"/>
    <w:rsid w:val="00DF3A66"/>
    <w:rsid w:val="00E17464"/>
    <w:rsid w:val="00E2302F"/>
    <w:rsid w:val="00E36052"/>
    <w:rsid w:val="00E46C72"/>
    <w:rsid w:val="00E66B29"/>
    <w:rsid w:val="00E829EA"/>
    <w:rsid w:val="00E86AC6"/>
    <w:rsid w:val="00E91D6F"/>
    <w:rsid w:val="00EA2B61"/>
    <w:rsid w:val="00EB5174"/>
    <w:rsid w:val="00EC2071"/>
    <w:rsid w:val="00EC3954"/>
    <w:rsid w:val="00EC3D20"/>
    <w:rsid w:val="00EC5F6C"/>
    <w:rsid w:val="00EE148F"/>
    <w:rsid w:val="00EE360C"/>
    <w:rsid w:val="00EF30BD"/>
    <w:rsid w:val="00F1528F"/>
    <w:rsid w:val="00F22F64"/>
    <w:rsid w:val="00F36477"/>
    <w:rsid w:val="00F432A4"/>
    <w:rsid w:val="00F45770"/>
    <w:rsid w:val="00F5046C"/>
    <w:rsid w:val="00F57D2C"/>
    <w:rsid w:val="00F741E4"/>
    <w:rsid w:val="00F83CED"/>
    <w:rsid w:val="00F85BFA"/>
    <w:rsid w:val="00F86C6F"/>
    <w:rsid w:val="00F86F04"/>
    <w:rsid w:val="00FA15D9"/>
    <w:rsid w:val="00FD015A"/>
    <w:rsid w:val="00FD1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9DCC14A3-E67A-4DCC-8D5B-0AFC61D9A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15D9"/>
  </w:style>
  <w:style w:type="paragraph" w:styleId="Heading1">
    <w:name w:val="heading 1"/>
    <w:basedOn w:val="Normal"/>
    <w:next w:val="Normal"/>
    <w:link w:val="Heading1Char"/>
    <w:uiPriority w:val="9"/>
    <w:qFormat/>
    <w:rsid w:val="0049135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913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semiHidden/>
    <w:unhideWhenUsed/>
    <w:qFormat/>
    <w:rsid w:val="0049135D"/>
    <w:pPr>
      <w:spacing w:after="100" w:line="276" w:lineRule="auto"/>
    </w:pPr>
    <w:rPr>
      <w:rFonts w:eastAsiaTheme="minorEastAsia"/>
      <w:lang w:eastAsia="es-MX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49135D"/>
    <w:pPr>
      <w:spacing w:after="100" w:line="276" w:lineRule="auto"/>
      <w:ind w:left="220"/>
    </w:pPr>
    <w:rPr>
      <w:rFonts w:eastAsiaTheme="minorEastAsia"/>
      <w:lang w:eastAsia="es-MX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49135D"/>
    <w:pPr>
      <w:spacing w:after="100" w:line="276" w:lineRule="auto"/>
      <w:ind w:left="440"/>
    </w:pPr>
    <w:rPr>
      <w:rFonts w:eastAsiaTheme="minorEastAsia"/>
      <w:lang w:eastAsia="es-MX"/>
    </w:rPr>
  </w:style>
  <w:style w:type="paragraph" w:styleId="ListParagraph">
    <w:name w:val="List Paragraph"/>
    <w:basedOn w:val="Normal"/>
    <w:uiPriority w:val="34"/>
    <w:qFormat/>
    <w:rsid w:val="0049135D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9135D"/>
    <w:pPr>
      <w:spacing w:line="276" w:lineRule="auto"/>
      <w:outlineLvl w:val="9"/>
    </w:pPr>
    <w:rPr>
      <w:lang w:eastAsia="es-MX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0B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B34"/>
    <w:rPr>
      <w:rFonts w:ascii="Tahoma" w:hAnsi="Tahoma" w:cs="Tahoma"/>
      <w:sz w:val="16"/>
      <w:szCs w:val="16"/>
    </w:rPr>
  </w:style>
  <w:style w:type="paragraph" w:styleId="Header">
    <w:name w:val="header"/>
    <w:aliases w:val="Encabezado Car Car"/>
    <w:basedOn w:val="Normal"/>
    <w:link w:val="HeaderChar"/>
    <w:uiPriority w:val="99"/>
    <w:unhideWhenUsed/>
    <w:rsid w:val="00990B34"/>
    <w:pPr>
      <w:tabs>
        <w:tab w:val="center" w:pos="4419"/>
        <w:tab w:val="right" w:pos="8838"/>
      </w:tabs>
    </w:pPr>
  </w:style>
  <w:style w:type="character" w:customStyle="1" w:styleId="HeaderChar">
    <w:name w:val="Header Char"/>
    <w:aliases w:val="Encabezado Car Car Char"/>
    <w:basedOn w:val="DefaultParagraphFont"/>
    <w:link w:val="Header"/>
    <w:uiPriority w:val="99"/>
    <w:rsid w:val="00990B34"/>
  </w:style>
  <w:style w:type="paragraph" w:styleId="Footer">
    <w:name w:val="footer"/>
    <w:basedOn w:val="Normal"/>
    <w:link w:val="FooterChar"/>
    <w:uiPriority w:val="99"/>
    <w:unhideWhenUsed/>
    <w:rsid w:val="00990B34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0B34"/>
  </w:style>
  <w:style w:type="character" w:styleId="Hyperlink">
    <w:name w:val="Hyperlink"/>
    <w:basedOn w:val="DefaultParagraphFont"/>
    <w:rsid w:val="00D45A8A"/>
    <w:rPr>
      <w:color w:val="255280"/>
      <w:u w:val="single"/>
    </w:rPr>
  </w:style>
  <w:style w:type="table" w:styleId="TableGrid">
    <w:name w:val="Table Grid"/>
    <w:basedOn w:val="TableNormal"/>
    <w:uiPriority w:val="59"/>
    <w:rsid w:val="000F29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F368F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0F368F"/>
    <w:pPr>
      <w:spacing w:before="100" w:beforeAutospacing="1" w:after="100" w:afterAutospacing="1"/>
    </w:pPr>
    <w:rPr>
      <w:rFonts w:ascii="Helvetica" w:eastAsia="Times New Roman" w:hAnsi="Helvetica" w:cs="Times New Roman"/>
      <w:color w:val="242424"/>
      <w:sz w:val="18"/>
      <w:szCs w:val="18"/>
      <w:lang w:val="es-ES" w:eastAsia="es-E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C254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C254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C254D"/>
    <w:rPr>
      <w:vertAlign w:val="superscript"/>
    </w:rPr>
  </w:style>
  <w:style w:type="paragraph" w:styleId="NoSpacing">
    <w:name w:val="No Spacing"/>
    <w:uiPriority w:val="1"/>
    <w:qFormat/>
    <w:rsid w:val="00DD436F"/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2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003146">
          <w:marLeft w:val="0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1358">
          <w:marLeft w:val="0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4118">
          <w:marLeft w:val="0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5710">
          <w:marLeft w:val="0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1743">
          <w:marLeft w:val="0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01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16816">
          <w:marLeft w:val="0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76945">
          <w:marLeft w:val="0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65417">
          <w:marLeft w:val="0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2317">
          <w:marLeft w:val="0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4372">
          <w:marLeft w:val="0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4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363815">
          <w:marLeft w:val="0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4153">
          <w:marLeft w:val="0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60937">
          <w:marLeft w:val="0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4023">
          <w:marLeft w:val="0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6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3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959304">
          <w:marLeft w:val="0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42522">
          <w:marLeft w:val="0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7259">
          <w:marLeft w:val="0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11842">
          <w:marLeft w:val="0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16925">
          <w:marLeft w:val="0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3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nam.mx/publicaciones/gratuita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acyt.gob.mx/cibiogem/index.php/rnld-og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5A7DC-180D-46FF-A795-8DB2D5D1B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1229</Words>
  <Characters>7008</Characters>
  <Application>Microsoft Office Word</Application>
  <DocSecurity>4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Secretaria de Educacion Publica</Company>
  <LinksUpToDate>false</LinksUpToDate>
  <CharactersWithSpaces>8221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Gpe.Perez</dc:creator>
  <cp:lastModifiedBy>Dina Abdelhakim</cp:lastModifiedBy>
  <cp:revision>2</cp:revision>
  <cp:lastPrinted>2016-04-28T19:41:00Z</cp:lastPrinted>
  <dcterms:created xsi:type="dcterms:W3CDTF">2018-03-22T18:50:00Z</dcterms:created>
  <dcterms:modified xsi:type="dcterms:W3CDTF">2018-03-22T18:50:00Z</dcterms:modified>
</cp:coreProperties>
</file>