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D3449" w14:textId="77777777" w:rsidR="009B10D1" w:rsidRPr="002E0711" w:rsidRDefault="009B10D1" w:rsidP="002E0711">
      <w:pPr>
        <w:jc w:val="center"/>
        <w:rPr>
          <w:rFonts w:cs="Helvetica"/>
          <w:b/>
          <w:sz w:val="28"/>
          <w:szCs w:val="28"/>
        </w:rPr>
      </w:pPr>
      <w:r w:rsidRPr="002E0711">
        <w:rPr>
          <w:rFonts w:cs="Helvetica"/>
          <w:b/>
          <w:sz w:val="28"/>
          <w:szCs w:val="28"/>
        </w:rPr>
        <w:t>EU response to CBD N</w:t>
      </w:r>
      <w:r w:rsidR="004E7C83" w:rsidRPr="002E0711">
        <w:rPr>
          <w:rFonts w:cs="Helvetica"/>
          <w:b/>
          <w:sz w:val="28"/>
          <w:szCs w:val="28"/>
        </w:rPr>
        <w:t>otification 2017-</w:t>
      </w:r>
      <w:r w:rsidRPr="002E0711">
        <w:rPr>
          <w:rFonts w:cs="Helvetica"/>
          <w:b/>
          <w:sz w:val="28"/>
          <w:szCs w:val="28"/>
        </w:rPr>
        <w:t>141</w:t>
      </w:r>
    </w:p>
    <w:p w14:paraId="74CB8033" w14:textId="455633C2" w:rsidR="009B10D1" w:rsidRPr="002E0711" w:rsidRDefault="009B10D1" w:rsidP="002E0711">
      <w:pPr>
        <w:jc w:val="center"/>
        <w:rPr>
          <w:rFonts w:cs="Helvetica"/>
          <w:b/>
          <w:sz w:val="24"/>
          <w:szCs w:val="24"/>
        </w:rPr>
      </w:pPr>
      <w:r w:rsidRPr="002E0711">
        <w:rPr>
          <w:rFonts w:cs="Helvetica"/>
          <w:b/>
          <w:sz w:val="24"/>
          <w:szCs w:val="24"/>
        </w:rPr>
        <w:t>Detection and identification of living modified organisms: submission of information</w:t>
      </w:r>
    </w:p>
    <w:p w14:paraId="3E0220C2" w14:textId="77777777" w:rsidR="00764136" w:rsidRPr="002E0711" w:rsidRDefault="009B10D1" w:rsidP="002E0711">
      <w:pPr>
        <w:jc w:val="both"/>
      </w:pPr>
      <w:r w:rsidRPr="002E0711">
        <w:t>Ref.: SCBD/SPS/DC/MM/DA/87054</w:t>
      </w:r>
    </w:p>
    <w:p w14:paraId="72AF929B" w14:textId="53F8051F" w:rsidR="009859A1" w:rsidRPr="002E0711" w:rsidRDefault="009859A1" w:rsidP="002E0711">
      <w:pPr>
        <w:jc w:val="both"/>
      </w:pPr>
      <w:r w:rsidRPr="002E0711">
        <w:t xml:space="preserve">The core tasks of the </w:t>
      </w:r>
      <w:r w:rsidR="0048089E" w:rsidRPr="002E0711">
        <w:t xml:space="preserve">European Union Reference Laboratory </w:t>
      </w:r>
      <w:r w:rsidR="00D32B8D" w:rsidRPr="002E0711">
        <w:t xml:space="preserve">(EURL) </w:t>
      </w:r>
      <w:r w:rsidR="0048089E" w:rsidRPr="002E0711">
        <w:t>for genetically modified food and feed (</w:t>
      </w:r>
      <w:r w:rsidRPr="002E0711">
        <w:t>EURL GMFF</w:t>
      </w:r>
      <w:r w:rsidR="0048089E" w:rsidRPr="002E0711">
        <w:t>)</w:t>
      </w:r>
      <w:r w:rsidRPr="002E0711">
        <w:t xml:space="preserve"> are the scientific assessment and validation of detection methods for GM </w:t>
      </w:r>
      <w:r w:rsidR="0048089E" w:rsidRPr="002E0711">
        <w:t>f</w:t>
      </w:r>
      <w:r w:rsidRPr="002E0711">
        <w:t xml:space="preserve">ood and </w:t>
      </w:r>
      <w:r w:rsidR="0048089E" w:rsidRPr="002E0711">
        <w:t>f</w:t>
      </w:r>
      <w:r w:rsidRPr="002E0711">
        <w:t>eed as part of the EU authorisation procedure and the coordination of the National Reference Laboratories for GMO in the Member States. The EURL GMFF is supported by the European Network of GMO Laboratories</w:t>
      </w:r>
      <w:r w:rsidR="0048089E" w:rsidRPr="002E0711">
        <w:t xml:space="preserve"> (ENGL) </w:t>
      </w:r>
      <w:r w:rsidRPr="002E0711">
        <w:t>, and hosted by the Joint Research Centre of the European Commission</w:t>
      </w:r>
      <w:r w:rsidR="005F693F" w:rsidRPr="002E0711">
        <w:t>.</w:t>
      </w:r>
    </w:p>
    <w:p w14:paraId="5498463C" w14:textId="3E3774E7" w:rsidR="005F693F" w:rsidRPr="002E0711" w:rsidRDefault="005F693F" w:rsidP="002E0711">
      <w:pPr>
        <w:jc w:val="both"/>
      </w:pPr>
      <w:r w:rsidRPr="002E0711">
        <w:t xml:space="preserve">The EURL-GMFF organises comparative testing for National Reference Laboratories (designated by each EU Member State) and assures the appropriate follow-up with the aim of contributing to a high quality and uniformity of analytical results in the European Union. </w:t>
      </w:r>
    </w:p>
    <w:p w14:paraId="70CB446F" w14:textId="1C9799B1" w:rsidR="00764136" w:rsidRPr="002E0711" w:rsidRDefault="009859A1" w:rsidP="002E0711">
      <w:pPr>
        <w:jc w:val="both"/>
      </w:pPr>
      <w:r w:rsidRPr="002E0711">
        <w:t>The EURL GMFF operates according to a quality management system certified and accredited according to ISO 17025 and ISO 17043.</w:t>
      </w:r>
    </w:p>
    <w:p w14:paraId="410D51F5" w14:textId="7EEFCC86" w:rsidR="009859A1" w:rsidRPr="002E0711" w:rsidRDefault="005F693F" w:rsidP="002E0711">
      <w:pPr>
        <w:jc w:val="both"/>
      </w:pPr>
      <w:r w:rsidRPr="002E0711">
        <w:t>Main activities (m</w:t>
      </w:r>
      <w:r w:rsidR="009859A1" w:rsidRPr="002E0711">
        <w:t>andate</w:t>
      </w:r>
      <w:r w:rsidRPr="002E0711">
        <w:t>)</w:t>
      </w:r>
      <w:r w:rsidR="009859A1" w:rsidRPr="002E0711">
        <w:t xml:space="preserve"> of the EURL GMFF, with the support of ENGL</w:t>
      </w:r>
      <w:r w:rsidR="00B677F8" w:rsidRPr="002E0711">
        <w:t>, are:</w:t>
      </w:r>
    </w:p>
    <w:p w14:paraId="370DF2C1" w14:textId="0D4BD8DA" w:rsidR="009859A1" w:rsidRPr="002E0711" w:rsidRDefault="00B677F8" w:rsidP="002E0711">
      <w:pPr>
        <w:ind w:left="709" w:right="567" w:hanging="142"/>
        <w:jc w:val="both"/>
      </w:pPr>
      <w:r w:rsidRPr="002E0711">
        <w:t>V</w:t>
      </w:r>
      <w:r w:rsidR="009859A1" w:rsidRPr="002E0711">
        <w:t>alidation of GMO detection methods as part of the EU GMO approval process under Reg. (EC) 1829/2003</w:t>
      </w:r>
    </w:p>
    <w:p w14:paraId="2D26AC48" w14:textId="31CACD28" w:rsidR="009859A1" w:rsidRPr="002E0711" w:rsidRDefault="009859A1" w:rsidP="002E0711">
      <w:pPr>
        <w:ind w:left="709" w:right="567" w:hanging="142"/>
        <w:jc w:val="both"/>
      </w:pPr>
      <w:r w:rsidRPr="002E0711">
        <w:t>Provision of control samples (provide laboratories with appropriate tools to carry out necessary controls)</w:t>
      </w:r>
    </w:p>
    <w:p w14:paraId="3FAC1BA6" w14:textId="4C2D4695" w:rsidR="009859A1" w:rsidRPr="002E0711" w:rsidRDefault="009859A1" w:rsidP="002E0711">
      <w:pPr>
        <w:ind w:left="709" w:right="567" w:hanging="142"/>
        <w:jc w:val="both"/>
      </w:pPr>
      <w:r w:rsidRPr="002E0711">
        <w:t xml:space="preserve">Provision of guidance documents </w:t>
      </w:r>
      <w:r w:rsidR="00B677F8" w:rsidRPr="002E0711">
        <w:t xml:space="preserve">(e.g. </w:t>
      </w:r>
      <w:r w:rsidRPr="002E0711">
        <w:t>on sampling and testing, method acceptance criteria, method performance criteria</w:t>
      </w:r>
      <w:r w:rsidR="00B677F8" w:rsidRPr="002E0711">
        <w:t>)</w:t>
      </w:r>
    </w:p>
    <w:p w14:paraId="48AD92CF" w14:textId="7FF98DCE" w:rsidR="009859A1" w:rsidRPr="002E0711" w:rsidRDefault="009859A1" w:rsidP="002E0711">
      <w:pPr>
        <w:ind w:left="709" w:right="567" w:hanging="142"/>
        <w:jc w:val="both"/>
      </w:pPr>
      <w:r w:rsidRPr="002E0711">
        <w:t>Role in dispute settlements (provide guidance in case MS contest the outcome of test results)</w:t>
      </w:r>
    </w:p>
    <w:p w14:paraId="45E5F16E" w14:textId="23C20336" w:rsidR="009859A1" w:rsidRPr="002E0711" w:rsidRDefault="009859A1" w:rsidP="002E0711">
      <w:pPr>
        <w:ind w:left="709" w:right="567" w:hanging="142"/>
        <w:jc w:val="both"/>
      </w:pPr>
      <w:r w:rsidRPr="002E0711">
        <w:t xml:space="preserve">Role in emergency situations (when GMOs </w:t>
      </w:r>
      <w:r w:rsidR="0048089E" w:rsidRPr="002E0711">
        <w:t xml:space="preserve">not approved in the EU </w:t>
      </w:r>
      <w:r w:rsidRPr="002E0711">
        <w:t xml:space="preserve">occur on the </w:t>
      </w:r>
      <w:r w:rsidR="0048089E" w:rsidRPr="002E0711">
        <w:t xml:space="preserve">EU </w:t>
      </w:r>
      <w:r w:rsidRPr="002E0711">
        <w:t>market)</w:t>
      </w:r>
    </w:p>
    <w:p w14:paraId="216BE7D3" w14:textId="6501ED55" w:rsidR="009859A1" w:rsidRPr="002E0711" w:rsidRDefault="009859A1" w:rsidP="002E0711">
      <w:pPr>
        <w:ind w:left="709" w:right="567" w:hanging="142"/>
        <w:jc w:val="both"/>
      </w:pPr>
      <w:r w:rsidRPr="002E0711">
        <w:t>Providing National Reference Laboratories (NRLs) with reference analytical methods</w:t>
      </w:r>
      <w:r w:rsidR="00B677F8" w:rsidRPr="002E0711">
        <w:t xml:space="preserve"> (GMOMEHODS database)</w:t>
      </w:r>
    </w:p>
    <w:p w14:paraId="43A93B7B" w14:textId="15FAB0FF" w:rsidR="009859A1" w:rsidRPr="002E0711" w:rsidRDefault="009859A1" w:rsidP="002E0711">
      <w:pPr>
        <w:ind w:left="709" w:right="567" w:hanging="142"/>
        <w:jc w:val="both"/>
      </w:pPr>
      <w:r w:rsidRPr="002E0711">
        <w:t>Coordinating application of the methods by organising comparative testing and by ensuring an appropriate follow-up in accordance with internationally accepted protocols</w:t>
      </w:r>
    </w:p>
    <w:p w14:paraId="4E5BAF81" w14:textId="4D64D551" w:rsidR="009859A1" w:rsidRPr="002E0711" w:rsidRDefault="009859A1" w:rsidP="002E0711">
      <w:pPr>
        <w:ind w:left="709" w:right="567" w:hanging="142"/>
        <w:jc w:val="both"/>
      </w:pPr>
      <w:r w:rsidRPr="002E0711">
        <w:t>Coordinating practical arrangements needed to apply new analytical methods</w:t>
      </w:r>
    </w:p>
    <w:p w14:paraId="2E68CF31" w14:textId="3058647C" w:rsidR="009859A1" w:rsidRPr="002E0711" w:rsidRDefault="009859A1" w:rsidP="002E0711">
      <w:pPr>
        <w:ind w:left="709" w:right="567" w:hanging="142"/>
        <w:jc w:val="both"/>
      </w:pPr>
      <w:r w:rsidRPr="002E0711">
        <w:t>Conducting training courses for the benefit of staff from NRLs and of experts from developing countries</w:t>
      </w:r>
    </w:p>
    <w:p w14:paraId="05E150CA" w14:textId="4A13BDA4" w:rsidR="009859A1" w:rsidRPr="002E0711" w:rsidRDefault="009859A1" w:rsidP="002E0711">
      <w:pPr>
        <w:ind w:left="709" w:right="567" w:hanging="142"/>
        <w:jc w:val="both"/>
      </w:pPr>
      <w:r w:rsidRPr="002E0711">
        <w:t>Providing technical assistance to the Commission, especially in controversial analyses</w:t>
      </w:r>
    </w:p>
    <w:p w14:paraId="722F23F6" w14:textId="725F1930" w:rsidR="0048089E" w:rsidRPr="002E0711" w:rsidRDefault="009859A1" w:rsidP="002E0711">
      <w:pPr>
        <w:ind w:left="709" w:right="567" w:hanging="142"/>
        <w:jc w:val="both"/>
      </w:pPr>
      <w:r w:rsidRPr="002E0711">
        <w:t>Collaborating with laboratories responsible for analysing feed and food in third countries</w:t>
      </w:r>
      <w:bookmarkStart w:id="0" w:name="_GoBack"/>
      <w:bookmarkEnd w:id="0"/>
    </w:p>
    <w:sectPr w:rsidR="0048089E" w:rsidRPr="002E07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5C65" w14:textId="77777777" w:rsidR="00566669" w:rsidRDefault="00566669" w:rsidP="003819A8">
      <w:pPr>
        <w:spacing w:after="0" w:line="240" w:lineRule="auto"/>
      </w:pPr>
      <w:r>
        <w:separator/>
      </w:r>
    </w:p>
  </w:endnote>
  <w:endnote w:type="continuationSeparator" w:id="0">
    <w:p w14:paraId="14C5DF39" w14:textId="77777777" w:rsidR="00566669" w:rsidRDefault="00566669" w:rsidP="0038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A7CB3" w14:textId="77777777" w:rsidR="00566669" w:rsidRDefault="00566669" w:rsidP="003819A8">
      <w:pPr>
        <w:spacing w:after="0" w:line="240" w:lineRule="auto"/>
      </w:pPr>
      <w:r>
        <w:separator/>
      </w:r>
    </w:p>
  </w:footnote>
  <w:footnote w:type="continuationSeparator" w:id="0">
    <w:p w14:paraId="256CB437" w14:textId="77777777" w:rsidR="00566669" w:rsidRDefault="00566669" w:rsidP="0038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C59"/>
    <w:multiLevelType w:val="hybridMultilevel"/>
    <w:tmpl w:val="B466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5F34"/>
    <w:multiLevelType w:val="hybridMultilevel"/>
    <w:tmpl w:val="4614E5D2"/>
    <w:lvl w:ilvl="0" w:tplc="DA72D6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83B0F"/>
    <w:multiLevelType w:val="multilevel"/>
    <w:tmpl w:val="CE2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361D9"/>
    <w:multiLevelType w:val="hybridMultilevel"/>
    <w:tmpl w:val="0414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A6007"/>
    <w:multiLevelType w:val="hybridMultilevel"/>
    <w:tmpl w:val="875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3442A"/>
    <w:multiLevelType w:val="hybridMultilevel"/>
    <w:tmpl w:val="75F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162AE"/>
    <w:multiLevelType w:val="hybridMultilevel"/>
    <w:tmpl w:val="FDC8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06ED"/>
    <w:multiLevelType w:val="hybridMultilevel"/>
    <w:tmpl w:val="B59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06F29"/>
    <w:multiLevelType w:val="hybridMultilevel"/>
    <w:tmpl w:val="ADA0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20A8D"/>
    <w:multiLevelType w:val="hybridMultilevel"/>
    <w:tmpl w:val="1EC01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2593A"/>
    <w:multiLevelType w:val="hybridMultilevel"/>
    <w:tmpl w:val="096A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404AC"/>
    <w:multiLevelType w:val="hybridMultilevel"/>
    <w:tmpl w:val="64A80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025CD4"/>
    <w:multiLevelType w:val="hybridMultilevel"/>
    <w:tmpl w:val="08B8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3468B"/>
    <w:multiLevelType w:val="hybridMultilevel"/>
    <w:tmpl w:val="0F1AA80E"/>
    <w:lvl w:ilvl="0" w:tplc="51D0F5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57843"/>
    <w:multiLevelType w:val="hybridMultilevel"/>
    <w:tmpl w:val="CCB49D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EC6A1E"/>
    <w:multiLevelType w:val="hybridMultilevel"/>
    <w:tmpl w:val="8B0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F510C5"/>
    <w:multiLevelType w:val="hybridMultilevel"/>
    <w:tmpl w:val="270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F20A3"/>
    <w:multiLevelType w:val="hybridMultilevel"/>
    <w:tmpl w:val="8230E0B2"/>
    <w:lvl w:ilvl="0" w:tplc="F7F8B0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2"/>
  </w:num>
  <w:num w:numId="3">
    <w:abstractNumId w:val="6"/>
  </w:num>
  <w:num w:numId="4">
    <w:abstractNumId w:val="16"/>
  </w:num>
  <w:num w:numId="5">
    <w:abstractNumId w:val="2"/>
  </w:num>
  <w:num w:numId="6">
    <w:abstractNumId w:val="0"/>
  </w:num>
  <w:num w:numId="7">
    <w:abstractNumId w:val="8"/>
  </w:num>
  <w:num w:numId="8">
    <w:abstractNumId w:val="9"/>
  </w:num>
  <w:num w:numId="9">
    <w:abstractNumId w:val="17"/>
  </w:num>
  <w:num w:numId="10">
    <w:abstractNumId w:val="14"/>
  </w:num>
  <w:num w:numId="11">
    <w:abstractNumId w:val="5"/>
  </w:num>
  <w:num w:numId="12">
    <w:abstractNumId w:val="3"/>
  </w:num>
  <w:num w:numId="13">
    <w:abstractNumId w:val="4"/>
  </w:num>
  <w:num w:numId="14">
    <w:abstractNumId w:val="10"/>
  </w:num>
  <w:num w:numId="15">
    <w:abstractNumId w:val="7"/>
  </w:num>
  <w:num w:numId="16">
    <w:abstractNumId w:val="1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6889"/>
    <w:rsid w:val="00020583"/>
    <w:rsid w:val="0004011E"/>
    <w:rsid w:val="00080500"/>
    <w:rsid w:val="00090F3F"/>
    <w:rsid w:val="000A3212"/>
    <w:rsid w:val="000C13CC"/>
    <w:rsid w:val="000C2D0A"/>
    <w:rsid w:val="000D0421"/>
    <w:rsid w:val="000F36C4"/>
    <w:rsid w:val="000F4F62"/>
    <w:rsid w:val="001016AD"/>
    <w:rsid w:val="00104C94"/>
    <w:rsid w:val="00114425"/>
    <w:rsid w:val="0013296E"/>
    <w:rsid w:val="00162EEB"/>
    <w:rsid w:val="00170C0A"/>
    <w:rsid w:val="00170D17"/>
    <w:rsid w:val="001B2F69"/>
    <w:rsid w:val="001C146D"/>
    <w:rsid w:val="001E2F8B"/>
    <w:rsid w:val="001E4733"/>
    <w:rsid w:val="001E77E6"/>
    <w:rsid w:val="001F394A"/>
    <w:rsid w:val="002503B4"/>
    <w:rsid w:val="00271CD8"/>
    <w:rsid w:val="00277935"/>
    <w:rsid w:val="00290926"/>
    <w:rsid w:val="00296E1C"/>
    <w:rsid w:val="002A0361"/>
    <w:rsid w:val="002A6864"/>
    <w:rsid w:val="002B2DFE"/>
    <w:rsid w:val="002C1382"/>
    <w:rsid w:val="002E0711"/>
    <w:rsid w:val="002E3E7C"/>
    <w:rsid w:val="003134FB"/>
    <w:rsid w:val="003228EC"/>
    <w:rsid w:val="00325E00"/>
    <w:rsid w:val="00345A95"/>
    <w:rsid w:val="00366101"/>
    <w:rsid w:val="003769A2"/>
    <w:rsid w:val="003819A8"/>
    <w:rsid w:val="0039237F"/>
    <w:rsid w:val="003967A0"/>
    <w:rsid w:val="003A00B5"/>
    <w:rsid w:val="003B04D4"/>
    <w:rsid w:val="003B61EC"/>
    <w:rsid w:val="003D2189"/>
    <w:rsid w:val="003E3207"/>
    <w:rsid w:val="003F6F1B"/>
    <w:rsid w:val="00470841"/>
    <w:rsid w:val="00476EE9"/>
    <w:rsid w:val="0048089E"/>
    <w:rsid w:val="00496282"/>
    <w:rsid w:val="004A58FC"/>
    <w:rsid w:val="004A6889"/>
    <w:rsid w:val="004C290C"/>
    <w:rsid w:val="004E338D"/>
    <w:rsid w:val="004E7C83"/>
    <w:rsid w:val="004F4FEA"/>
    <w:rsid w:val="004F79AC"/>
    <w:rsid w:val="005151F0"/>
    <w:rsid w:val="00516D46"/>
    <w:rsid w:val="00523400"/>
    <w:rsid w:val="00526774"/>
    <w:rsid w:val="00537F6C"/>
    <w:rsid w:val="005430F9"/>
    <w:rsid w:val="00563F93"/>
    <w:rsid w:val="00566669"/>
    <w:rsid w:val="00595CAC"/>
    <w:rsid w:val="005B0EB9"/>
    <w:rsid w:val="005F693F"/>
    <w:rsid w:val="00633AFB"/>
    <w:rsid w:val="00642A67"/>
    <w:rsid w:val="00656A33"/>
    <w:rsid w:val="0067176C"/>
    <w:rsid w:val="0067423C"/>
    <w:rsid w:val="006760E4"/>
    <w:rsid w:val="006803D3"/>
    <w:rsid w:val="006829E4"/>
    <w:rsid w:val="006852D0"/>
    <w:rsid w:val="006C7CDF"/>
    <w:rsid w:val="006D20E5"/>
    <w:rsid w:val="006E5397"/>
    <w:rsid w:val="00710E31"/>
    <w:rsid w:val="00712329"/>
    <w:rsid w:val="00764136"/>
    <w:rsid w:val="0077652E"/>
    <w:rsid w:val="00787976"/>
    <w:rsid w:val="00791B8C"/>
    <w:rsid w:val="0079516C"/>
    <w:rsid w:val="007A0248"/>
    <w:rsid w:val="007A2846"/>
    <w:rsid w:val="007A318F"/>
    <w:rsid w:val="007D0212"/>
    <w:rsid w:val="007E6D2B"/>
    <w:rsid w:val="007F6604"/>
    <w:rsid w:val="00814ED0"/>
    <w:rsid w:val="008168FB"/>
    <w:rsid w:val="0086671A"/>
    <w:rsid w:val="008770D6"/>
    <w:rsid w:val="00884A46"/>
    <w:rsid w:val="008868C2"/>
    <w:rsid w:val="0089371D"/>
    <w:rsid w:val="0089541C"/>
    <w:rsid w:val="008A4676"/>
    <w:rsid w:val="008C49E5"/>
    <w:rsid w:val="00905DED"/>
    <w:rsid w:val="00912DE6"/>
    <w:rsid w:val="00920111"/>
    <w:rsid w:val="009326BE"/>
    <w:rsid w:val="00960060"/>
    <w:rsid w:val="00964029"/>
    <w:rsid w:val="009859A1"/>
    <w:rsid w:val="009B10D1"/>
    <w:rsid w:val="009C425B"/>
    <w:rsid w:val="009D1C42"/>
    <w:rsid w:val="00A35AFD"/>
    <w:rsid w:val="00A90349"/>
    <w:rsid w:val="00AA2CC0"/>
    <w:rsid w:val="00AB103C"/>
    <w:rsid w:val="00AB3237"/>
    <w:rsid w:val="00AC5BBC"/>
    <w:rsid w:val="00AD735F"/>
    <w:rsid w:val="00AE160A"/>
    <w:rsid w:val="00AE2413"/>
    <w:rsid w:val="00AE5B23"/>
    <w:rsid w:val="00AF4006"/>
    <w:rsid w:val="00B07360"/>
    <w:rsid w:val="00B332FC"/>
    <w:rsid w:val="00B40720"/>
    <w:rsid w:val="00B500AE"/>
    <w:rsid w:val="00B677F8"/>
    <w:rsid w:val="00B71CEF"/>
    <w:rsid w:val="00B8036A"/>
    <w:rsid w:val="00BA482A"/>
    <w:rsid w:val="00BA4C6B"/>
    <w:rsid w:val="00BC6F0C"/>
    <w:rsid w:val="00C039E8"/>
    <w:rsid w:val="00C5008E"/>
    <w:rsid w:val="00CA09D3"/>
    <w:rsid w:val="00CA0C2A"/>
    <w:rsid w:val="00CA75D3"/>
    <w:rsid w:val="00CE5558"/>
    <w:rsid w:val="00CF1336"/>
    <w:rsid w:val="00CF528A"/>
    <w:rsid w:val="00D06453"/>
    <w:rsid w:val="00D11362"/>
    <w:rsid w:val="00D23CBF"/>
    <w:rsid w:val="00D32B8D"/>
    <w:rsid w:val="00D41ECC"/>
    <w:rsid w:val="00D56E32"/>
    <w:rsid w:val="00D76AE9"/>
    <w:rsid w:val="00D91CDC"/>
    <w:rsid w:val="00DB23D0"/>
    <w:rsid w:val="00DB4914"/>
    <w:rsid w:val="00E03231"/>
    <w:rsid w:val="00E10194"/>
    <w:rsid w:val="00E1280A"/>
    <w:rsid w:val="00E44255"/>
    <w:rsid w:val="00E51527"/>
    <w:rsid w:val="00E6061F"/>
    <w:rsid w:val="00E7514D"/>
    <w:rsid w:val="00E83430"/>
    <w:rsid w:val="00EB0FC9"/>
    <w:rsid w:val="00EB1005"/>
    <w:rsid w:val="00EF5D5F"/>
    <w:rsid w:val="00F36E44"/>
    <w:rsid w:val="00F64BC7"/>
    <w:rsid w:val="00F678F3"/>
    <w:rsid w:val="00FC53F7"/>
    <w:rsid w:val="00FD1C11"/>
    <w:rsid w:val="00FD2FD4"/>
    <w:rsid w:val="00FE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24E6"/>
  <w15:docId w15:val="{4BFAF2DB-403C-43BB-A1C6-9612253A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EC"/>
    <w:pPr>
      <w:ind w:left="720"/>
      <w:contextualSpacing/>
    </w:pPr>
  </w:style>
  <w:style w:type="table" w:styleId="TableGrid">
    <w:name w:val="Table Grid"/>
    <w:basedOn w:val="TableNormal"/>
    <w:uiPriority w:val="59"/>
    <w:rsid w:val="00BA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6D46"/>
    <w:rPr>
      <w:b/>
      <w:bCs/>
    </w:rPr>
  </w:style>
  <w:style w:type="paragraph" w:styleId="FootnoteText">
    <w:name w:val="footnote text"/>
    <w:basedOn w:val="Normal"/>
    <w:link w:val="FootnoteTextChar"/>
    <w:semiHidden/>
    <w:rsid w:val="003819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19A8"/>
    <w:rPr>
      <w:rFonts w:ascii="Times New Roman" w:eastAsia="Times New Roman" w:hAnsi="Times New Roman" w:cs="Times New Roman"/>
      <w:sz w:val="20"/>
      <w:szCs w:val="20"/>
    </w:rPr>
  </w:style>
  <w:style w:type="character" w:styleId="FootnoteReference">
    <w:name w:val="footnote reference"/>
    <w:rsid w:val="003819A8"/>
    <w:rPr>
      <w:vertAlign w:val="superscript"/>
    </w:rPr>
  </w:style>
  <w:style w:type="character" w:styleId="CommentReference">
    <w:name w:val="annotation reference"/>
    <w:basedOn w:val="DefaultParagraphFont"/>
    <w:uiPriority w:val="99"/>
    <w:semiHidden/>
    <w:unhideWhenUsed/>
    <w:rsid w:val="00E10194"/>
    <w:rPr>
      <w:sz w:val="16"/>
      <w:szCs w:val="16"/>
    </w:rPr>
  </w:style>
  <w:style w:type="paragraph" w:styleId="CommentText">
    <w:name w:val="annotation text"/>
    <w:basedOn w:val="Normal"/>
    <w:link w:val="CommentTextChar"/>
    <w:uiPriority w:val="99"/>
    <w:unhideWhenUsed/>
    <w:rsid w:val="00E10194"/>
    <w:pPr>
      <w:spacing w:line="240" w:lineRule="auto"/>
    </w:pPr>
    <w:rPr>
      <w:sz w:val="20"/>
      <w:szCs w:val="20"/>
    </w:rPr>
  </w:style>
  <w:style w:type="character" w:customStyle="1" w:styleId="CommentTextChar">
    <w:name w:val="Comment Text Char"/>
    <w:basedOn w:val="DefaultParagraphFont"/>
    <w:link w:val="CommentText"/>
    <w:uiPriority w:val="99"/>
    <w:rsid w:val="00E10194"/>
    <w:rPr>
      <w:sz w:val="20"/>
      <w:szCs w:val="20"/>
    </w:rPr>
  </w:style>
  <w:style w:type="paragraph" w:styleId="CommentSubject">
    <w:name w:val="annotation subject"/>
    <w:basedOn w:val="CommentText"/>
    <w:next w:val="CommentText"/>
    <w:link w:val="CommentSubjectChar"/>
    <w:uiPriority w:val="99"/>
    <w:semiHidden/>
    <w:unhideWhenUsed/>
    <w:rsid w:val="00E10194"/>
    <w:rPr>
      <w:b/>
      <w:bCs/>
    </w:rPr>
  </w:style>
  <w:style w:type="character" w:customStyle="1" w:styleId="CommentSubjectChar">
    <w:name w:val="Comment Subject Char"/>
    <w:basedOn w:val="CommentTextChar"/>
    <w:link w:val="CommentSubject"/>
    <w:uiPriority w:val="99"/>
    <w:semiHidden/>
    <w:rsid w:val="00E10194"/>
    <w:rPr>
      <w:b/>
      <w:bCs/>
      <w:sz w:val="20"/>
      <w:szCs w:val="20"/>
    </w:rPr>
  </w:style>
  <w:style w:type="paragraph" w:styleId="BalloonText">
    <w:name w:val="Balloon Text"/>
    <w:basedOn w:val="Normal"/>
    <w:link w:val="BalloonTextChar"/>
    <w:uiPriority w:val="99"/>
    <w:semiHidden/>
    <w:unhideWhenUsed/>
    <w:rsid w:val="00E1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94"/>
    <w:rPr>
      <w:rFonts w:ascii="Tahoma" w:hAnsi="Tahoma" w:cs="Tahoma"/>
      <w:sz w:val="16"/>
      <w:szCs w:val="16"/>
    </w:rPr>
  </w:style>
  <w:style w:type="paragraph" w:styleId="Revision">
    <w:name w:val="Revision"/>
    <w:hidden/>
    <w:uiPriority w:val="99"/>
    <w:semiHidden/>
    <w:rsid w:val="00884A46"/>
    <w:pPr>
      <w:spacing w:after="0" w:line="240" w:lineRule="auto"/>
    </w:pPr>
  </w:style>
  <w:style w:type="character" w:styleId="Hyperlink">
    <w:name w:val="Hyperlink"/>
    <w:basedOn w:val="DefaultParagraphFont"/>
    <w:uiPriority w:val="99"/>
    <w:unhideWhenUsed/>
    <w:rsid w:val="0039237F"/>
    <w:rPr>
      <w:color w:val="0000FF" w:themeColor="hyperlink"/>
      <w:u w:val="single"/>
    </w:rPr>
  </w:style>
  <w:style w:type="character" w:customStyle="1" w:styleId="cmsbold1">
    <w:name w:val="cmsbold1"/>
    <w:basedOn w:val="DefaultParagraphFont"/>
    <w:rsid w:val="00EB0FC9"/>
    <w:rPr>
      <w:rFonts w:ascii="Verdana" w:hAnsi="Verdana" w:hint="default"/>
      <w:b/>
      <w:bCs/>
      <w:sz w:val="17"/>
      <w:szCs w:val="17"/>
    </w:rPr>
  </w:style>
  <w:style w:type="character" w:customStyle="1" w:styleId="titolopagina">
    <w:name w:val="titolopagina"/>
    <w:basedOn w:val="DefaultParagraphFont"/>
    <w:rsid w:val="0048089E"/>
  </w:style>
  <w:style w:type="paragraph" w:styleId="NormalWeb">
    <w:name w:val="Normal (Web)"/>
    <w:basedOn w:val="Normal"/>
    <w:uiPriority w:val="99"/>
    <w:semiHidden/>
    <w:unhideWhenUsed/>
    <w:rsid w:val="004808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3284">
      <w:bodyDiv w:val="1"/>
      <w:marLeft w:val="0"/>
      <w:marRight w:val="0"/>
      <w:marTop w:val="0"/>
      <w:marBottom w:val="0"/>
      <w:divBdr>
        <w:top w:val="none" w:sz="0" w:space="0" w:color="auto"/>
        <w:left w:val="none" w:sz="0" w:space="0" w:color="auto"/>
        <w:bottom w:val="none" w:sz="0" w:space="0" w:color="auto"/>
        <w:right w:val="none" w:sz="0" w:space="0" w:color="auto"/>
      </w:divBdr>
      <w:divsChild>
        <w:div w:id="1626690163">
          <w:marLeft w:val="0"/>
          <w:marRight w:val="0"/>
          <w:marTop w:val="0"/>
          <w:marBottom w:val="0"/>
          <w:divBdr>
            <w:top w:val="single" w:sz="2" w:space="0" w:color="FFFFFF"/>
            <w:left w:val="single" w:sz="2" w:space="0" w:color="FFFFFF"/>
            <w:bottom w:val="single" w:sz="2" w:space="0" w:color="FFFFFF"/>
            <w:right w:val="single" w:sz="2" w:space="0" w:color="FFFFFF"/>
          </w:divBdr>
          <w:divsChild>
            <w:div w:id="967778045">
              <w:marLeft w:val="0"/>
              <w:marRight w:val="0"/>
              <w:marTop w:val="0"/>
              <w:marBottom w:val="0"/>
              <w:divBdr>
                <w:top w:val="single" w:sz="6" w:space="0" w:color="FFFFFF"/>
                <w:left w:val="none" w:sz="0" w:space="0" w:color="auto"/>
                <w:bottom w:val="none" w:sz="0" w:space="0" w:color="auto"/>
                <w:right w:val="none" w:sz="0" w:space="0" w:color="auto"/>
              </w:divBdr>
              <w:divsChild>
                <w:div w:id="2093579784">
                  <w:marLeft w:val="0"/>
                  <w:marRight w:val="0"/>
                  <w:marTop w:val="0"/>
                  <w:marBottom w:val="0"/>
                  <w:divBdr>
                    <w:top w:val="none" w:sz="0" w:space="0" w:color="auto"/>
                    <w:left w:val="none" w:sz="0" w:space="0" w:color="auto"/>
                    <w:bottom w:val="none" w:sz="0" w:space="0" w:color="auto"/>
                    <w:right w:val="none" w:sz="0" w:space="0" w:color="auto"/>
                  </w:divBdr>
                  <w:divsChild>
                    <w:div w:id="1641183727">
                      <w:marLeft w:val="0"/>
                      <w:marRight w:val="0"/>
                      <w:marTop w:val="0"/>
                      <w:marBottom w:val="0"/>
                      <w:divBdr>
                        <w:top w:val="none" w:sz="0" w:space="0" w:color="auto"/>
                        <w:left w:val="none" w:sz="0" w:space="0" w:color="auto"/>
                        <w:bottom w:val="none" w:sz="0" w:space="0" w:color="auto"/>
                        <w:right w:val="none" w:sz="0" w:space="0" w:color="auto"/>
                      </w:divBdr>
                      <w:divsChild>
                        <w:div w:id="1604847852">
                          <w:marLeft w:val="0"/>
                          <w:marRight w:val="0"/>
                          <w:marTop w:val="0"/>
                          <w:marBottom w:val="0"/>
                          <w:divBdr>
                            <w:top w:val="none" w:sz="0" w:space="0" w:color="auto"/>
                            <w:left w:val="none" w:sz="0" w:space="0" w:color="auto"/>
                            <w:bottom w:val="none" w:sz="0" w:space="0" w:color="auto"/>
                            <w:right w:val="none" w:sz="0" w:space="0" w:color="auto"/>
                          </w:divBdr>
                          <w:divsChild>
                            <w:div w:id="851799657">
                              <w:marLeft w:val="0"/>
                              <w:marRight w:val="0"/>
                              <w:marTop w:val="0"/>
                              <w:marBottom w:val="0"/>
                              <w:divBdr>
                                <w:top w:val="none" w:sz="0" w:space="0" w:color="auto"/>
                                <w:left w:val="none" w:sz="0" w:space="0" w:color="auto"/>
                                <w:bottom w:val="none" w:sz="0" w:space="0" w:color="auto"/>
                                <w:right w:val="none" w:sz="0" w:space="0" w:color="auto"/>
                              </w:divBdr>
                              <w:divsChild>
                                <w:div w:id="57829908">
                                  <w:marLeft w:val="0"/>
                                  <w:marRight w:val="0"/>
                                  <w:marTop w:val="0"/>
                                  <w:marBottom w:val="0"/>
                                  <w:divBdr>
                                    <w:top w:val="none" w:sz="0" w:space="0" w:color="auto"/>
                                    <w:left w:val="none" w:sz="0" w:space="0" w:color="auto"/>
                                    <w:bottom w:val="none" w:sz="0" w:space="0" w:color="auto"/>
                                    <w:right w:val="none" w:sz="0" w:space="0" w:color="auto"/>
                                  </w:divBdr>
                                  <w:divsChild>
                                    <w:div w:id="4467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100619">
      <w:bodyDiv w:val="1"/>
      <w:marLeft w:val="0"/>
      <w:marRight w:val="0"/>
      <w:marTop w:val="0"/>
      <w:marBottom w:val="0"/>
      <w:divBdr>
        <w:top w:val="none" w:sz="0" w:space="0" w:color="auto"/>
        <w:left w:val="none" w:sz="0" w:space="0" w:color="auto"/>
        <w:bottom w:val="none" w:sz="0" w:space="0" w:color="auto"/>
        <w:right w:val="none" w:sz="0" w:space="0" w:color="auto"/>
      </w:divBdr>
    </w:div>
    <w:div w:id="1758555836">
      <w:bodyDiv w:val="1"/>
      <w:marLeft w:val="0"/>
      <w:marRight w:val="0"/>
      <w:marTop w:val="0"/>
      <w:marBottom w:val="0"/>
      <w:divBdr>
        <w:top w:val="none" w:sz="0" w:space="0" w:color="auto"/>
        <w:left w:val="none" w:sz="0" w:space="0" w:color="auto"/>
        <w:bottom w:val="none" w:sz="0" w:space="0" w:color="auto"/>
        <w:right w:val="none" w:sz="0" w:space="0" w:color="auto"/>
      </w:divBdr>
      <w:divsChild>
        <w:div w:id="1549879295">
          <w:marLeft w:val="0"/>
          <w:marRight w:val="0"/>
          <w:marTop w:val="0"/>
          <w:marBottom w:val="0"/>
          <w:divBdr>
            <w:top w:val="none" w:sz="0" w:space="0" w:color="auto"/>
            <w:left w:val="none" w:sz="0" w:space="0" w:color="auto"/>
            <w:bottom w:val="none" w:sz="0" w:space="0" w:color="auto"/>
            <w:right w:val="none" w:sz="0" w:space="0" w:color="auto"/>
          </w:divBdr>
          <w:divsChild>
            <w:div w:id="1966346243">
              <w:marLeft w:val="0"/>
              <w:marRight w:val="0"/>
              <w:marTop w:val="0"/>
              <w:marBottom w:val="0"/>
              <w:divBdr>
                <w:top w:val="none" w:sz="0" w:space="0" w:color="auto"/>
                <w:left w:val="none" w:sz="0" w:space="0" w:color="auto"/>
                <w:bottom w:val="none" w:sz="0" w:space="0" w:color="auto"/>
                <w:right w:val="none" w:sz="0" w:space="0" w:color="auto"/>
              </w:divBdr>
              <w:divsChild>
                <w:div w:id="533923637">
                  <w:marLeft w:val="0"/>
                  <w:marRight w:val="0"/>
                  <w:marTop w:val="0"/>
                  <w:marBottom w:val="0"/>
                  <w:divBdr>
                    <w:top w:val="none" w:sz="0" w:space="0" w:color="auto"/>
                    <w:left w:val="none" w:sz="0" w:space="0" w:color="auto"/>
                    <w:bottom w:val="none" w:sz="0" w:space="0" w:color="auto"/>
                    <w:right w:val="none" w:sz="0" w:space="0" w:color="auto"/>
                  </w:divBdr>
                  <w:divsChild>
                    <w:div w:id="902985417">
                      <w:marLeft w:val="0"/>
                      <w:marRight w:val="0"/>
                      <w:marTop w:val="0"/>
                      <w:marBottom w:val="0"/>
                      <w:divBdr>
                        <w:top w:val="none" w:sz="0" w:space="0" w:color="auto"/>
                        <w:left w:val="none" w:sz="0" w:space="0" w:color="auto"/>
                        <w:bottom w:val="none" w:sz="0" w:space="0" w:color="auto"/>
                        <w:right w:val="none" w:sz="0" w:space="0" w:color="auto"/>
                      </w:divBdr>
                    </w:div>
                    <w:div w:id="7978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601E-7863-4084-9A47-91F7F5A6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1917</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CIABATTI Ilaria (SANCO)</dc:creator>
  <cp:lastModifiedBy>SWARTENBROUX Frank (SANTE)</cp:lastModifiedBy>
  <cp:revision>4</cp:revision>
  <dcterms:created xsi:type="dcterms:W3CDTF">2018-03-27T09:10:00Z</dcterms:created>
  <dcterms:modified xsi:type="dcterms:W3CDTF">2018-03-27T09:16:00Z</dcterms:modified>
</cp:coreProperties>
</file>