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F5281" w14:textId="77777777" w:rsidR="004C5E70" w:rsidRPr="001B1F2C" w:rsidRDefault="004C5E70" w:rsidP="001B1F2C">
      <w:pPr>
        <w:pStyle w:val="Heading1"/>
      </w:pPr>
      <w:r w:rsidRPr="001B1F2C">
        <w:t>CARTAGENA PROTOCOL ON BIOSAFETY</w:t>
      </w:r>
    </w:p>
    <w:p w14:paraId="39BCFBB3" w14:textId="77777777" w:rsidR="004C5E70" w:rsidRPr="004C5E70" w:rsidRDefault="004C5E70" w:rsidP="001B1F2C">
      <w:pPr>
        <w:pStyle w:val="Heading1"/>
        <w:rPr>
          <w:rFonts w:ascii="Times New Roman" w:hAnsi="Times New Roman"/>
        </w:rPr>
      </w:pPr>
      <w:r>
        <w:rPr>
          <w:rFonts w:ascii="Times New Roman" w:hAnsi="Times New Roman"/>
        </w:rPr>
        <w:t xml:space="preserve">NOTIFICATION </w:t>
      </w:r>
      <w:r w:rsidRPr="004C5E70">
        <w:rPr>
          <w:rFonts w:ascii="Times New Roman" w:hAnsi="Times New Roman"/>
        </w:rPr>
        <w:t>2016-009</w:t>
      </w:r>
    </w:p>
    <w:p w14:paraId="2210DDE4" w14:textId="77777777" w:rsidR="004C5E70" w:rsidRPr="004C5E70" w:rsidRDefault="004C5E70" w:rsidP="001B1F2C">
      <w:pPr>
        <w:pStyle w:val="Heading1"/>
        <w:rPr>
          <w:rFonts w:ascii="Times New Roman" w:hAnsi="Times New Roman"/>
        </w:rPr>
      </w:pPr>
      <w:r w:rsidRPr="004C5E70">
        <w:rPr>
          <w:rFonts w:ascii="Times New Roman" w:hAnsi="Times New Roman"/>
        </w:rPr>
        <w:t>SUBMISSION OF INFORMATION REQUESTED IN DECISION ON CONTAINED USE (ARTICLE 6)</w:t>
      </w:r>
    </w:p>
    <w:p w14:paraId="7C1D41D3" w14:textId="77777777" w:rsidR="004C5E70" w:rsidRPr="004C5E70" w:rsidRDefault="004C5E70" w:rsidP="001B1F2C">
      <w:pPr>
        <w:pStyle w:val="Heading1"/>
        <w:spacing w:after="480"/>
        <w:rPr>
          <w:rFonts w:ascii="Times New Roman" w:hAnsi="Times New Roman"/>
        </w:rPr>
      </w:pPr>
      <w:r w:rsidRPr="004C5E70">
        <w:rPr>
          <w:rFonts w:ascii="Times New Roman" w:hAnsi="Times New Roman"/>
        </w:rPr>
        <w:t>AUSTRALIAN COMMENTS, APRIL 2016</w:t>
      </w:r>
    </w:p>
    <w:p w14:paraId="09733F3B" w14:textId="77777777" w:rsidR="00C501D1" w:rsidRPr="006C14D4" w:rsidRDefault="00C501D1" w:rsidP="00C501D1">
      <w:pPr>
        <w:rPr>
          <w:rFonts w:ascii="Times New Roman" w:hAnsi="Times New Roman" w:cs="Times New Roman"/>
          <w:sz w:val="24"/>
          <w:szCs w:val="24"/>
        </w:rPr>
      </w:pPr>
      <w:r w:rsidRPr="006C14D4">
        <w:rPr>
          <w:rFonts w:ascii="Times New Roman" w:hAnsi="Times New Roman" w:cs="Times New Roman"/>
          <w:sz w:val="24"/>
          <w:szCs w:val="24"/>
        </w:rPr>
        <w:t>Australia is responding to the invitation to Parties to the Cartagena Protocol (the Protocol) and other Governments to submit information, tools, practical experience and guidance related to existing mechanisms and requirements regarding the contained use of Living Modified Organisms (LMOs or GMOs), including any specific requirement relating to the type and level of containment. Australia thanks the Secretariat for the opportunity to provide input on this issue.</w:t>
      </w:r>
    </w:p>
    <w:p w14:paraId="254D6C6A" w14:textId="4F710803" w:rsidR="00C501D1" w:rsidRPr="006C14D4" w:rsidRDefault="00C501D1" w:rsidP="00C501D1">
      <w:pPr>
        <w:rPr>
          <w:rFonts w:ascii="Times New Roman" w:hAnsi="Times New Roman" w:cs="Times New Roman"/>
          <w:sz w:val="24"/>
          <w:szCs w:val="24"/>
        </w:rPr>
      </w:pPr>
      <w:r w:rsidRPr="006C14D4">
        <w:rPr>
          <w:rFonts w:ascii="Times New Roman" w:hAnsi="Times New Roman" w:cs="Times New Roman"/>
          <w:sz w:val="24"/>
          <w:szCs w:val="24"/>
        </w:rPr>
        <w:t xml:space="preserve">The Australian Government supports science-based decision making and recognises that innovations in agricultural biotechnology can help support global efforts to meet challenges such as food security. Australia has </w:t>
      </w:r>
      <w:r w:rsidR="00BE30BE">
        <w:rPr>
          <w:rFonts w:ascii="Times New Roman" w:hAnsi="Times New Roman" w:cs="Times New Roman"/>
          <w:sz w:val="24"/>
          <w:szCs w:val="24"/>
        </w:rPr>
        <w:t xml:space="preserve">a </w:t>
      </w:r>
      <w:r w:rsidRPr="006C14D4">
        <w:rPr>
          <w:rFonts w:ascii="Times New Roman" w:hAnsi="Times New Roman" w:cs="Times New Roman"/>
          <w:sz w:val="24"/>
          <w:szCs w:val="24"/>
        </w:rPr>
        <w:t xml:space="preserve">rigorous framework for managing and regulating genetically modified (GM) crops and GM food for the protection of human health and the environment. This framework </w:t>
      </w:r>
      <w:r w:rsidR="00BE30BE">
        <w:rPr>
          <w:rFonts w:ascii="Times New Roman" w:hAnsi="Times New Roman" w:cs="Times New Roman"/>
          <w:sz w:val="24"/>
          <w:szCs w:val="24"/>
        </w:rPr>
        <w:t xml:space="preserve">is supported by legislation and </w:t>
      </w:r>
      <w:r w:rsidRPr="006C14D4">
        <w:rPr>
          <w:rFonts w:ascii="Times New Roman" w:hAnsi="Times New Roman" w:cs="Times New Roman"/>
          <w:sz w:val="24"/>
          <w:szCs w:val="24"/>
        </w:rPr>
        <w:t xml:space="preserve">includes the </w:t>
      </w:r>
      <w:r w:rsidRPr="006C14D4">
        <w:rPr>
          <w:rFonts w:ascii="Times New Roman" w:hAnsi="Times New Roman" w:cs="Times New Roman"/>
          <w:i/>
          <w:sz w:val="24"/>
          <w:szCs w:val="24"/>
        </w:rPr>
        <w:t>Gene Technology Act 2000</w:t>
      </w:r>
      <w:r w:rsidR="002D2BFD">
        <w:rPr>
          <w:rStyle w:val="FootnoteReference"/>
          <w:rFonts w:ascii="Times New Roman" w:hAnsi="Times New Roman" w:cs="Times New Roman"/>
          <w:i/>
          <w:sz w:val="24"/>
          <w:szCs w:val="24"/>
        </w:rPr>
        <w:footnoteReference w:id="1"/>
      </w:r>
      <w:r w:rsidRPr="006C14D4">
        <w:rPr>
          <w:rFonts w:ascii="Times New Roman" w:hAnsi="Times New Roman" w:cs="Times New Roman"/>
          <w:sz w:val="24"/>
          <w:szCs w:val="24"/>
        </w:rPr>
        <w:t>, the Australia New Zealand Food Standards Code</w:t>
      </w:r>
      <w:r w:rsidR="002D2BFD">
        <w:rPr>
          <w:rStyle w:val="FootnoteReference"/>
          <w:rFonts w:ascii="Times New Roman" w:hAnsi="Times New Roman" w:cs="Times New Roman"/>
          <w:sz w:val="24"/>
          <w:szCs w:val="24"/>
        </w:rPr>
        <w:footnoteReference w:id="2"/>
      </w:r>
      <w:r w:rsidRPr="006C14D4">
        <w:rPr>
          <w:rFonts w:ascii="Times New Roman" w:hAnsi="Times New Roman" w:cs="Times New Roman"/>
          <w:sz w:val="24"/>
          <w:szCs w:val="24"/>
        </w:rPr>
        <w:t xml:space="preserve">, the </w:t>
      </w:r>
      <w:r w:rsidRPr="006C14D4">
        <w:rPr>
          <w:rFonts w:ascii="Times New Roman" w:hAnsi="Times New Roman" w:cs="Times New Roman"/>
          <w:i/>
          <w:sz w:val="24"/>
          <w:szCs w:val="24"/>
        </w:rPr>
        <w:t>Biosecurity Act 2015</w:t>
      </w:r>
      <w:r w:rsidR="002D2BFD" w:rsidRPr="00506632">
        <w:rPr>
          <w:rStyle w:val="FootnoteReference"/>
          <w:rFonts w:ascii="Times New Roman" w:hAnsi="Times New Roman" w:cs="Times New Roman"/>
          <w:sz w:val="24"/>
          <w:szCs w:val="24"/>
        </w:rPr>
        <w:footnoteReference w:id="3"/>
      </w:r>
      <w:r w:rsidRPr="00506632">
        <w:rPr>
          <w:rFonts w:ascii="Times New Roman" w:hAnsi="Times New Roman" w:cs="Times New Roman"/>
          <w:sz w:val="24"/>
          <w:szCs w:val="24"/>
        </w:rPr>
        <w:t>,</w:t>
      </w:r>
      <w:r w:rsidRPr="006C14D4">
        <w:rPr>
          <w:rFonts w:ascii="Times New Roman" w:hAnsi="Times New Roman" w:cs="Times New Roman"/>
          <w:sz w:val="24"/>
          <w:szCs w:val="24"/>
        </w:rPr>
        <w:t xml:space="preserve"> the </w:t>
      </w:r>
      <w:r w:rsidRPr="006C14D4">
        <w:rPr>
          <w:rFonts w:ascii="Times New Roman" w:hAnsi="Times New Roman" w:cs="Times New Roman"/>
          <w:i/>
          <w:sz w:val="24"/>
          <w:szCs w:val="24"/>
        </w:rPr>
        <w:t>Imported Food Control Act 1992</w:t>
      </w:r>
      <w:r w:rsidR="002D2BFD" w:rsidRPr="00E92C35">
        <w:rPr>
          <w:rStyle w:val="FootnoteReference"/>
          <w:rFonts w:ascii="Times New Roman" w:hAnsi="Times New Roman" w:cs="Times New Roman"/>
          <w:sz w:val="24"/>
          <w:szCs w:val="24"/>
        </w:rPr>
        <w:footnoteReference w:id="4"/>
      </w:r>
      <w:r w:rsidRPr="005E4FB7">
        <w:rPr>
          <w:rFonts w:ascii="Times New Roman" w:hAnsi="Times New Roman" w:cs="Times New Roman"/>
          <w:sz w:val="24"/>
          <w:szCs w:val="24"/>
        </w:rPr>
        <w:t xml:space="preserve"> </w:t>
      </w:r>
      <w:r w:rsidRPr="006C14D4">
        <w:rPr>
          <w:rFonts w:ascii="Times New Roman" w:hAnsi="Times New Roman" w:cs="Times New Roman"/>
          <w:sz w:val="24"/>
          <w:szCs w:val="24"/>
        </w:rPr>
        <w:t xml:space="preserve">and the </w:t>
      </w:r>
      <w:r w:rsidRPr="006C14D4">
        <w:rPr>
          <w:rFonts w:ascii="Times New Roman" w:hAnsi="Times New Roman" w:cs="Times New Roman"/>
          <w:i/>
          <w:sz w:val="24"/>
          <w:szCs w:val="24"/>
        </w:rPr>
        <w:t>Environment Protection and Biodiversity Conservation Act 1999</w:t>
      </w:r>
      <w:r w:rsidR="002D2BFD" w:rsidRPr="00506632">
        <w:rPr>
          <w:rStyle w:val="FootnoteReference"/>
          <w:rFonts w:ascii="Times New Roman" w:hAnsi="Times New Roman" w:cs="Times New Roman"/>
          <w:sz w:val="24"/>
          <w:szCs w:val="24"/>
        </w:rPr>
        <w:footnoteReference w:id="5"/>
      </w:r>
      <w:r w:rsidR="009E5B32">
        <w:rPr>
          <w:rFonts w:ascii="Times New Roman" w:hAnsi="Times New Roman" w:cs="Times New Roman"/>
          <w:sz w:val="24"/>
          <w:szCs w:val="24"/>
        </w:rPr>
        <w:t>(the EPBC Act)</w:t>
      </w:r>
      <w:r w:rsidRPr="006C14D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644D7E8" w14:textId="735F4CBE" w:rsidR="00C501D1" w:rsidRPr="005E4FB7" w:rsidRDefault="00C501D1" w:rsidP="00C501D1">
      <w:pPr>
        <w:rPr>
          <w:rFonts w:ascii="Times New Roman" w:hAnsi="Times New Roman" w:cs="Times New Roman"/>
          <w:sz w:val="24"/>
          <w:szCs w:val="24"/>
        </w:rPr>
      </w:pPr>
      <w:r w:rsidRPr="00C501D1">
        <w:rPr>
          <w:rFonts w:ascii="Times New Roman" w:hAnsi="Times New Roman" w:cs="Times New Roman"/>
          <w:sz w:val="24"/>
          <w:szCs w:val="24"/>
        </w:rPr>
        <w:t>As well as managing and regulating food and crop GMOs, Australia also regulates all GMOs involved in research</w:t>
      </w:r>
      <w:r w:rsidR="00E2779A">
        <w:rPr>
          <w:rFonts w:ascii="Times New Roman" w:hAnsi="Times New Roman" w:cs="Times New Roman"/>
          <w:sz w:val="24"/>
          <w:szCs w:val="24"/>
        </w:rPr>
        <w:t xml:space="preserve"> (such as </w:t>
      </w:r>
      <w:r w:rsidRPr="00C501D1">
        <w:rPr>
          <w:rFonts w:ascii="Times New Roman" w:hAnsi="Times New Roman" w:cs="Times New Roman"/>
          <w:sz w:val="24"/>
          <w:szCs w:val="24"/>
        </w:rPr>
        <w:t>health, medical, veterinary and agricultural</w:t>
      </w:r>
      <w:r w:rsidR="00E2779A">
        <w:rPr>
          <w:rFonts w:ascii="Times New Roman" w:hAnsi="Times New Roman" w:cs="Times New Roman"/>
          <w:sz w:val="24"/>
          <w:szCs w:val="24"/>
        </w:rPr>
        <w:t>)</w:t>
      </w:r>
      <w:r w:rsidRPr="00C501D1">
        <w:rPr>
          <w:rFonts w:ascii="Times New Roman" w:hAnsi="Times New Roman" w:cs="Times New Roman"/>
          <w:sz w:val="24"/>
          <w:szCs w:val="24"/>
        </w:rPr>
        <w:t xml:space="preserve"> as well as the commercialisation of any resulting</w:t>
      </w:r>
      <w:r>
        <w:rPr>
          <w:rFonts w:ascii="Times New Roman" w:hAnsi="Times New Roman" w:cs="Times New Roman"/>
          <w:sz w:val="24"/>
          <w:szCs w:val="24"/>
        </w:rPr>
        <w:t xml:space="preserve"> GMO products. These end products may also</w:t>
      </w:r>
      <w:r w:rsidR="00590E6C">
        <w:rPr>
          <w:rFonts w:ascii="Times New Roman" w:hAnsi="Times New Roman" w:cs="Times New Roman"/>
          <w:sz w:val="24"/>
          <w:szCs w:val="24"/>
        </w:rPr>
        <w:t xml:space="preserve"> </w:t>
      </w:r>
      <w:r>
        <w:rPr>
          <w:rFonts w:ascii="Times New Roman" w:hAnsi="Times New Roman" w:cs="Times New Roman"/>
          <w:sz w:val="24"/>
          <w:szCs w:val="24"/>
        </w:rPr>
        <w:t xml:space="preserve">be regulated under the </w:t>
      </w:r>
      <w:r w:rsidRPr="00E92C35">
        <w:rPr>
          <w:rFonts w:ascii="Times New Roman" w:hAnsi="Times New Roman" w:cs="Times New Roman"/>
          <w:i/>
          <w:sz w:val="24"/>
          <w:szCs w:val="24"/>
        </w:rPr>
        <w:t>Industrial Chemicals (Notification and Assessment) Act 1989</w:t>
      </w:r>
      <w:r w:rsidR="002D2BFD">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E52791" w:rsidRPr="00B71298">
        <w:rPr>
          <w:rFonts w:ascii="Times New Roman" w:hAnsi="Times New Roman" w:cs="Times New Roman"/>
          <w:i/>
          <w:sz w:val="24"/>
          <w:szCs w:val="24"/>
        </w:rPr>
        <w:t>Agricultural and Veterinary Chemicals Code Act 1994</w:t>
      </w:r>
      <w:r w:rsidR="002D2BFD" w:rsidRPr="00506632">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and the </w:t>
      </w:r>
      <w:r w:rsidR="002D2BFD" w:rsidRPr="00E92C35">
        <w:rPr>
          <w:rFonts w:ascii="Times New Roman" w:hAnsi="Times New Roman" w:cs="Times New Roman"/>
          <w:i/>
          <w:sz w:val="24"/>
          <w:szCs w:val="24"/>
        </w:rPr>
        <w:t>Therapeutic Goods Act 1989</w:t>
      </w:r>
      <w:r w:rsidR="002D2BFD" w:rsidRPr="005E4FB7">
        <w:rPr>
          <w:rStyle w:val="FootnoteReference"/>
          <w:rFonts w:ascii="Times New Roman" w:hAnsi="Times New Roman" w:cs="Times New Roman"/>
          <w:sz w:val="24"/>
          <w:szCs w:val="24"/>
        </w:rPr>
        <w:footnoteReference w:id="8"/>
      </w:r>
      <w:r w:rsidR="00590E6C" w:rsidRPr="00E92C35">
        <w:rPr>
          <w:rFonts w:ascii="Times New Roman" w:hAnsi="Times New Roman" w:cs="Times New Roman"/>
          <w:sz w:val="24"/>
          <w:szCs w:val="24"/>
        </w:rPr>
        <w:t xml:space="preserve"> depending on their intended </w:t>
      </w:r>
      <w:r w:rsidR="00590E6C">
        <w:rPr>
          <w:rFonts w:ascii="Times New Roman" w:hAnsi="Times New Roman" w:cs="Times New Roman"/>
          <w:sz w:val="24"/>
          <w:szCs w:val="24"/>
        </w:rPr>
        <w:t xml:space="preserve">end </w:t>
      </w:r>
      <w:r w:rsidR="00590E6C" w:rsidRPr="00E92C35">
        <w:rPr>
          <w:rFonts w:ascii="Times New Roman" w:hAnsi="Times New Roman" w:cs="Times New Roman"/>
          <w:sz w:val="24"/>
          <w:szCs w:val="24"/>
        </w:rPr>
        <w:t>use.</w:t>
      </w:r>
    </w:p>
    <w:p w14:paraId="3A1B9801" w14:textId="3E4D3A2D" w:rsidR="00C501D1" w:rsidRPr="00B11FBA" w:rsidRDefault="00C501D1" w:rsidP="00C501D1">
      <w:pPr>
        <w:rPr>
          <w:rFonts w:cs="Times New Roman"/>
          <w:szCs w:val="24"/>
        </w:rPr>
      </w:pPr>
      <w:r w:rsidRPr="006C14D4">
        <w:rPr>
          <w:rFonts w:ascii="Times New Roman" w:hAnsi="Times New Roman" w:cs="Times New Roman"/>
          <w:sz w:val="24"/>
          <w:szCs w:val="24"/>
        </w:rPr>
        <w:t xml:space="preserve">The biosafety contained use field is a well-established discipline in existence for more than 30 years. Australia is of the view that the principles of containment that apply to non-transgenic human, animal and plant pathogens pose similar or greater risks (e.g. biosecurity) to LMOs and are transferable to different types of organisms, including LMOs. Therefore, </w:t>
      </w:r>
      <w:r w:rsidR="00BE30BE">
        <w:rPr>
          <w:rFonts w:ascii="Times New Roman" w:hAnsi="Times New Roman" w:cs="Times New Roman"/>
          <w:sz w:val="24"/>
          <w:szCs w:val="24"/>
        </w:rPr>
        <w:t xml:space="preserve">Australia considers </w:t>
      </w:r>
      <w:r w:rsidRPr="006C14D4">
        <w:rPr>
          <w:rFonts w:ascii="Times New Roman" w:hAnsi="Times New Roman" w:cs="Times New Roman"/>
          <w:sz w:val="24"/>
          <w:szCs w:val="24"/>
        </w:rPr>
        <w:t xml:space="preserve">separate guidance for LMOs under the Cartagena Protocol for Biosafety </w:t>
      </w:r>
      <w:r w:rsidR="00BE30BE">
        <w:rPr>
          <w:rFonts w:ascii="Times New Roman" w:hAnsi="Times New Roman" w:cs="Times New Roman"/>
          <w:sz w:val="24"/>
          <w:szCs w:val="24"/>
        </w:rPr>
        <w:t>a</w:t>
      </w:r>
      <w:r w:rsidRPr="006C14D4">
        <w:rPr>
          <w:rFonts w:ascii="Times New Roman" w:hAnsi="Times New Roman" w:cs="Times New Roman"/>
          <w:sz w:val="24"/>
          <w:szCs w:val="24"/>
        </w:rPr>
        <w:t xml:space="preserve">s unnecessary, and may create conflicting requirements </w:t>
      </w:r>
      <w:r>
        <w:rPr>
          <w:rFonts w:ascii="Times New Roman" w:hAnsi="Times New Roman" w:cs="Times New Roman"/>
          <w:sz w:val="24"/>
          <w:szCs w:val="24"/>
        </w:rPr>
        <w:t xml:space="preserve">for those countries </w:t>
      </w:r>
      <w:r w:rsidRPr="006C14D4">
        <w:rPr>
          <w:rFonts w:ascii="Times New Roman" w:hAnsi="Times New Roman" w:cs="Times New Roman"/>
          <w:sz w:val="24"/>
          <w:szCs w:val="24"/>
        </w:rPr>
        <w:t xml:space="preserve">with national regulations already in place. Additionally, there is extensive international, regional and </w:t>
      </w:r>
      <w:r w:rsidRPr="006C14D4">
        <w:rPr>
          <w:rFonts w:ascii="Times New Roman" w:hAnsi="Times New Roman" w:cs="Times New Roman"/>
          <w:sz w:val="24"/>
          <w:szCs w:val="24"/>
        </w:rPr>
        <w:lastRenderedPageBreak/>
        <w:t>national/regional guidance and regulations for the handling, transport, packaging and identification of biological organisms under contained use, including LMOs. Submissions to this call for information will be a useful mechanism for countries to share their existing guidance and regulatory materials.</w:t>
      </w:r>
    </w:p>
    <w:p w14:paraId="4FA32518" w14:textId="77777777" w:rsidR="004E511B" w:rsidRDefault="004E511B" w:rsidP="004E511B">
      <w:pPr>
        <w:pStyle w:val="Heading2"/>
      </w:pPr>
      <w:r>
        <w:t>Gene Technology Regulation</w:t>
      </w:r>
    </w:p>
    <w:p w14:paraId="40D2F58A" w14:textId="06D4CCC7" w:rsidR="00190EBA" w:rsidRPr="00927CA1" w:rsidRDefault="005E4FB7" w:rsidP="004C5E70">
      <w:pPr>
        <w:tabs>
          <w:tab w:val="num" w:pos="1148"/>
        </w:tabs>
        <w:autoSpaceDE w:val="0"/>
        <w:autoSpaceDN w:val="0"/>
        <w:adjustRightInd w:val="0"/>
        <w:spacing w:before="120" w:after="120"/>
        <w:rPr>
          <w:rFonts w:ascii="Times New Roman" w:hAnsi="Times New Roman" w:cs="Times New Roman"/>
          <w:sz w:val="24"/>
          <w:szCs w:val="24"/>
        </w:rPr>
      </w:pPr>
      <w:r w:rsidRPr="005E4FB7">
        <w:rPr>
          <w:rFonts w:ascii="Times New Roman" w:hAnsi="Times New Roman" w:cs="Times New Roman"/>
          <w:sz w:val="24"/>
          <w:szCs w:val="24"/>
        </w:rPr>
        <w:t xml:space="preserve">In Australia, all dealings with genetically modified organisms (GMOs) (equivalent to living </w:t>
      </w:r>
      <w:r w:rsidRPr="005E4FB7">
        <w:rPr>
          <w:rFonts w:ascii="Times New Roman" w:hAnsi="Times New Roman" w:cs="Times New Roman"/>
          <w:sz w:val="24"/>
          <w:szCs w:val="24"/>
        </w:rPr>
        <w:t>modified organisms (LMOs)) including the containment requirements for the transport, storage and disposal of commercial GM crops</w:t>
      </w:r>
      <w:r w:rsidR="0053213E">
        <w:rPr>
          <w:rFonts w:ascii="Times New Roman" w:hAnsi="Times New Roman" w:cs="Times New Roman"/>
          <w:sz w:val="24"/>
          <w:szCs w:val="24"/>
        </w:rPr>
        <w:t xml:space="preserve"> and vaccines,</w:t>
      </w:r>
      <w:r w:rsidRPr="005E4FB7">
        <w:rPr>
          <w:rFonts w:ascii="Times New Roman" w:hAnsi="Times New Roman" w:cs="Times New Roman"/>
          <w:sz w:val="24"/>
          <w:szCs w:val="24"/>
        </w:rPr>
        <w:t xml:space="preserve"> field trials</w:t>
      </w:r>
      <w:r w:rsidR="0053213E">
        <w:rPr>
          <w:rFonts w:ascii="Times New Roman" w:hAnsi="Times New Roman" w:cs="Times New Roman"/>
          <w:sz w:val="24"/>
          <w:szCs w:val="24"/>
        </w:rPr>
        <w:t xml:space="preserve"> and other research</w:t>
      </w:r>
      <w:r w:rsidRPr="005E4FB7">
        <w:rPr>
          <w:rFonts w:ascii="Times New Roman" w:hAnsi="Times New Roman" w:cs="Times New Roman"/>
          <w:sz w:val="24"/>
          <w:szCs w:val="24"/>
        </w:rPr>
        <w:t xml:space="preserve">, are prohibited unless authorised by the Gene Technology Regulator (the Regulator) </w:t>
      </w:r>
      <w:r w:rsidR="00190EBA" w:rsidRPr="00927CA1">
        <w:rPr>
          <w:rFonts w:ascii="Times New Roman" w:hAnsi="Times New Roman" w:cs="Times New Roman"/>
          <w:sz w:val="24"/>
          <w:szCs w:val="24"/>
        </w:rPr>
        <w:t xml:space="preserve">under the </w:t>
      </w:r>
      <w:r w:rsidR="00190EBA" w:rsidRPr="00E85982">
        <w:rPr>
          <w:rFonts w:ascii="Times New Roman" w:hAnsi="Times New Roman" w:cs="Times New Roman"/>
          <w:i/>
          <w:sz w:val="24"/>
          <w:szCs w:val="24"/>
        </w:rPr>
        <w:t>Gene Technology Act 2000</w:t>
      </w:r>
      <w:r w:rsidR="00D57E72" w:rsidRPr="002D2F9B">
        <w:rPr>
          <w:rFonts w:ascii="Times New Roman" w:hAnsi="Times New Roman" w:cs="Times New Roman"/>
          <w:sz w:val="24"/>
          <w:szCs w:val="24"/>
        </w:rPr>
        <w:t xml:space="preserve"> </w:t>
      </w:r>
      <w:r w:rsidR="00D57E72" w:rsidRPr="00927CA1">
        <w:rPr>
          <w:rFonts w:ascii="Times New Roman" w:hAnsi="Times New Roman" w:cs="Times New Roman"/>
          <w:sz w:val="24"/>
          <w:szCs w:val="24"/>
        </w:rPr>
        <w:t>(the GT Act)</w:t>
      </w:r>
      <w:r w:rsidR="00190EBA" w:rsidRPr="00927CA1">
        <w:rPr>
          <w:rFonts w:ascii="Times New Roman" w:hAnsi="Times New Roman" w:cs="Times New Roman"/>
          <w:sz w:val="24"/>
          <w:szCs w:val="24"/>
        </w:rPr>
        <w:t xml:space="preserve">. </w:t>
      </w:r>
      <w:r w:rsidR="00190EBA" w:rsidRPr="00D57E72">
        <w:rPr>
          <w:rFonts w:ascii="Times New Roman" w:hAnsi="Times New Roman" w:cs="Times New Roman"/>
          <w:sz w:val="24"/>
          <w:szCs w:val="24"/>
        </w:rPr>
        <w:t xml:space="preserve">The object of the </w:t>
      </w:r>
      <w:r w:rsidR="00D57E72">
        <w:rPr>
          <w:rFonts w:ascii="Times New Roman" w:hAnsi="Times New Roman" w:cs="Times New Roman"/>
          <w:sz w:val="24"/>
          <w:szCs w:val="24"/>
        </w:rPr>
        <w:t xml:space="preserve">GT </w:t>
      </w:r>
      <w:r w:rsidR="00190EBA" w:rsidRPr="00D57E72">
        <w:rPr>
          <w:rFonts w:ascii="Times New Roman" w:hAnsi="Times New Roman" w:cs="Times New Roman"/>
          <w:sz w:val="24"/>
          <w:szCs w:val="24"/>
        </w:rPr>
        <w:t>Act</w:t>
      </w:r>
      <w:r w:rsidR="00D57E72" w:rsidRPr="00D57E72">
        <w:rPr>
          <w:rFonts w:ascii="Times New Roman" w:hAnsi="Times New Roman" w:cs="Times New Roman"/>
          <w:sz w:val="24"/>
          <w:szCs w:val="24"/>
        </w:rPr>
        <w:t xml:space="preserve"> is</w:t>
      </w:r>
      <w:r w:rsidR="00190EBA" w:rsidRPr="00D57E72">
        <w:rPr>
          <w:rFonts w:ascii="Times New Roman" w:hAnsi="Times New Roman" w:cs="Times New Roman"/>
          <w:sz w:val="24"/>
          <w:szCs w:val="24"/>
        </w:rPr>
        <w:t xml:space="preserve"> ‘</w:t>
      </w:r>
      <w:r w:rsidR="00190EBA" w:rsidRPr="000C1C99">
        <w:rPr>
          <w:rFonts w:ascii="Times New Roman" w:hAnsi="Times New Roman" w:cs="Times New Roman"/>
          <w:i/>
          <w:sz w:val="24"/>
          <w:szCs w:val="24"/>
        </w:rPr>
        <w:t>to protect the health and safety of people, and to protect the environment, by identifying risk</w:t>
      </w:r>
      <w:r w:rsidR="002F7A1B" w:rsidRPr="000C1C99">
        <w:rPr>
          <w:rFonts w:ascii="Times New Roman" w:hAnsi="Times New Roman" w:cs="Times New Roman"/>
          <w:i/>
          <w:sz w:val="24"/>
          <w:szCs w:val="24"/>
        </w:rPr>
        <w:t>s</w:t>
      </w:r>
      <w:r w:rsidR="00190EBA" w:rsidRPr="000C1C99">
        <w:rPr>
          <w:rFonts w:ascii="Times New Roman" w:hAnsi="Times New Roman" w:cs="Times New Roman"/>
          <w:i/>
          <w:sz w:val="24"/>
          <w:szCs w:val="24"/>
        </w:rPr>
        <w:t xml:space="preserve"> posed by </w:t>
      </w:r>
      <w:r w:rsidR="00190EBA" w:rsidRPr="000C1C99">
        <w:rPr>
          <w:rFonts w:ascii="Times New Roman" w:hAnsi="Times New Roman" w:cs="Times New Roman"/>
          <w:i/>
          <w:sz w:val="24"/>
          <w:szCs w:val="24"/>
        </w:rPr>
        <w:t>or as a result of gene technology, and by managing those risks through regulatin</w:t>
      </w:r>
      <w:r w:rsidR="004979B3" w:rsidRPr="000C1C99">
        <w:rPr>
          <w:rFonts w:ascii="Times New Roman" w:hAnsi="Times New Roman" w:cs="Times New Roman"/>
          <w:i/>
          <w:sz w:val="24"/>
          <w:szCs w:val="24"/>
        </w:rPr>
        <w:t>g certain dealings with GMOs</w:t>
      </w:r>
      <w:r w:rsidR="004979B3">
        <w:rPr>
          <w:rFonts w:ascii="Times New Roman" w:hAnsi="Times New Roman" w:cs="Times New Roman"/>
          <w:sz w:val="24"/>
          <w:szCs w:val="24"/>
        </w:rPr>
        <w:t xml:space="preserve">’. </w:t>
      </w:r>
      <w:r w:rsidR="00190EBA" w:rsidRPr="00927CA1">
        <w:rPr>
          <w:rFonts w:ascii="Times New Roman" w:hAnsi="Times New Roman" w:cs="Times New Roman"/>
          <w:sz w:val="24"/>
          <w:szCs w:val="24"/>
        </w:rPr>
        <w:t>Australia’s GMO regulatory system is administered by the Gene Technology Regulator</w:t>
      </w:r>
      <w:r w:rsidR="00927CA1" w:rsidRPr="00927CA1">
        <w:rPr>
          <w:rFonts w:ascii="Times New Roman" w:hAnsi="Times New Roman" w:cs="Times New Roman"/>
          <w:sz w:val="24"/>
          <w:szCs w:val="24"/>
        </w:rPr>
        <w:t xml:space="preserve"> (the Regulator)</w:t>
      </w:r>
      <w:r w:rsidR="00190EBA" w:rsidRPr="00927CA1">
        <w:rPr>
          <w:rFonts w:ascii="Times New Roman" w:hAnsi="Times New Roman" w:cs="Times New Roman"/>
          <w:sz w:val="24"/>
          <w:szCs w:val="24"/>
        </w:rPr>
        <w:t>, supported by the Office of the Gene Technology Regulator (OGTR).</w:t>
      </w:r>
    </w:p>
    <w:p w14:paraId="78229794" w14:textId="77777777" w:rsidR="00D21CE4" w:rsidRDefault="00D21CE4" w:rsidP="00D21CE4">
      <w:pPr>
        <w:tabs>
          <w:tab w:val="num" w:pos="1148"/>
        </w:tabs>
        <w:autoSpaceDE w:val="0"/>
        <w:autoSpaceDN w:val="0"/>
        <w:adjustRightInd w:val="0"/>
        <w:spacing w:before="120" w:after="240"/>
        <w:rPr>
          <w:rFonts w:ascii="Times New Roman" w:hAnsi="Times New Roman" w:cs="Times New Roman"/>
          <w:sz w:val="24"/>
          <w:szCs w:val="24"/>
        </w:rPr>
      </w:pPr>
      <w:r w:rsidRPr="00927CA1">
        <w:rPr>
          <w:rFonts w:ascii="Times New Roman" w:hAnsi="Times New Roman" w:cs="Times New Roman"/>
          <w:sz w:val="24"/>
          <w:szCs w:val="24"/>
        </w:rPr>
        <w:t xml:space="preserve">Sound science and rigorous risk analysis underpin the Regulator’s decisions under the </w:t>
      </w:r>
      <w:r>
        <w:rPr>
          <w:rFonts w:ascii="Times New Roman" w:hAnsi="Times New Roman" w:cs="Times New Roman"/>
          <w:sz w:val="24"/>
          <w:szCs w:val="24"/>
        </w:rPr>
        <w:t xml:space="preserve">GT </w:t>
      </w:r>
      <w:r w:rsidRPr="00927CA1">
        <w:rPr>
          <w:rFonts w:ascii="Times New Roman" w:hAnsi="Times New Roman" w:cs="Times New Roman"/>
          <w:sz w:val="24"/>
          <w:szCs w:val="24"/>
        </w:rPr>
        <w:t xml:space="preserve">Act, and are central to the regulatory activities undertaken by the Regulator. The staff of the </w:t>
      </w:r>
      <w:r>
        <w:rPr>
          <w:rFonts w:ascii="Times New Roman" w:hAnsi="Times New Roman" w:cs="Times New Roman"/>
          <w:sz w:val="24"/>
          <w:szCs w:val="24"/>
        </w:rPr>
        <w:t>OGTR</w:t>
      </w:r>
      <w:r w:rsidRPr="00927CA1">
        <w:rPr>
          <w:rFonts w:ascii="Times New Roman" w:hAnsi="Times New Roman" w:cs="Times New Roman"/>
          <w:sz w:val="24"/>
          <w:szCs w:val="24"/>
        </w:rPr>
        <w:t xml:space="preserve"> support the Regulator by providing scientific and technical advice and conducting risk analyses</w:t>
      </w:r>
      <w:r>
        <w:rPr>
          <w:rFonts w:ascii="Times New Roman" w:hAnsi="Times New Roman" w:cs="Times New Roman"/>
          <w:sz w:val="24"/>
          <w:szCs w:val="24"/>
        </w:rPr>
        <w:t>. Each licence application is subject to a comprehensive, science-based, case-by-case analysis process</w:t>
      </w:r>
      <w:r w:rsidR="00812B84">
        <w:rPr>
          <w:rFonts w:ascii="Times New Roman" w:hAnsi="Times New Roman" w:cs="Times New Roman"/>
          <w:sz w:val="24"/>
          <w:szCs w:val="24"/>
        </w:rPr>
        <w:t xml:space="preserve"> which includes public consultation</w:t>
      </w:r>
      <w:r>
        <w:rPr>
          <w:rFonts w:ascii="Times New Roman" w:hAnsi="Times New Roman" w:cs="Times New Roman"/>
          <w:sz w:val="24"/>
          <w:szCs w:val="24"/>
        </w:rPr>
        <w:t xml:space="preserve">. Risk analysis is undertaken in accordance with the Regulator’s </w:t>
      </w:r>
      <w:r w:rsidRPr="00B62312">
        <w:rPr>
          <w:rFonts w:ascii="Times New Roman" w:hAnsi="Times New Roman" w:cs="Times New Roman"/>
          <w:i/>
          <w:sz w:val="24"/>
          <w:szCs w:val="24"/>
        </w:rPr>
        <w:t>Risk Analysis Framework</w:t>
      </w:r>
      <w:r w:rsidR="00812B84">
        <w:rPr>
          <w:rStyle w:val="FootnoteReference"/>
          <w:rFonts w:ascii="Times New Roman" w:hAnsi="Times New Roman" w:cs="Times New Roman"/>
          <w:sz w:val="24"/>
          <w:szCs w:val="24"/>
        </w:rPr>
        <w:footnoteReference w:id="9"/>
      </w:r>
      <w:r>
        <w:rPr>
          <w:rFonts w:ascii="Times New Roman" w:hAnsi="Times New Roman" w:cs="Times New Roman"/>
          <w:sz w:val="24"/>
          <w:szCs w:val="24"/>
        </w:rPr>
        <w:t>.</w:t>
      </w:r>
    </w:p>
    <w:p w14:paraId="621E10E9" w14:textId="77777777" w:rsidR="004979B3" w:rsidRPr="008F7EA2" w:rsidRDefault="004979B3" w:rsidP="004979B3">
      <w:pPr>
        <w:tabs>
          <w:tab w:val="num" w:pos="1148"/>
        </w:tabs>
        <w:autoSpaceDE w:val="0"/>
        <w:autoSpaceDN w:val="0"/>
        <w:adjustRightInd w:val="0"/>
        <w:spacing w:before="120" w:after="120"/>
        <w:rPr>
          <w:rFonts w:ascii="Times New Roman" w:hAnsi="Times New Roman" w:cs="Times New Roman"/>
          <w:sz w:val="24"/>
          <w:szCs w:val="24"/>
        </w:rPr>
      </w:pPr>
      <w:r w:rsidRPr="008F7EA2">
        <w:rPr>
          <w:rFonts w:ascii="Times New Roman" w:hAnsi="Times New Roman" w:cs="Times New Roman"/>
          <w:sz w:val="24"/>
          <w:szCs w:val="24"/>
        </w:rPr>
        <w:t xml:space="preserve">The GT Act </w:t>
      </w:r>
      <w:r w:rsidR="002E5162">
        <w:rPr>
          <w:rFonts w:ascii="Times New Roman" w:hAnsi="Times New Roman" w:cs="Times New Roman"/>
          <w:sz w:val="24"/>
          <w:szCs w:val="24"/>
        </w:rPr>
        <w:t>requires</w:t>
      </w:r>
      <w:r w:rsidRPr="008F7EA2">
        <w:rPr>
          <w:rFonts w:ascii="Times New Roman" w:hAnsi="Times New Roman" w:cs="Times New Roman"/>
          <w:sz w:val="24"/>
          <w:szCs w:val="24"/>
        </w:rPr>
        <w:t xml:space="preserve"> that dealing</w:t>
      </w:r>
      <w:r w:rsidR="002E5162">
        <w:rPr>
          <w:rFonts w:ascii="Times New Roman" w:hAnsi="Times New Roman" w:cs="Times New Roman"/>
          <w:sz w:val="24"/>
          <w:szCs w:val="24"/>
        </w:rPr>
        <w:t>s</w:t>
      </w:r>
      <w:r w:rsidRPr="008F7EA2">
        <w:rPr>
          <w:rFonts w:ascii="Times New Roman" w:hAnsi="Times New Roman" w:cs="Times New Roman"/>
          <w:sz w:val="24"/>
          <w:szCs w:val="24"/>
        </w:rPr>
        <w:t xml:space="preserve"> with GMO</w:t>
      </w:r>
      <w:r w:rsidR="002E5162">
        <w:rPr>
          <w:rFonts w:ascii="Times New Roman" w:hAnsi="Times New Roman" w:cs="Times New Roman"/>
          <w:sz w:val="24"/>
          <w:szCs w:val="24"/>
        </w:rPr>
        <w:t>s</w:t>
      </w:r>
      <w:r w:rsidRPr="008F7EA2">
        <w:rPr>
          <w:rFonts w:ascii="Times New Roman" w:hAnsi="Times New Roman" w:cs="Times New Roman"/>
          <w:sz w:val="24"/>
          <w:szCs w:val="24"/>
        </w:rPr>
        <w:t xml:space="preserve"> </w:t>
      </w:r>
      <w:r w:rsidR="002E5162">
        <w:rPr>
          <w:rFonts w:ascii="Times New Roman" w:hAnsi="Times New Roman" w:cs="Times New Roman"/>
          <w:sz w:val="24"/>
          <w:szCs w:val="24"/>
        </w:rPr>
        <w:t>need authorisation as</w:t>
      </w:r>
      <w:r>
        <w:rPr>
          <w:rFonts w:ascii="Times New Roman" w:hAnsi="Times New Roman" w:cs="Times New Roman"/>
          <w:sz w:val="24"/>
          <w:szCs w:val="24"/>
        </w:rPr>
        <w:t>:</w:t>
      </w:r>
    </w:p>
    <w:p w14:paraId="367B9622" w14:textId="77777777" w:rsidR="004979B3" w:rsidRPr="008F7EA2" w:rsidRDefault="004979B3" w:rsidP="004979B3">
      <w:pPr>
        <w:widowControl w:val="0"/>
        <w:numPr>
          <w:ilvl w:val="0"/>
          <w:numId w:val="1"/>
        </w:numPr>
        <w:autoSpaceDE w:val="0"/>
        <w:autoSpaceDN w:val="0"/>
        <w:adjustRightInd w:val="0"/>
        <w:spacing w:before="120" w:after="0" w:line="240" w:lineRule="auto"/>
        <w:ind w:left="1156" w:hanging="357"/>
        <w:rPr>
          <w:rFonts w:ascii="Times New Roman" w:hAnsi="Times New Roman" w:cs="Times New Roman"/>
          <w:sz w:val="24"/>
          <w:szCs w:val="24"/>
        </w:rPr>
      </w:pPr>
      <w:r w:rsidRPr="008F7EA2">
        <w:rPr>
          <w:rFonts w:ascii="Times New Roman" w:hAnsi="Times New Roman" w:cs="Times New Roman"/>
          <w:sz w:val="24"/>
          <w:szCs w:val="24"/>
        </w:rPr>
        <w:t xml:space="preserve">a licensed dealing; </w:t>
      </w:r>
    </w:p>
    <w:p w14:paraId="3E3B67E0" w14:textId="77777777" w:rsidR="004979B3" w:rsidRPr="008F7EA2" w:rsidRDefault="004979B3" w:rsidP="004979B3">
      <w:pPr>
        <w:widowControl w:val="0"/>
        <w:numPr>
          <w:ilvl w:val="0"/>
          <w:numId w:val="1"/>
        </w:numPr>
        <w:autoSpaceDE w:val="0"/>
        <w:autoSpaceDN w:val="0"/>
        <w:adjustRightInd w:val="0"/>
        <w:spacing w:before="120" w:after="0" w:line="240" w:lineRule="auto"/>
        <w:ind w:left="1156" w:hanging="357"/>
        <w:rPr>
          <w:rFonts w:ascii="Times New Roman" w:hAnsi="Times New Roman" w:cs="Times New Roman"/>
          <w:sz w:val="24"/>
          <w:szCs w:val="24"/>
        </w:rPr>
      </w:pPr>
      <w:r w:rsidRPr="008F7EA2">
        <w:rPr>
          <w:rFonts w:ascii="Times New Roman" w:hAnsi="Times New Roman" w:cs="Times New Roman"/>
          <w:sz w:val="24"/>
          <w:szCs w:val="24"/>
        </w:rPr>
        <w:t xml:space="preserve">a Notifiable Low Risk Dealing; </w:t>
      </w:r>
    </w:p>
    <w:p w14:paraId="080CC7D5" w14:textId="77777777" w:rsidR="004979B3" w:rsidRPr="008F7EA2" w:rsidRDefault="004979B3" w:rsidP="004979B3">
      <w:pPr>
        <w:widowControl w:val="0"/>
        <w:numPr>
          <w:ilvl w:val="0"/>
          <w:numId w:val="1"/>
        </w:numPr>
        <w:autoSpaceDE w:val="0"/>
        <w:autoSpaceDN w:val="0"/>
        <w:adjustRightInd w:val="0"/>
        <w:spacing w:before="120" w:after="0" w:line="240" w:lineRule="auto"/>
        <w:ind w:left="1156" w:hanging="357"/>
        <w:rPr>
          <w:rFonts w:ascii="Times New Roman" w:hAnsi="Times New Roman" w:cs="Times New Roman"/>
          <w:sz w:val="24"/>
          <w:szCs w:val="24"/>
        </w:rPr>
      </w:pPr>
      <w:r w:rsidRPr="008F7EA2">
        <w:rPr>
          <w:rFonts w:ascii="Times New Roman" w:hAnsi="Times New Roman" w:cs="Times New Roman"/>
          <w:sz w:val="24"/>
          <w:szCs w:val="24"/>
        </w:rPr>
        <w:t xml:space="preserve">an Exempt dealing; </w:t>
      </w:r>
    </w:p>
    <w:p w14:paraId="6D5AE67B" w14:textId="77777777" w:rsidR="004979B3" w:rsidRPr="008F7EA2" w:rsidRDefault="004979B3" w:rsidP="004979B3">
      <w:pPr>
        <w:widowControl w:val="0"/>
        <w:numPr>
          <w:ilvl w:val="0"/>
          <w:numId w:val="1"/>
        </w:numPr>
        <w:autoSpaceDE w:val="0"/>
        <w:autoSpaceDN w:val="0"/>
        <w:adjustRightInd w:val="0"/>
        <w:spacing w:before="120" w:after="0" w:line="240" w:lineRule="auto"/>
        <w:ind w:left="1156" w:hanging="357"/>
        <w:rPr>
          <w:rFonts w:ascii="Times New Roman" w:hAnsi="Times New Roman" w:cs="Times New Roman"/>
          <w:sz w:val="24"/>
          <w:szCs w:val="24"/>
        </w:rPr>
      </w:pPr>
      <w:r w:rsidRPr="008F7EA2">
        <w:rPr>
          <w:rFonts w:ascii="Times New Roman" w:hAnsi="Times New Roman" w:cs="Times New Roman"/>
          <w:sz w:val="24"/>
          <w:szCs w:val="24"/>
        </w:rPr>
        <w:t xml:space="preserve">included on the GMO Register; or </w:t>
      </w:r>
    </w:p>
    <w:p w14:paraId="5348EE0D" w14:textId="77777777" w:rsidR="00D21CE4" w:rsidRPr="00D21CE4" w:rsidRDefault="004979B3" w:rsidP="00D21CE4">
      <w:pPr>
        <w:widowControl w:val="0"/>
        <w:numPr>
          <w:ilvl w:val="0"/>
          <w:numId w:val="1"/>
        </w:numPr>
        <w:tabs>
          <w:tab w:val="clear" w:pos="1158"/>
          <w:tab w:val="num" w:pos="1148"/>
        </w:tabs>
        <w:autoSpaceDE w:val="0"/>
        <w:autoSpaceDN w:val="0"/>
        <w:adjustRightInd w:val="0"/>
        <w:spacing w:before="120" w:after="120" w:line="240" w:lineRule="auto"/>
        <w:ind w:left="1156" w:hanging="357"/>
        <w:rPr>
          <w:rFonts w:ascii="Times New Roman" w:hAnsi="Times New Roman" w:cs="Times New Roman"/>
          <w:sz w:val="24"/>
          <w:szCs w:val="24"/>
        </w:rPr>
      </w:pPr>
      <w:proofErr w:type="gramStart"/>
      <w:r w:rsidRPr="008F7EA2">
        <w:rPr>
          <w:rFonts w:ascii="Times New Roman" w:hAnsi="Times New Roman" w:cs="Times New Roman"/>
          <w:sz w:val="24"/>
          <w:szCs w:val="24"/>
        </w:rPr>
        <w:t>specified</w:t>
      </w:r>
      <w:proofErr w:type="gramEnd"/>
      <w:r w:rsidRPr="008F7EA2">
        <w:rPr>
          <w:rFonts w:ascii="Times New Roman" w:hAnsi="Times New Roman" w:cs="Times New Roman"/>
          <w:sz w:val="24"/>
          <w:szCs w:val="24"/>
        </w:rPr>
        <w:t xml:space="preserve"> in an E</w:t>
      </w:r>
      <w:r>
        <w:rPr>
          <w:rFonts w:ascii="Times New Roman" w:hAnsi="Times New Roman" w:cs="Times New Roman"/>
          <w:sz w:val="24"/>
          <w:szCs w:val="24"/>
        </w:rPr>
        <w:t>mergency Dealing Determination</w:t>
      </w:r>
      <w:r w:rsidRPr="008F7EA2">
        <w:rPr>
          <w:rFonts w:ascii="Times New Roman" w:hAnsi="Times New Roman" w:cs="Times New Roman"/>
          <w:sz w:val="24"/>
          <w:szCs w:val="24"/>
        </w:rPr>
        <w:t>.</w:t>
      </w:r>
    </w:p>
    <w:p w14:paraId="2FE13BD2" w14:textId="77777777" w:rsidR="004979B3" w:rsidRDefault="004979B3" w:rsidP="004979B3">
      <w:pPr>
        <w:tabs>
          <w:tab w:val="num" w:pos="1148"/>
        </w:tabs>
        <w:autoSpaceDE w:val="0"/>
        <w:autoSpaceDN w:val="0"/>
        <w:adjustRightInd w:val="0"/>
        <w:spacing w:before="120" w:after="240"/>
        <w:rPr>
          <w:rFonts w:ascii="Times New Roman" w:hAnsi="Times New Roman" w:cs="Times New Roman"/>
          <w:sz w:val="24"/>
          <w:szCs w:val="24"/>
        </w:rPr>
      </w:pPr>
      <w:r w:rsidRPr="008F7EA2">
        <w:rPr>
          <w:rFonts w:ascii="Times New Roman" w:hAnsi="Times New Roman" w:cs="Times New Roman"/>
          <w:sz w:val="24"/>
          <w:szCs w:val="24"/>
        </w:rPr>
        <w:t>The type of authorisation required for each type of dealing is based on the level of risk that the dealings may pose to people and the environment.</w:t>
      </w:r>
      <w:r>
        <w:rPr>
          <w:rFonts w:ascii="Times New Roman" w:hAnsi="Times New Roman" w:cs="Times New Roman"/>
          <w:sz w:val="24"/>
          <w:szCs w:val="24"/>
        </w:rPr>
        <w:t xml:space="preserve"> All work with GMOs which involve</w:t>
      </w:r>
      <w:r w:rsidR="002E5162">
        <w:rPr>
          <w:rFonts w:ascii="Times New Roman" w:hAnsi="Times New Roman" w:cs="Times New Roman"/>
          <w:sz w:val="24"/>
          <w:szCs w:val="24"/>
        </w:rPr>
        <w:t>s</w:t>
      </w:r>
      <w:r>
        <w:rPr>
          <w:rFonts w:ascii="Times New Roman" w:hAnsi="Times New Roman" w:cs="Times New Roman"/>
          <w:sz w:val="24"/>
          <w:szCs w:val="24"/>
        </w:rPr>
        <w:t xml:space="preserve"> an intentional release into the environment require</w:t>
      </w:r>
      <w:r w:rsidR="00CE64D3">
        <w:rPr>
          <w:rFonts w:ascii="Times New Roman" w:hAnsi="Times New Roman" w:cs="Times New Roman"/>
          <w:sz w:val="24"/>
          <w:szCs w:val="24"/>
        </w:rPr>
        <w:t>s</w:t>
      </w:r>
      <w:r>
        <w:rPr>
          <w:rFonts w:ascii="Times New Roman" w:hAnsi="Times New Roman" w:cs="Times New Roman"/>
          <w:sz w:val="24"/>
          <w:szCs w:val="24"/>
        </w:rPr>
        <w:t xml:space="preserve"> a licence from the Regulator. Contained dealings may be conducted under licence</w:t>
      </w:r>
      <w:r w:rsidR="00CE64D3">
        <w:rPr>
          <w:rFonts w:ascii="Times New Roman" w:hAnsi="Times New Roman" w:cs="Times New Roman"/>
          <w:sz w:val="24"/>
          <w:szCs w:val="24"/>
        </w:rPr>
        <w:t>;</w:t>
      </w:r>
      <w:r>
        <w:rPr>
          <w:rFonts w:ascii="Times New Roman" w:hAnsi="Times New Roman" w:cs="Times New Roman"/>
          <w:sz w:val="24"/>
          <w:szCs w:val="24"/>
        </w:rPr>
        <w:t xml:space="preserve"> as a Notifiable Low Risk Dealing (NLRD)</w:t>
      </w:r>
      <w:r w:rsidR="00CE64D3">
        <w:rPr>
          <w:rFonts w:ascii="Times New Roman" w:hAnsi="Times New Roman" w:cs="Times New Roman"/>
          <w:sz w:val="24"/>
          <w:szCs w:val="24"/>
        </w:rPr>
        <w:t>;</w:t>
      </w:r>
      <w:r>
        <w:rPr>
          <w:rFonts w:ascii="Times New Roman" w:hAnsi="Times New Roman" w:cs="Times New Roman"/>
          <w:sz w:val="24"/>
          <w:szCs w:val="24"/>
        </w:rPr>
        <w:t xml:space="preserve"> or as an exempt dealing. Schedules 2 and 3 of the Gene Technology Regulations 2001</w:t>
      </w:r>
      <w:r w:rsidR="00812B84">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w:t>
      </w:r>
      <w:r w:rsidR="00892242">
        <w:rPr>
          <w:rFonts w:ascii="Times New Roman" w:hAnsi="Times New Roman" w:cs="Times New Roman"/>
          <w:sz w:val="24"/>
          <w:szCs w:val="24"/>
        </w:rPr>
        <w:t xml:space="preserve">GT </w:t>
      </w:r>
      <w:r>
        <w:rPr>
          <w:rFonts w:ascii="Times New Roman" w:hAnsi="Times New Roman" w:cs="Times New Roman"/>
          <w:sz w:val="24"/>
          <w:szCs w:val="24"/>
        </w:rPr>
        <w:t>Regulations) set out the kind</w:t>
      </w:r>
      <w:r w:rsidR="00CE64D3">
        <w:rPr>
          <w:rFonts w:ascii="Times New Roman" w:hAnsi="Times New Roman" w:cs="Times New Roman"/>
          <w:sz w:val="24"/>
          <w:szCs w:val="24"/>
        </w:rPr>
        <w:t>s</w:t>
      </w:r>
      <w:r>
        <w:rPr>
          <w:rFonts w:ascii="Times New Roman" w:hAnsi="Times New Roman" w:cs="Times New Roman"/>
          <w:sz w:val="24"/>
          <w:szCs w:val="24"/>
        </w:rPr>
        <w:t xml:space="preserve"> of </w:t>
      </w:r>
      <w:r w:rsidR="00CE64D3">
        <w:rPr>
          <w:rFonts w:ascii="Times New Roman" w:hAnsi="Times New Roman" w:cs="Times New Roman"/>
          <w:sz w:val="24"/>
          <w:szCs w:val="24"/>
        </w:rPr>
        <w:t xml:space="preserve">contained </w:t>
      </w:r>
      <w:r>
        <w:rPr>
          <w:rFonts w:ascii="Times New Roman" w:hAnsi="Times New Roman" w:cs="Times New Roman"/>
          <w:sz w:val="24"/>
          <w:szCs w:val="24"/>
        </w:rPr>
        <w:t>dealings which are suitable to be carried out as exempt or NLRDs, and those which require a licence</w:t>
      </w:r>
      <w:r w:rsidR="007C2EC0">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These </w:t>
      </w:r>
      <w:r w:rsidR="002E5162">
        <w:rPr>
          <w:rFonts w:ascii="Times New Roman" w:hAnsi="Times New Roman" w:cs="Times New Roman"/>
          <w:sz w:val="24"/>
          <w:szCs w:val="24"/>
        </w:rPr>
        <w:t xml:space="preserve">classifications </w:t>
      </w:r>
      <w:r>
        <w:rPr>
          <w:rFonts w:ascii="Times New Roman" w:hAnsi="Times New Roman" w:cs="Times New Roman"/>
          <w:sz w:val="24"/>
          <w:szCs w:val="24"/>
        </w:rPr>
        <w:t xml:space="preserve">have been determined through a combination of science based risk assessment and </w:t>
      </w:r>
      <w:r w:rsidR="003309FE">
        <w:rPr>
          <w:rFonts w:ascii="Times New Roman" w:hAnsi="Times New Roman" w:cs="Times New Roman"/>
          <w:sz w:val="24"/>
          <w:szCs w:val="24"/>
        </w:rPr>
        <w:t xml:space="preserve">experience gained from </w:t>
      </w:r>
      <w:r>
        <w:rPr>
          <w:rFonts w:ascii="Times New Roman" w:hAnsi="Times New Roman" w:cs="Times New Roman"/>
          <w:sz w:val="24"/>
          <w:szCs w:val="24"/>
        </w:rPr>
        <w:t>a history of use within the science research community.</w:t>
      </w:r>
      <w:r w:rsidR="002E5162">
        <w:rPr>
          <w:rFonts w:ascii="Times New Roman" w:hAnsi="Times New Roman" w:cs="Times New Roman"/>
          <w:sz w:val="24"/>
          <w:szCs w:val="24"/>
        </w:rPr>
        <w:t xml:space="preserve"> They have also been informed by other risk based standards for the classification and containment of organisms such as the </w:t>
      </w:r>
      <w:r w:rsidR="002E5162" w:rsidRPr="002E5162">
        <w:rPr>
          <w:rFonts w:ascii="Times New Roman" w:hAnsi="Times New Roman" w:cs="Times New Roman"/>
          <w:sz w:val="24"/>
          <w:szCs w:val="24"/>
        </w:rPr>
        <w:lastRenderedPageBreak/>
        <w:t xml:space="preserve">Australia New Zealand Standard AS/NZS 2242.3:2010 </w:t>
      </w:r>
      <w:r w:rsidR="002E5162" w:rsidRPr="00E92C35">
        <w:rPr>
          <w:rFonts w:ascii="Times New Roman" w:hAnsi="Times New Roman" w:cs="Times New Roman"/>
          <w:i/>
          <w:sz w:val="24"/>
          <w:szCs w:val="24"/>
        </w:rPr>
        <w:t>Safety in laboratories - Microbiological safety and containment</w:t>
      </w:r>
      <w:r w:rsidR="001F28DA" w:rsidRPr="00E92C35">
        <w:rPr>
          <w:rStyle w:val="FootnoteReference"/>
          <w:rFonts w:ascii="Times New Roman" w:hAnsi="Times New Roman" w:cs="Times New Roman"/>
          <w:sz w:val="24"/>
          <w:szCs w:val="24"/>
        </w:rPr>
        <w:footnoteReference w:id="12"/>
      </w:r>
      <w:r w:rsidR="002E5162">
        <w:rPr>
          <w:rFonts w:ascii="Times New Roman" w:hAnsi="Times New Roman" w:cs="Times New Roman"/>
          <w:sz w:val="24"/>
          <w:szCs w:val="24"/>
        </w:rPr>
        <w:t xml:space="preserve"> and related international documents such as the W</w:t>
      </w:r>
      <w:r w:rsidR="001F28DA">
        <w:rPr>
          <w:rFonts w:ascii="Times New Roman" w:hAnsi="Times New Roman" w:cs="Times New Roman"/>
          <w:sz w:val="24"/>
          <w:szCs w:val="24"/>
        </w:rPr>
        <w:t xml:space="preserve">orld </w:t>
      </w:r>
      <w:r w:rsidR="002E5162">
        <w:rPr>
          <w:rFonts w:ascii="Times New Roman" w:hAnsi="Times New Roman" w:cs="Times New Roman"/>
          <w:sz w:val="24"/>
          <w:szCs w:val="24"/>
        </w:rPr>
        <w:t>H</w:t>
      </w:r>
      <w:r w:rsidR="001F28DA">
        <w:rPr>
          <w:rFonts w:ascii="Times New Roman" w:hAnsi="Times New Roman" w:cs="Times New Roman"/>
          <w:sz w:val="24"/>
          <w:szCs w:val="24"/>
        </w:rPr>
        <w:t xml:space="preserve">ealth </w:t>
      </w:r>
      <w:r w:rsidR="002E5162">
        <w:rPr>
          <w:rFonts w:ascii="Times New Roman" w:hAnsi="Times New Roman" w:cs="Times New Roman"/>
          <w:sz w:val="24"/>
          <w:szCs w:val="24"/>
        </w:rPr>
        <w:t>O</w:t>
      </w:r>
      <w:r w:rsidR="001F28DA">
        <w:rPr>
          <w:rFonts w:ascii="Times New Roman" w:hAnsi="Times New Roman" w:cs="Times New Roman"/>
          <w:sz w:val="24"/>
          <w:szCs w:val="24"/>
        </w:rPr>
        <w:t>rganisation’s</w:t>
      </w:r>
      <w:r w:rsidR="002E5162">
        <w:rPr>
          <w:rFonts w:ascii="Times New Roman" w:hAnsi="Times New Roman" w:cs="Times New Roman"/>
          <w:sz w:val="24"/>
          <w:szCs w:val="24"/>
        </w:rPr>
        <w:t xml:space="preserve"> </w:t>
      </w:r>
      <w:r w:rsidR="002E5162" w:rsidRPr="00E92C35">
        <w:rPr>
          <w:rFonts w:ascii="Times New Roman" w:hAnsi="Times New Roman" w:cs="Times New Roman"/>
          <w:i/>
          <w:sz w:val="24"/>
          <w:szCs w:val="24"/>
        </w:rPr>
        <w:t>Laboratory biosafety manual</w:t>
      </w:r>
      <w:r w:rsidR="002E5162">
        <w:rPr>
          <w:rStyle w:val="FootnoteReference"/>
          <w:rFonts w:ascii="Times New Roman" w:hAnsi="Times New Roman" w:cs="Times New Roman"/>
          <w:sz w:val="24"/>
          <w:szCs w:val="24"/>
        </w:rPr>
        <w:footnoteReference w:id="13"/>
      </w:r>
      <w:r w:rsidR="002E5162">
        <w:rPr>
          <w:rFonts w:ascii="Times New Roman" w:hAnsi="Times New Roman" w:cs="Times New Roman"/>
          <w:sz w:val="24"/>
          <w:szCs w:val="24"/>
        </w:rPr>
        <w:t xml:space="preserve"> and the </w:t>
      </w:r>
      <w:proofErr w:type="spellStart"/>
      <w:r w:rsidR="002E5162">
        <w:rPr>
          <w:rFonts w:ascii="Times New Roman" w:hAnsi="Times New Roman" w:cs="Times New Roman"/>
          <w:sz w:val="24"/>
          <w:szCs w:val="24"/>
        </w:rPr>
        <w:t>C</w:t>
      </w:r>
      <w:r w:rsidR="001F28DA">
        <w:rPr>
          <w:rFonts w:ascii="Times New Roman" w:hAnsi="Times New Roman" w:cs="Times New Roman"/>
          <w:sz w:val="24"/>
          <w:szCs w:val="24"/>
        </w:rPr>
        <w:t>enters</w:t>
      </w:r>
      <w:proofErr w:type="spellEnd"/>
      <w:r w:rsidR="001F28DA">
        <w:rPr>
          <w:rFonts w:ascii="Times New Roman" w:hAnsi="Times New Roman" w:cs="Times New Roman"/>
          <w:sz w:val="24"/>
          <w:szCs w:val="24"/>
        </w:rPr>
        <w:t xml:space="preserve"> for </w:t>
      </w:r>
      <w:r w:rsidR="002E5162">
        <w:rPr>
          <w:rFonts w:ascii="Times New Roman" w:hAnsi="Times New Roman" w:cs="Times New Roman"/>
          <w:sz w:val="24"/>
          <w:szCs w:val="24"/>
        </w:rPr>
        <w:t>D</w:t>
      </w:r>
      <w:r w:rsidR="001F28DA">
        <w:rPr>
          <w:rFonts w:ascii="Times New Roman" w:hAnsi="Times New Roman" w:cs="Times New Roman"/>
          <w:sz w:val="24"/>
          <w:szCs w:val="24"/>
        </w:rPr>
        <w:t xml:space="preserve">isease </w:t>
      </w:r>
      <w:r w:rsidR="002E5162">
        <w:rPr>
          <w:rFonts w:ascii="Times New Roman" w:hAnsi="Times New Roman" w:cs="Times New Roman"/>
          <w:sz w:val="24"/>
          <w:szCs w:val="24"/>
        </w:rPr>
        <w:t>C</w:t>
      </w:r>
      <w:r w:rsidR="001F28DA">
        <w:rPr>
          <w:rFonts w:ascii="Times New Roman" w:hAnsi="Times New Roman" w:cs="Times New Roman"/>
          <w:sz w:val="24"/>
          <w:szCs w:val="24"/>
        </w:rPr>
        <w:t>ontrol and Prevention’s</w:t>
      </w:r>
      <w:r w:rsidR="002E5162">
        <w:rPr>
          <w:rFonts w:ascii="Times New Roman" w:hAnsi="Times New Roman" w:cs="Times New Roman"/>
          <w:sz w:val="24"/>
          <w:szCs w:val="24"/>
        </w:rPr>
        <w:t xml:space="preserve"> </w:t>
      </w:r>
      <w:r w:rsidR="001F28DA" w:rsidRPr="00E92C35">
        <w:rPr>
          <w:rFonts w:ascii="Times New Roman" w:hAnsi="Times New Roman" w:cs="Times New Roman"/>
          <w:i/>
          <w:sz w:val="24"/>
          <w:szCs w:val="24"/>
        </w:rPr>
        <w:t>Biosafety in Microbiological and Biomedical Laboratories</w:t>
      </w:r>
      <w:r w:rsidR="001F28DA" w:rsidRPr="001F28DA">
        <w:rPr>
          <w:rFonts w:ascii="Times New Roman" w:hAnsi="Times New Roman" w:cs="Times New Roman"/>
          <w:sz w:val="24"/>
          <w:szCs w:val="24"/>
        </w:rPr>
        <w:t xml:space="preserve"> (BMBL)</w:t>
      </w:r>
      <w:r w:rsidR="001F28DA">
        <w:rPr>
          <w:rStyle w:val="FootnoteReference"/>
          <w:rFonts w:ascii="Times New Roman" w:hAnsi="Times New Roman" w:cs="Times New Roman"/>
          <w:sz w:val="24"/>
          <w:szCs w:val="24"/>
        </w:rPr>
        <w:footnoteReference w:id="14"/>
      </w:r>
      <w:r w:rsidR="001F28DA">
        <w:rPr>
          <w:rFonts w:ascii="Times New Roman" w:hAnsi="Times New Roman" w:cs="Times New Roman"/>
          <w:sz w:val="24"/>
          <w:szCs w:val="24"/>
        </w:rPr>
        <w:t>.</w:t>
      </w:r>
      <w:r w:rsidR="004174E4">
        <w:rPr>
          <w:rFonts w:ascii="Times New Roman" w:hAnsi="Times New Roman" w:cs="Times New Roman"/>
          <w:sz w:val="24"/>
          <w:szCs w:val="24"/>
        </w:rPr>
        <w:t xml:space="preserve"> Classification and containment of other organisms have also been informed by experience and practice for their non-modified counterparts.</w:t>
      </w:r>
    </w:p>
    <w:p w14:paraId="6EC0AB9F" w14:textId="77777777" w:rsidR="00444D7A" w:rsidRDefault="00444D7A" w:rsidP="004979B3">
      <w:pPr>
        <w:tabs>
          <w:tab w:val="num" w:pos="1148"/>
        </w:tabs>
        <w:autoSpaceDE w:val="0"/>
        <w:autoSpaceDN w:val="0"/>
        <w:adjustRightInd w:val="0"/>
        <w:spacing w:before="120" w:after="240"/>
        <w:rPr>
          <w:rFonts w:ascii="Times New Roman" w:hAnsi="Times New Roman" w:cs="Times New Roman"/>
          <w:sz w:val="24"/>
          <w:szCs w:val="24"/>
        </w:rPr>
      </w:pPr>
      <w:r>
        <w:rPr>
          <w:rFonts w:ascii="Times New Roman" w:hAnsi="Times New Roman" w:cs="Times New Roman"/>
          <w:sz w:val="24"/>
          <w:szCs w:val="24"/>
        </w:rPr>
        <w:t>For the most part</w:t>
      </w:r>
      <w:r w:rsidR="003769AA">
        <w:rPr>
          <w:rFonts w:ascii="Times New Roman" w:hAnsi="Times New Roman" w:cs="Times New Roman"/>
          <w:sz w:val="24"/>
          <w:szCs w:val="24"/>
        </w:rPr>
        <w:t>,</w:t>
      </w:r>
      <w:r>
        <w:rPr>
          <w:rFonts w:ascii="Times New Roman" w:hAnsi="Times New Roman" w:cs="Times New Roman"/>
          <w:sz w:val="24"/>
          <w:szCs w:val="24"/>
        </w:rPr>
        <w:t xml:space="preserve"> GMOs </w:t>
      </w:r>
      <w:r w:rsidR="00D8430D">
        <w:rPr>
          <w:rFonts w:ascii="Times New Roman" w:hAnsi="Times New Roman" w:cs="Times New Roman"/>
          <w:sz w:val="24"/>
          <w:szCs w:val="24"/>
        </w:rPr>
        <w:t xml:space="preserve">that are microorganisms </w:t>
      </w:r>
      <w:r>
        <w:rPr>
          <w:rFonts w:ascii="Times New Roman" w:hAnsi="Times New Roman" w:cs="Times New Roman"/>
          <w:sz w:val="24"/>
          <w:szCs w:val="24"/>
        </w:rPr>
        <w:t>are required to be kept at the same containment level as the parent organism</w:t>
      </w:r>
      <w:bookmarkStart w:id="0" w:name="_Ref449010877"/>
      <w:r w:rsidR="0014467F">
        <w:rPr>
          <w:rFonts w:ascii="Times New Roman" w:hAnsi="Times New Roman" w:cs="Times New Roman"/>
          <w:sz w:val="24"/>
          <w:szCs w:val="24"/>
        </w:rPr>
        <w:t xml:space="preserve"> (as specified in AS/NZS 2242.3:2010</w:t>
      </w:r>
      <w:r w:rsidR="00D131FB">
        <w:rPr>
          <w:rFonts w:ascii="Times New Roman" w:hAnsi="Times New Roman" w:cs="Times New Roman"/>
          <w:sz w:val="24"/>
          <w:szCs w:val="24"/>
          <w:vertAlign w:val="superscript"/>
        </w:rPr>
        <w:t>1</w:t>
      </w:r>
      <w:r w:rsidR="00733F5F">
        <w:rPr>
          <w:rFonts w:ascii="Times New Roman" w:hAnsi="Times New Roman" w:cs="Times New Roman"/>
          <w:sz w:val="24"/>
          <w:szCs w:val="24"/>
          <w:vertAlign w:val="superscript"/>
        </w:rPr>
        <w:t>2</w:t>
      </w:r>
      <w:r w:rsidR="0014467F">
        <w:rPr>
          <w:rFonts w:ascii="Times New Roman" w:hAnsi="Times New Roman" w:cs="Times New Roman"/>
          <w:sz w:val="24"/>
          <w:szCs w:val="24"/>
        </w:rPr>
        <w:t>)</w:t>
      </w:r>
      <w:bookmarkEnd w:id="0"/>
      <w:r>
        <w:rPr>
          <w:rFonts w:ascii="Times New Roman" w:hAnsi="Times New Roman" w:cs="Times New Roman"/>
          <w:sz w:val="24"/>
          <w:szCs w:val="24"/>
        </w:rPr>
        <w:t>. However, the Regulator can increase or decrease the containment level depending on the effect of the modification</w:t>
      </w:r>
      <w:r w:rsidR="00550609">
        <w:rPr>
          <w:rFonts w:ascii="Times New Roman" w:hAnsi="Times New Roman" w:cs="Times New Roman"/>
          <w:sz w:val="24"/>
          <w:szCs w:val="24"/>
        </w:rPr>
        <w:t>s</w:t>
      </w:r>
      <w:r>
        <w:rPr>
          <w:rFonts w:ascii="Times New Roman" w:hAnsi="Times New Roman" w:cs="Times New Roman"/>
          <w:sz w:val="24"/>
          <w:szCs w:val="24"/>
        </w:rPr>
        <w:t xml:space="preserve"> on the </w:t>
      </w:r>
      <w:r w:rsidR="00550609">
        <w:rPr>
          <w:rFonts w:ascii="Times New Roman" w:hAnsi="Times New Roman" w:cs="Times New Roman"/>
          <w:sz w:val="24"/>
          <w:szCs w:val="24"/>
        </w:rPr>
        <w:t xml:space="preserve">properties of the organism. This would only occur if a science based risk assessment in accordance with the Regulator’s </w:t>
      </w:r>
      <w:r w:rsidR="00550609" w:rsidRPr="00550609">
        <w:rPr>
          <w:rFonts w:ascii="Times New Roman" w:hAnsi="Times New Roman" w:cs="Times New Roman"/>
          <w:i/>
          <w:sz w:val="24"/>
          <w:szCs w:val="24"/>
        </w:rPr>
        <w:t>Risk Analysis Framework</w:t>
      </w:r>
      <w:r w:rsidR="00550609">
        <w:rPr>
          <w:rFonts w:ascii="Times New Roman" w:hAnsi="Times New Roman" w:cs="Times New Roman"/>
          <w:sz w:val="24"/>
          <w:szCs w:val="24"/>
        </w:rPr>
        <w:t xml:space="preserve"> determined that a change in containment level was warranted. This can be done through a licence or through </w:t>
      </w:r>
      <w:r w:rsidR="00812B84">
        <w:rPr>
          <w:rFonts w:ascii="Times New Roman" w:hAnsi="Times New Roman" w:cs="Times New Roman"/>
          <w:sz w:val="24"/>
          <w:szCs w:val="24"/>
        </w:rPr>
        <w:t>inclu</w:t>
      </w:r>
      <w:r w:rsidR="00C50FED">
        <w:rPr>
          <w:rFonts w:ascii="Times New Roman" w:hAnsi="Times New Roman" w:cs="Times New Roman"/>
          <w:sz w:val="24"/>
          <w:szCs w:val="24"/>
        </w:rPr>
        <w:t>s</w:t>
      </w:r>
      <w:r w:rsidR="00812B84">
        <w:rPr>
          <w:rFonts w:ascii="Times New Roman" w:hAnsi="Times New Roman" w:cs="Times New Roman"/>
          <w:sz w:val="24"/>
          <w:szCs w:val="24"/>
        </w:rPr>
        <w:t>i</w:t>
      </w:r>
      <w:r w:rsidR="00C50FED">
        <w:rPr>
          <w:rFonts w:ascii="Times New Roman" w:hAnsi="Times New Roman" w:cs="Times New Roman"/>
          <w:sz w:val="24"/>
          <w:szCs w:val="24"/>
        </w:rPr>
        <w:t>o</w:t>
      </w:r>
      <w:r w:rsidR="00812B84">
        <w:rPr>
          <w:rFonts w:ascii="Times New Roman" w:hAnsi="Times New Roman" w:cs="Times New Roman"/>
          <w:sz w:val="24"/>
          <w:szCs w:val="24"/>
        </w:rPr>
        <w:t>n</w:t>
      </w:r>
      <w:r w:rsidR="00550609">
        <w:rPr>
          <w:rFonts w:ascii="Times New Roman" w:hAnsi="Times New Roman" w:cs="Times New Roman"/>
          <w:sz w:val="24"/>
          <w:szCs w:val="24"/>
        </w:rPr>
        <w:t xml:space="preserve"> in the</w:t>
      </w:r>
      <w:r w:rsidR="00892242">
        <w:rPr>
          <w:rFonts w:ascii="Times New Roman" w:hAnsi="Times New Roman" w:cs="Times New Roman"/>
          <w:sz w:val="24"/>
          <w:szCs w:val="24"/>
        </w:rPr>
        <w:t xml:space="preserve"> GT</w:t>
      </w:r>
      <w:r w:rsidR="00550609">
        <w:rPr>
          <w:rFonts w:ascii="Times New Roman" w:hAnsi="Times New Roman" w:cs="Times New Roman"/>
          <w:sz w:val="24"/>
          <w:szCs w:val="24"/>
        </w:rPr>
        <w:t xml:space="preserve"> Regulations.</w:t>
      </w:r>
    </w:p>
    <w:p w14:paraId="7084E5C6" w14:textId="77777777" w:rsidR="00DB515C" w:rsidRPr="00927CA1" w:rsidRDefault="00DB515C" w:rsidP="004979B3">
      <w:pPr>
        <w:tabs>
          <w:tab w:val="num" w:pos="1148"/>
        </w:tabs>
        <w:autoSpaceDE w:val="0"/>
        <w:autoSpaceDN w:val="0"/>
        <w:adjustRightInd w:val="0"/>
        <w:spacing w:before="120" w:after="240"/>
        <w:rPr>
          <w:rFonts w:ascii="Times New Roman" w:hAnsi="Times New Roman" w:cs="Times New Roman"/>
          <w:sz w:val="24"/>
          <w:szCs w:val="24"/>
        </w:rPr>
      </w:pPr>
      <w:r>
        <w:rPr>
          <w:rFonts w:ascii="Times New Roman" w:hAnsi="Times New Roman" w:cs="Times New Roman"/>
          <w:sz w:val="24"/>
          <w:szCs w:val="24"/>
        </w:rPr>
        <w:t xml:space="preserve">Most genetically modified animals (including invertebrates) and plants are required to be kept in </w:t>
      </w:r>
      <w:r w:rsidR="00830C46" w:rsidRPr="00AC3724">
        <w:rPr>
          <w:rFonts w:ascii="Times New Roman" w:hAnsi="Times New Roman" w:cs="Times New Roman"/>
          <w:sz w:val="24"/>
          <w:szCs w:val="24"/>
        </w:rPr>
        <w:t xml:space="preserve">physical containment </w:t>
      </w:r>
      <w:r w:rsidR="00830C46">
        <w:rPr>
          <w:rFonts w:ascii="Times New Roman" w:hAnsi="Times New Roman" w:cs="Times New Roman"/>
          <w:sz w:val="24"/>
          <w:szCs w:val="24"/>
        </w:rPr>
        <w:t>(</w:t>
      </w:r>
      <w:r>
        <w:rPr>
          <w:rFonts w:ascii="Times New Roman" w:hAnsi="Times New Roman" w:cs="Times New Roman"/>
          <w:sz w:val="24"/>
          <w:szCs w:val="24"/>
        </w:rPr>
        <w:t>PC</w:t>
      </w:r>
      <w:r w:rsidR="00830C46">
        <w:rPr>
          <w:rFonts w:ascii="Times New Roman" w:hAnsi="Times New Roman" w:cs="Times New Roman"/>
          <w:sz w:val="24"/>
          <w:szCs w:val="24"/>
        </w:rPr>
        <w:t xml:space="preserve">) level </w:t>
      </w:r>
      <w:r>
        <w:rPr>
          <w:rFonts w:ascii="Times New Roman" w:hAnsi="Times New Roman" w:cs="Times New Roman"/>
          <w:sz w:val="24"/>
          <w:szCs w:val="24"/>
        </w:rPr>
        <w:t xml:space="preserve">2 facilities unless infected with microorganisms requiring higher levels of containment. However, the GT Regulations allow that some GM laboratory mice, rats, rabbits and guinea pigs can be held at </w:t>
      </w:r>
      <w:r w:rsidR="00C50FED">
        <w:rPr>
          <w:rFonts w:ascii="Times New Roman" w:hAnsi="Times New Roman" w:cs="Times New Roman"/>
          <w:sz w:val="24"/>
          <w:szCs w:val="24"/>
        </w:rPr>
        <w:t xml:space="preserve">the lower classification </w:t>
      </w:r>
      <w:r>
        <w:rPr>
          <w:rFonts w:ascii="Times New Roman" w:hAnsi="Times New Roman" w:cs="Times New Roman"/>
          <w:sz w:val="24"/>
          <w:szCs w:val="24"/>
        </w:rPr>
        <w:t>PC1, depending on the nature of the genetic modification.</w:t>
      </w:r>
    </w:p>
    <w:p w14:paraId="356FD63D" w14:textId="77777777" w:rsidR="00C50FED" w:rsidRDefault="001F28DA" w:rsidP="001F28DA">
      <w:pPr>
        <w:tabs>
          <w:tab w:val="num" w:pos="1148"/>
        </w:tabs>
        <w:autoSpaceDE w:val="0"/>
        <w:autoSpaceDN w:val="0"/>
        <w:adjustRightInd w:val="0"/>
        <w:spacing w:before="120" w:after="240"/>
        <w:rPr>
          <w:rFonts w:ascii="Times New Roman" w:hAnsi="Times New Roman" w:cs="Times New Roman"/>
          <w:sz w:val="24"/>
          <w:szCs w:val="24"/>
        </w:rPr>
      </w:pPr>
      <w:r>
        <w:rPr>
          <w:rFonts w:ascii="Times New Roman" w:hAnsi="Times New Roman" w:cs="Times New Roman"/>
          <w:sz w:val="24"/>
          <w:szCs w:val="24"/>
        </w:rPr>
        <w:t>Authorisations under the GT Act are typically issued to an organisation rather than an individual. Accredited organisations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are required to have access to an Institutional Biosafety Committee (IBC) which includes members with a </w:t>
      </w:r>
      <w:r w:rsidRPr="00F46B2A">
        <w:rPr>
          <w:rFonts w:ascii="Times New Roman" w:hAnsi="Times New Roman" w:cs="Times New Roman"/>
          <w:sz w:val="24"/>
          <w:szCs w:val="24"/>
        </w:rPr>
        <w:t xml:space="preserve">breadth of relevant expertise both to understand and analyse risks associated with the particular dealings and to provide expert commentary on those risks including, where relevant, any containment measures for GMOs involved in the dealings and the classification of the dealings with the GMO in accordance with the </w:t>
      </w:r>
      <w:r w:rsidR="00892242">
        <w:rPr>
          <w:rFonts w:ascii="Times New Roman" w:hAnsi="Times New Roman" w:cs="Times New Roman"/>
          <w:sz w:val="24"/>
          <w:szCs w:val="24"/>
        </w:rPr>
        <w:t xml:space="preserve">GT </w:t>
      </w:r>
      <w:r w:rsidRPr="00F46B2A">
        <w:rPr>
          <w:rFonts w:ascii="Times New Roman" w:hAnsi="Times New Roman" w:cs="Times New Roman"/>
          <w:sz w:val="24"/>
          <w:szCs w:val="24"/>
        </w:rPr>
        <w:t>Regulations</w:t>
      </w:r>
      <w:r>
        <w:rPr>
          <w:rFonts w:ascii="Times New Roman" w:hAnsi="Times New Roman" w:cs="Times New Roman"/>
          <w:sz w:val="24"/>
          <w:szCs w:val="24"/>
        </w:rPr>
        <w:t>.</w:t>
      </w:r>
    </w:p>
    <w:p w14:paraId="1E7ABF00" w14:textId="77777777" w:rsidR="001F28DA" w:rsidRDefault="00C50FED" w:rsidP="001F28DA">
      <w:pPr>
        <w:tabs>
          <w:tab w:val="num" w:pos="1148"/>
        </w:tabs>
        <w:autoSpaceDE w:val="0"/>
        <w:autoSpaceDN w:val="0"/>
        <w:adjustRightInd w:val="0"/>
        <w:spacing w:before="120" w:after="240"/>
        <w:rPr>
          <w:rFonts w:ascii="Times New Roman" w:hAnsi="Times New Roman" w:cs="Times New Roman"/>
          <w:sz w:val="24"/>
          <w:szCs w:val="24"/>
        </w:rPr>
      </w:pPr>
      <w:r>
        <w:rPr>
          <w:rFonts w:ascii="Times New Roman" w:hAnsi="Times New Roman" w:cs="Times New Roman"/>
          <w:sz w:val="24"/>
          <w:szCs w:val="24"/>
        </w:rPr>
        <w:t xml:space="preserve">Operation of Australia’s regulatory </w:t>
      </w:r>
      <w:r w:rsidR="00892242">
        <w:rPr>
          <w:rFonts w:ascii="Times New Roman" w:hAnsi="Times New Roman" w:cs="Times New Roman"/>
          <w:sz w:val="24"/>
          <w:szCs w:val="24"/>
        </w:rPr>
        <w:t>framework for GMOs is supported</w:t>
      </w:r>
      <w:r>
        <w:rPr>
          <w:rFonts w:ascii="Times New Roman" w:hAnsi="Times New Roman" w:cs="Times New Roman"/>
          <w:sz w:val="24"/>
          <w:szCs w:val="24"/>
        </w:rPr>
        <w:t xml:space="preserve"> by local IBC’s. </w:t>
      </w:r>
      <w:r w:rsidR="001F28DA">
        <w:rPr>
          <w:rFonts w:ascii="Times New Roman" w:hAnsi="Times New Roman" w:cs="Times New Roman"/>
          <w:sz w:val="24"/>
          <w:szCs w:val="24"/>
        </w:rPr>
        <w:t xml:space="preserve">Under the GT Act IBC’s are responsible for assessing whether proposed work with GMOs meet the requirements of an exempt dealing, an NLRD or require a licence, and for screening licence applications prior to submission to the Regulator. </w:t>
      </w:r>
      <w:r w:rsidR="005559C5">
        <w:rPr>
          <w:rFonts w:ascii="Times New Roman" w:hAnsi="Times New Roman" w:cs="Times New Roman"/>
          <w:sz w:val="24"/>
          <w:szCs w:val="24"/>
        </w:rPr>
        <w:t xml:space="preserve">As well as providing training in general laboratory safety </w:t>
      </w:r>
      <w:r w:rsidR="001F28DA">
        <w:rPr>
          <w:rFonts w:ascii="Times New Roman" w:hAnsi="Times New Roman" w:cs="Times New Roman"/>
          <w:sz w:val="24"/>
          <w:szCs w:val="24"/>
        </w:rPr>
        <w:t>IBC’s may also provide GMO specific biosafety training</w:t>
      </w:r>
      <w:r w:rsidR="00892242">
        <w:rPr>
          <w:rFonts w:ascii="Times New Roman" w:hAnsi="Times New Roman" w:cs="Times New Roman"/>
          <w:sz w:val="24"/>
          <w:szCs w:val="24"/>
        </w:rPr>
        <w:t>. IBC’s may also provide</w:t>
      </w:r>
      <w:r w:rsidR="001F28DA">
        <w:rPr>
          <w:rFonts w:ascii="Times New Roman" w:hAnsi="Times New Roman" w:cs="Times New Roman"/>
          <w:sz w:val="24"/>
          <w:szCs w:val="24"/>
        </w:rPr>
        <w:t xml:space="preserve"> institutional level oversight of work with GMOs.</w:t>
      </w:r>
      <w:r w:rsidR="005559C5">
        <w:rPr>
          <w:rFonts w:ascii="Times New Roman" w:hAnsi="Times New Roman" w:cs="Times New Roman"/>
          <w:sz w:val="24"/>
          <w:szCs w:val="24"/>
        </w:rPr>
        <w:t xml:space="preserve"> This takes account of the lower risk level of much research work.</w:t>
      </w:r>
    </w:p>
    <w:p w14:paraId="65FE187F" w14:textId="77777777" w:rsidR="004E511B" w:rsidRDefault="004E511B" w:rsidP="004E511B">
      <w:pPr>
        <w:pStyle w:val="Heading2"/>
      </w:pPr>
      <w:r>
        <w:lastRenderedPageBreak/>
        <w:t>Facility Certification by the Gene Technology Regulator</w:t>
      </w:r>
    </w:p>
    <w:p w14:paraId="5FFEB480" w14:textId="77777777" w:rsidR="006C21DC" w:rsidRDefault="004174E4" w:rsidP="00E4346B">
      <w:pPr>
        <w:spacing w:before="120" w:after="120"/>
        <w:rPr>
          <w:rFonts w:ascii="Times New Roman" w:hAnsi="Times New Roman" w:cs="Times New Roman"/>
          <w:sz w:val="24"/>
          <w:szCs w:val="24"/>
        </w:rPr>
      </w:pPr>
      <w:r>
        <w:rPr>
          <w:rFonts w:ascii="Times New Roman" w:hAnsi="Times New Roman" w:cs="Times New Roman"/>
          <w:sz w:val="24"/>
          <w:szCs w:val="24"/>
        </w:rPr>
        <w:t xml:space="preserve">Contained work in Australia is underpinned by certification of facilities and practices. </w:t>
      </w:r>
      <w:r w:rsidR="00AC3724" w:rsidRPr="00AC3724">
        <w:rPr>
          <w:rFonts w:ascii="Times New Roman" w:hAnsi="Times New Roman" w:cs="Times New Roman"/>
          <w:sz w:val="24"/>
          <w:szCs w:val="24"/>
        </w:rPr>
        <w:t>In Australia</w:t>
      </w:r>
      <w:r w:rsidR="002F7A1B">
        <w:rPr>
          <w:rFonts w:ascii="Times New Roman" w:hAnsi="Times New Roman" w:cs="Times New Roman"/>
          <w:sz w:val="24"/>
          <w:szCs w:val="24"/>
        </w:rPr>
        <w:t>,</w:t>
      </w:r>
      <w:r w:rsidR="00AC3724" w:rsidRPr="00AC3724">
        <w:rPr>
          <w:rFonts w:ascii="Times New Roman" w:hAnsi="Times New Roman" w:cs="Times New Roman"/>
          <w:sz w:val="24"/>
          <w:szCs w:val="24"/>
        </w:rPr>
        <w:t xml:space="preserve"> certain work with GMOs must only be undertaken in contained facilities that are certified by the Regulator. The GT Act allows the Regulator to </w:t>
      </w:r>
      <w:r w:rsidR="00AC3724" w:rsidRPr="00C2506B">
        <w:rPr>
          <w:rFonts w:ascii="Times New Roman" w:hAnsi="Times New Roman" w:cs="Times New Roman"/>
          <w:sz w:val="24"/>
          <w:szCs w:val="24"/>
        </w:rPr>
        <w:t xml:space="preserve">certify </w:t>
      </w:r>
      <w:r w:rsidR="00C2506B">
        <w:rPr>
          <w:rFonts w:ascii="Times New Roman" w:hAnsi="Times New Roman" w:cs="Times New Roman"/>
          <w:sz w:val="24"/>
          <w:szCs w:val="24"/>
        </w:rPr>
        <w:t>PC</w:t>
      </w:r>
      <w:r w:rsidR="00AC3724" w:rsidRPr="00C2506B">
        <w:rPr>
          <w:rFonts w:ascii="Times New Roman" w:hAnsi="Times New Roman" w:cs="Times New Roman"/>
          <w:sz w:val="24"/>
          <w:szCs w:val="24"/>
        </w:rPr>
        <w:t xml:space="preserve"> facilities to</w:t>
      </w:r>
      <w:r w:rsidR="00AC3724" w:rsidRPr="00AC3724">
        <w:rPr>
          <w:rFonts w:ascii="Times New Roman" w:hAnsi="Times New Roman" w:cs="Times New Roman"/>
          <w:sz w:val="24"/>
          <w:szCs w:val="24"/>
        </w:rPr>
        <w:t xml:space="preserve"> ensure that appropriate standards are met for containment of GMOs and that trained and competent staff are carrying out procedures and practices. Under the </w:t>
      </w:r>
      <w:r w:rsidR="00EC5380">
        <w:rPr>
          <w:rFonts w:ascii="Times New Roman" w:hAnsi="Times New Roman" w:cs="Times New Roman"/>
          <w:sz w:val="24"/>
          <w:szCs w:val="24"/>
        </w:rPr>
        <w:t>GT Act</w:t>
      </w:r>
      <w:r w:rsidR="00AC3724" w:rsidRPr="00AC3724">
        <w:rPr>
          <w:rFonts w:ascii="Times New Roman" w:hAnsi="Times New Roman" w:cs="Times New Roman"/>
          <w:sz w:val="24"/>
          <w:szCs w:val="24"/>
        </w:rPr>
        <w:t xml:space="preserve">, the Regulator has issued guidelines specifying the requirements for certification of each type of facility (laboratory, plant and animal, </w:t>
      </w:r>
      <w:proofErr w:type="spellStart"/>
      <w:r w:rsidR="00AC3724" w:rsidRPr="00AC3724">
        <w:rPr>
          <w:rFonts w:ascii="Times New Roman" w:hAnsi="Times New Roman" w:cs="Times New Roman"/>
          <w:sz w:val="24"/>
          <w:szCs w:val="24"/>
        </w:rPr>
        <w:t>etc</w:t>
      </w:r>
      <w:proofErr w:type="spellEnd"/>
      <w:r w:rsidR="00AC3724" w:rsidRPr="00AC3724">
        <w:rPr>
          <w:rFonts w:ascii="Times New Roman" w:hAnsi="Times New Roman" w:cs="Times New Roman"/>
          <w:sz w:val="24"/>
          <w:szCs w:val="24"/>
        </w:rPr>
        <w:t xml:space="preserve">) to </w:t>
      </w:r>
      <w:r w:rsidR="00C2506B" w:rsidRPr="00C2506B">
        <w:rPr>
          <w:rFonts w:ascii="Times New Roman" w:hAnsi="Times New Roman" w:cs="Times New Roman"/>
          <w:sz w:val="24"/>
          <w:szCs w:val="24"/>
        </w:rPr>
        <w:t>PC</w:t>
      </w:r>
      <w:r w:rsidR="00AC3724" w:rsidRPr="00C2506B">
        <w:rPr>
          <w:rFonts w:ascii="Times New Roman" w:hAnsi="Times New Roman" w:cs="Times New Roman"/>
          <w:sz w:val="24"/>
          <w:szCs w:val="24"/>
        </w:rPr>
        <w:t xml:space="preserve"> levels 1, 2, 3</w:t>
      </w:r>
      <w:r w:rsidR="00AC3724" w:rsidRPr="00AC3724">
        <w:rPr>
          <w:rFonts w:ascii="Times New Roman" w:hAnsi="Times New Roman" w:cs="Times New Roman"/>
          <w:sz w:val="24"/>
          <w:szCs w:val="24"/>
        </w:rPr>
        <w:t xml:space="preserve"> or 4, which must be met before a fa</w:t>
      </w:r>
      <w:r w:rsidR="006C21DC">
        <w:rPr>
          <w:rFonts w:ascii="Times New Roman" w:hAnsi="Times New Roman" w:cs="Times New Roman"/>
          <w:sz w:val="24"/>
          <w:szCs w:val="24"/>
        </w:rPr>
        <w:t>cility can be certified.</w:t>
      </w:r>
    </w:p>
    <w:p w14:paraId="20888747" w14:textId="68EF1683" w:rsidR="00746001" w:rsidRPr="00E4346B" w:rsidRDefault="00746001" w:rsidP="00746001">
      <w:pPr>
        <w:spacing w:before="120" w:after="120"/>
        <w:rPr>
          <w:rFonts w:ascii="Times New Roman" w:hAnsi="Times New Roman" w:cs="Times New Roman"/>
          <w:sz w:val="24"/>
          <w:szCs w:val="24"/>
        </w:rPr>
      </w:pPr>
      <w:r w:rsidRPr="00DE0C7B">
        <w:rPr>
          <w:rFonts w:ascii="Times New Roman" w:hAnsi="Times New Roman" w:cs="Times New Roman"/>
          <w:sz w:val="24"/>
          <w:szCs w:val="24"/>
        </w:rPr>
        <w:t xml:space="preserve">PC facilities are classified according to </w:t>
      </w:r>
      <w:r w:rsidR="0053213E">
        <w:rPr>
          <w:rFonts w:ascii="Times New Roman" w:hAnsi="Times New Roman" w:cs="Times New Roman"/>
          <w:sz w:val="24"/>
          <w:szCs w:val="24"/>
        </w:rPr>
        <w:t>the level</w:t>
      </w:r>
      <w:r w:rsidRPr="00DE0C7B">
        <w:rPr>
          <w:rFonts w:ascii="Times New Roman" w:hAnsi="Times New Roman" w:cs="Times New Roman"/>
          <w:sz w:val="24"/>
          <w:szCs w:val="24"/>
        </w:rPr>
        <w:t xml:space="preserve"> of stringency of measures for containing G</w:t>
      </w:r>
      <w:r>
        <w:rPr>
          <w:rFonts w:ascii="Times New Roman" w:hAnsi="Times New Roman" w:cs="Times New Roman"/>
          <w:sz w:val="24"/>
          <w:szCs w:val="24"/>
        </w:rPr>
        <w:t>MOs. The classifications relate</w:t>
      </w:r>
      <w:r w:rsidRPr="00DE0C7B">
        <w:rPr>
          <w:rFonts w:ascii="Times New Roman" w:hAnsi="Times New Roman" w:cs="Times New Roman"/>
          <w:sz w:val="24"/>
          <w:szCs w:val="24"/>
        </w:rPr>
        <w:t xml:space="preserve"> to the structural integrity of buildings and equipment use</w:t>
      </w:r>
      <w:r>
        <w:rPr>
          <w:rFonts w:ascii="Times New Roman" w:hAnsi="Times New Roman" w:cs="Times New Roman"/>
          <w:sz w:val="24"/>
          <w:szCs w:val="24"/>
        </w:rPr>
        <w:t>d</w:t>
      </w:r>
      <w:r w:rsidRPr="00DE0C7B">
        <w:rPr>
          <w:rFonts w:ascii="Times New Roman" w:hAnsi="Times New Roman" w:cs="Times New Roman"/>
          <w:sz w:val="24"/>
          <w:szCs w:val="24"/>
        </w:rPr>
        <w:t xml:space="preserve"> as well as to the handling practices employed by those working in the facility. PC level 1 (PC1) facilities are used to contain organisms posing the lowest risk to human health and the environment. PC level 4 (PC4) facilities provide the most secure and stringent containment conditions</w:t>
      </w:r>
      <w:r>
        <w:rPr>
          <w:rFonts w:ascii="Times New Roman" w:hAnsi="Times New Roman" w:cs="Times New Roman"/>
          <w:sz w:val="24"/>
          <w:szCs w:val="24"/>
          <w:vertAlign w:val="superscript"/>
        </w:rPr>
        <w:t>12</w:t>
      </w:r>
      <w:r w:rsidRPr="00DE0C7B">
        <w:rPr>
          <w:rFonts w:ascii="Times New Roman" w:hAnsi="Times New Roman" w:cs="Times New Roman"/>
          <w:sz w:val="24"/>
          <w:szCs w:val="24"/>
        </w:rPr>
        <w:t xml:space="preserve">. </w:t>
      </w:r>
      <w:bookmarkStart w:id="1" w:name="_GoBack"/>
      <w:bookmarkEnd w:id="1"/>
    </w:p>
    <w:p w14:paraId="495F6FB6" w14:textId="77777777" w:rsidR="00E4346B" w:rsidRPr="00DE0C7B" w:rsidRDefault="00846109" w:rsidP="00E4346B">
      <w:pPr>
        <w:spacing w:before="120" w:after="120"/>
        <w:rPr>
          <w:rFonts w:ascii="Times New Roman" w:hAnsi="Times New Roman" w:cs="Times New Roman"/>
          <w:sz w:val="24"/>
          <w:szCs w:val="24"/>
        </w:rPr>
      </w:pPr>
      <w:r>
        <w:rPr>
          <w:rFonts w:ascii="Times New Roman" w:hAnsi="Times New Roman" w:cs="Times New Roman"/>
          <w:sz w:val="24"/>
          <w:szCs w:val="24"/>
        </w:rPr>
        <w:t>The facility holder must ensure a</w:t>
      </w:r>
      <w:r w:rsidR="00AC3724" w:rsidRPr="00AC3724">
        <w:rPr>
          <w:rFonts w:ascii="Times New Roman" w:hAnsi="Times New Roman" w:cs="Times New Roman"/>
          <w:sz w:val="24"/>
          <w:szCs w:val="24"/>
        </w:rPr>
        <w:t xml:space="preserve">ll certified facilities </w:t>
      </w:r>
      <w:r>
        <w:rPr>
          <w:rFonts w:ascii="Times New Roman" w:hAnsi="Times New Roman" w:cs="Times New Roman"/>
          <w:sz w:val="24"/>
          <w:szCs w:val="24"/>
        </w:rPr>
        <w:t>are</w:t>
      </w:r>
      <w:r w:rsidR="00AC3724" w:rsidRPr="00AC3724">
        <w:rPr>
          <w:rFonts w:ascii="Times New Roman" w:hAnsi="Times New Roman" w:cs="Times New Roman"/>
          <w:sz w:val="24"/>
          <w:szCs w:val="24"/>
        </w:rPr>
        <w:t xml:space="preserve"> inspected </w:t>
      </w:r>
      <w:r>
        <w:rPr>
          <w:rFonts w:ascii="Times New Roman" w:hAnsi="Times New Roman" w:cs="Times New Roman"/>
          <w:sz w:val="24"/>
          <w:szCs w:val="24"/>
        </w:rPr>
        <w:t xml:space="preserve">against the Regulator’s certification guidelines by a suitably qualified person </w:t>
      </w:r>
      <w:r w:rsidR="00AC3724" w:rsidRPr="00AC3724">
        <w:rPr>
          <w:rFonts w:ascii="Times New Roman" w:hAnsi="Times New Roman" w:cs="Times New Roman"/>
          <w:sz w:val="24"/>
          <w:szCs w:val="24"/>
        </w:rPr>
        <w:t>before certification and annually thereafter (except thos</w:t>
      </w:r>
      <w:r w:rsidR="006C21DC">
        <w:rPr>
          <w:rFonts w:ascii="Times New Roman" w:hAnsi="Times New Roman" w:cs="Times New Roman"/>
          <w:sz w:val="24"/>
          <w:szCs w:val="24"/>
        </w:rPr>
        <w:t xml:space="preserve">e certified as a PC1 facility). </w:t>
      </w:r>
      <w:r w:rsidR="00E05048">
        <w:rPr>
          <w:rFonts w:ascii="Times New Roman" w:hAnsi="Times New Roman" w:cs="Times New Roman"/>
          <w:sz w:val="24"/>
          <w:szCs w:val="24"/>
        </w:rPr>
        <w:t>Additionally, facilities certified to PC3 or PC4 are inspected by OGTR staff prior to certification and at least once every three years thereafter.</w:t>
      </w:r>
      <w:r w:rsidR="00C2506B">
        <w:rPr>
          <w:rFonts w:ascii="Times New Roman" w:hAnsi="Times New Roman" w:cs="Times New Roman"/>
          <w:sz w:val="24"/>
          <w:szCs w:val="24"/>
        </w:rPr>
        <w:t xml:space="preserve"> </w:t>
      </w:r>
      <w:r w:rsidR="00C2506B" w:rsidRPr="00C2506B">
        <w:rPr>
          <w:rFonts w:ascii="Times New Roman" w:hAnsi="Times New Roman" w:cs="Times New Roman"/>
          <w:sz w:val="24"/>
          <w:szCs w:val="24"/>
        </w:rPr>
        <w:t>The OGTR’s Monitoring and Compliance section also routinely undertakes inspections of facilities to assess compliance with certification conditions.</w:t>
      </w:r>
    </w:p>
    <w:p w14:paraId="4F067543" w14:textId="77777777" w:rsidR="004F271E" w:rsidRPr="00DE0C7B" w:rsidRDefault="004F271E" w:rsidP="004F271E">
      <w:pPr>
        <w:spacing w:before="120" w:after="120"/>
        <w:rPr>
          <w:rFonts w:ascii="Times New Roman" w:hAnsi="Times New Roman" w:cs="Times New Roman"/>
          <w:color w:val="0000FF"/>
          <w:sz w:val="24"/>
          <w:szCs w:val="24"/>
          <w:u w:val="single"/>
        </w:rPr>
      </w:pPr>
      <w:r w:rsidRPr="00DE0C7B">
        <w:rPr>
          <w:rFonts w:ascii="Times New Roman" w:hAnsi="Times New Roman" w:cs="Times New Roman"/>
          <w:sz w:val="24"/>
          <w:szCs w:val="24"/>
        </w:rPr>
        <w:t xml:space="preserve">The Regulator’s guidelines for the certification of facilities </w:t>
      </w:r>
      <w:r>
        <w:rPr>
          <w:rFonts w:ascii="Times New Roman" w:hAnsi="Times New Roman" w:cs="Times New Roman"/>
          <w:sz w:val="24"/>
          <w:szCs w:val="24"/>
        </w:rPr>
        <w:t xml:space="preserve">and supporting explanatory information </w:t>
      </w:r>
      <w:r w:rsidRPr="00DE0C7B">
        <w:rPr>
          <w:rFonts w:ascii="Times New Roman" w:hAnsi="Times New Roman" w:cs="Times New Roman"/>
          <w:sz w:val="24"/>
          <w:szCs w:val="24"/>
        </w:rPr>
        <w:t xml:space="preserve">can be found on the </w:t>
      </w:r>
      <w:r>
        <w:rPr>
          <w:rFonts w:ascii="Times New Roman" w:hAnsi="Times New Roman" w:cs="Times New Roman"/>
          <w:sz w:val="24"/>
          <w:szCs w:val="24"/>
        </w:rPr>
        <w:t xml:space="preserve">Regulator’s </w:t>
      </w:r>
      <w:r w:rsidRPr="00DE0C7B">
        <w:rPr>
          <w:rFonts w:ascii="Times New Roman" w:hAnsi="Times New Roman" w:cs="Times New Roman"/>
          <w:sz w:val="24"/>
          <w:szCs w:val="24"/>
        </w:rPr>
        <w:t>website</w:t>
      </w:r>
      <w:r w:rsidRPr="00187BF0">
        <w:rPr>
          <w:rStyle w:val="FootnoteReference"/>
          <w:rFonts w:ascii="Times New Roman" w:hAnsi="Times New Roman" w:cs="Times New Roman"/>
          <w:sz w:val="24"/>
          <w:szCs w:val="24"/>
        </w:rPr>
        <w:footnoteReference w:id="16"/>
      </w:r>
      <w:r>
        <w:rPr>
          <w:rFonts w:ascii="Times New Roman" w:hAnsi="Times New Roman" w:cs="Times New Roman"/>
          <w:sz w:val="24"/>
          <w:szCs w:val="24"/>
        </w:rPr>
        <w:t>.</w:t>
      </w:r>
    </w:p>
    <w:p w14:paraId="45CD6A93" w14:textId="77777777" w:rsidR="00441A2F" w:rsidRDefault="00441A2F" w:rsidP="00441A2F">
      <w:pPr>
        <w:spacing w:before="120" w:after="120"/>
        <w:rPr>
          <w:rFonts w:ascii="Times New Roman" w:hAnsi="Times New Roman" w:cs="Times New Roman"/>
          <w:sz w:val="24"/>
          <w:szCs w:val="24"/>
        </w:rPr>
      </w:pPr>
      <w:r w:rsidRPr="00DE0C7B">
        <w:rPr>
          <w:rFonts w:ascii="Times New Roman" w:hAnsi="Times New Roman" w:cs="Times New Roman"/>
          <w:sz w:val="24"/>
          <w:szCs w:val="24"/>
        </w:rPr>
        <w:t>These guidelines are outcome focused in nature in that they specify particular characteristics of facilities and the required containment outcomes, then allow the facility holder to decide how to meet those requirements. This allows for flexibility; with facility holders choosing building materials, equipment, chemicals and procedure</w:t>
      </w:r>
      <w:r>
        <w:rPr>
          <w:rFonts w:ascii="Times New Roman" w:hAnsi="Times New Roman" w:cs="Times New Roman"/>
          <w:sz w:val="24"/>
          <w:szCs w:val="24"/>
        </w:rPr>
        <w:t>s</w:t>
      </w:r>
      <w:r w:rsidRPr="00DE0C7B">
        <w:rPr>
          <w:rFonts w:ascii="Times New Roman" w:hAnsi="Times New Roman" w:cs="Times New Roman"/>
          <w:sz w:val="24"/>
          <w:szCs w:val="24"/>
        </w:rPr>
        <w:t xml:space="preserve"> which best fit their needs, while still meeting the Regulator’s requirements.</w:t>
      </w:r>
      <w:r>
        <w:rPr>
          <w:rFonts w:ascii="Times New Roman" w:hAnsi="Times New Roman" w:cs="Times New Roman"/>
          <w:sz w:val="24"/>
          <w:szCs w:val="24"/>
        </w:rPr>
        <w:t xml:space="preserve"> H</w:t>
      </w:r>
      <w:r w:rsidRPr="00DE0C7B">
        <w:rPr>
          <w:rFonts w:ascii="Times New Roman" w:hAnsi="Times New Roman" w:cs="Times New Roman"/>
          <w:sz w:val="24"/>
          <w:szCs w:val="24"/>
        </w:rPr>
        <w:t>owever</w:t>
      </w:r>
      <w:r>
        <w:rPr>
          <w:rFonts w:ascii="Times New Roman" w:hAnsi="Times New Roman" w:cs="Times New Roman"/>
          <w:sz w:val="24"/>
          <w:szCs w:val="24"/>
        </w:rPr>
        <w:t>, facility holders</w:t>
      </w:r>
      <w:r w:rsidRPr="00DE0C7B">
        <w:rPr>
          <w:rFonts w:ascii="Times New Roman" w:hAnsi="Times New Roman" w:cs="Times New Roman"/>
          <w:sz w:val="24"/>
          <w:szCs w:val="24"/>
        </w:rPr>
        <w:t xml:space="preserve"> must be able to explain how the facility meets each of the requirements and provide evidence of efficacy as required.</w:t>
      </w:r>
    </w:p>
    <w:p w14:paraId="747E5E12" w14:textId="77777777" w:rsidR="00E2779A" w:rsidRDefault="00E2779A" w:rsidP="00E92C35">
      <w:pPr>
        <w:pStyle w:val="Heading2"/>
      </w:pPr>
      <w:r>
        <w:t>Movement of GMOs</w:t>
      </w:r>
    </w:p>
    <w:p w14:paraId="2EEBBC1F" w14:textId="58AB2F48" w:rsidR="00CA7F9C" w:rsidRDefault="004F271E" w:rsidP="00DE0C7B">
      <w:pPr>
        <w:spacing w:before="120" w:after="120"/>
        <w:rPr>
          <w:rFonts w:ascii="Times New Roman" w:hAnsi="Times New Roman" w:cs="Times New Roman"/>
          <w:sz w:val="24"/>
          <w:szCs w:val="24"/>
        </w:rPr>
      </w:pPr>
      <w:r w:rsidRPr="00DE0C7B">
        <w:rPr>
          <w:rFonts w:ascii="Times New Roman" w:hAnsi="Times New Roman" w:cs="Times New Roman"/>
          <w:sz w:val="24"/>
          <w:szCs w:val="24"/>
        </w:rPr>
        <w:t>The</w:t>
      </w:r>
      <w:r>
        <w:rPr>
          <w:rFonts w:ascii="Times New Roman" w:hAnsi="Times New Roman" w:cs="Times New Roman"/>
          <w:sz w:val="24"/>
          <w:szCs w:val="24"/>
        </w:rPr>
        <w:t xml:space="preserve"> facility guidelines are supported by the</w:t>
      </w:r>
      <w:r w:rsidRPr="00DE0C7B">
        <w:rPr>
          <w:rFonts w:ascii="Times New Roman" w:hAnsi="Times New Roman" w:cs="Times New Roman"/>
          <w:sz w:val="24"/>
          <w:szCs w:val="24"/>
        </w:rPr>
        <w:t xml:space="preserve"> Regulator’s </w:t>
      </w:r>
      <w:r w:rsidRPr="00E92C35">
        <w:rPr>
          <w:rFonts w:ascii="Times New Roman" w:hAnsi="Times New Roman" w:cs="Times New Roman"/>
          <w:i/>
          <w:sz w:val="24"/>
          <w:szCs w:val="24"/>
        </w:rPr>
        <w:t>Guidelines for the Transport, Storage and Disposal of GMOs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E2779A">
        <w:rPr>
          <w:rFonts w:ascii="Times New Roman" w:hAnsi="Times New Roman" w:cs="Times New Roman"/>
          <w:sz w:val="24"/>
          <w:szCs w:val="24"/>
        </w:rPr>
        <w:t xml:space="preserve">(the TSDs) </w:t>
      </w:r>
      <w:r>
        <w:rPr>
          <w:rFonts w:ascii="Times New Roman" w:hAnsi="Times New Roman" w:cs="Times New Roman"/>
          <w:sz w:val="24"/>
          <w:szCs w:val="24"/>
        </w:rPr>
        <w:t>which specify how GMOs are to be transported, stored or disposed of while within Australia. This includes packaging and labelling requirements for GMOs which apply from the moment they are imported into Australia</w:t>
      </w:r>
      <w:r w:rsidR="00746001">
        <w:rPr>
          <w:rFonts w:ascii="Times New Roman" w:hAnsi="Times New Roman" w:cs="Times New Roman"/>
          <w:sz w:val="24"/>
          <w:szCs w:val="24"/>
        </w:rPr>
        <w:t>;</w:t>
      </w:r>
      <w:r w:rsidR="00441A2F">
        <w:rPr>
          <w:rFonts w:ascii="Times New Roman" w:hAnsi="Times New Roman" w:cs="Times New Roman"/>
          <w:sz w:val="24"/>
          <w:szCs w:val="24"/>
        </w:rPr>
        <w:t xml:space="preserve"> for all movement in Australia</w:t>
      </w:r>
      <w:r w:rsidR="00746001">
        <w:rPr>
          <w:rFonts w:ascii="Times New Roman" w:hAnsi="Times New Roman" w:cs="Times New Roman"/>
          <w:sz w:val="24"/>
          <w:szCs w:val="24"/>
        </w:rPr>
        <w:t>;</w:t>
      </w:r>
      <w:r>
        <w:rPr>
          <w:rFonts w:ascii="Times New Roman" w:hAnsi="Times New Roman" w:cs="Times New Roman"/>
          <w:sz w:val="24"/>
          <w:szCs w:val="24"/>
        </w:rPr>
        <w:t xml:space="preserve"> and</w:t>
      </w:r>
      <w:r w:rsidR="00441A2F">
        <w:rPr>
          <w:rFonts w:ascii="Times New Roman" w:hAnsi="Times New Roman" w:cs="Times New Roman"/>
          <w:sz w:val="24"/>
          <w:szCs w:val="24"/>
        </w:rPr>
        <w:t>,</w:t>
      </w:r>
      <w:r>
        <w:rPr>
          <w:rFonts w:ascii="Times New Roman" w:hAnsi="Times New Roman" w:cs="Times New Roman"/>
          <w:sz w:val="24"/>
          <w:szCs w:val="24"/>
        </w:rPr>
        <w:t xml:space="preserve"> for GMOs being exported, up to the point of departure from </w:t>
      </w:r>
      <w:r>
        <w:rPr>
          <w:rFonts w:ascii="Times New Roman" w:hAnsi="Times New Roman" w:cs="Times New Roman"/>
          <w:sz w:val="24"/>
          <w:szCs w:val="24"/>
        </w:rPr>
        <w:lastRenderedPageBreak/>
        <w:t xml:space="preserve">Australia. These guidelines are consistent with the </w:t>
      </w:r>
      <w:r w:rsidR="00B41181" w:rsidRPr="00B41181">
        <w:rPr>
          <w:rFonts w:ascii="Times New Roman" w:hAnsi="Times New Roman" w:cs="Times New Roman"/>
          <w:sz w:val="24"/>
          <w:szCs w:val="24"/>
        </w:rPr>
        <w:t xml:space="preserve">International Air Transport Association (IATA) </w:t>
      </w:r>
      <w:r w:rsidR="00B41181">
        <w:rPr>
          <w:rFonts w:ascii="Times New Roman" w:hAnsi="Times New Roman" w:cs="Times New Roman"/>
          <w:sz w:val="24"/>
          <w:szCs w:val="24"/>
        </w:rPr>
        <w:t>D</w:t>
      </w:r>
      <w:r>
        <w:rPr>
          <w:rFonts w:ascii="Times New Roman" w:hAnsi="Times New Roman" w:cs="Times New Roman"/>
          <w:sz w:val="24"/>
          <w:szCs w:val="24"/>
        </w:rPr>
        <w:t xml:space="preserve">angerous </w:t>
      </w:r>
      <w:r w:rsidR="00B41181">
        <w:rPr>
          <w:rFonts w:ascii="Times New Roman" w:hAnsi="Times New Roman" w:cs="Times New Roman"/>
          <w:sz w:val="24"/>
          <w:szCs w:val="24"/>
        </w:rPr>
        <w:t>G</w:t>
      </w:r>
      <w:r>
        <w:rPr>
          <w:rFonts w:ascii="Times New Roman" w:hAnsi="Times New Roman" w:cs="Times New Roman"/>
          <w:sz w:val="24"/>
          <w:szCs w:val="24"/>
        </w:rPr>
        <w:t>oods</w:t>
      </w:r>
      <w:r w:rsidR="00B41181">
        <w:rPr>
          <w:rFonts w:ascii="Times New Roman" w:hAnsi="Times New Roman" w:cs="Times New Roman"/>
          <w:sz w:val="24"/>
          <w:szCs w:val="24"/>
        </w:rPr>
        <w:t xml:space="preserve"> Regulations</w:t>
      </w:r>
      <w:r w:rsidR="00B41181">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B41181">
        <w:rPr>
          <w:rFonts w:ascii="Times New Roman" w:hAnsi="Times New Roman" w:cs="Times New Roman"/>
          <w:sz w:val="24"/>
          <w:szCs w:val="24"/>
        </w:rPr>
        <w:t xml:space="preserve">packaging and labelling </w:t>
      </w:r>
      <w:r>
        <w:rPr>
          <w:rFonts w:ascii="Times New Roman" w:hAnsi="Times New Roman" w:cs="Times New Roman"/>
          <w:sz w:val="24"/>
          <w:szCs w:val="24"/>
        </w:rPr>
        <w:t xml:space="preserve">requirements for GMOs </w:t>
      </w:r>
      <w:r w:rsidR="00B41181">
        <w:rPr>
          <w:rFonts w:ascii="Times New Roman" w:hAnsi="Times New Roman" w:cs="Times New Roman"/>
          <w:sz w:val="24"/>
          <w:szCs w:val="24"/>
        </w:rPr>
        <w:t>which are infectious substances.</w:t>
      </w:r>
      <w:r w:rsidR="00E2779A">
        <w:rPr>
          <w:rFonts w:ascii="Times New Roman" w:hAnsi="Times New Roman" w:cs="Times New Roman"/>
          <w:sz w:val="24"/>
          <w:szCs w:val="24"/>
        </w:rPr>
        <w:t xml:space="preserve"> </w:t>
      </w:r>
    </w:p>
    <w:p w14:paraId="249CB42D" w14:textId="4BC46A16" w:rsidR="00FF2258" w:rsidRDefault="00CA7F9C" w:rsidP="00DE0C7B">
      <w:pPr>
        <w:spacing w:before="120" w:after="120"/>
        <w:rPr>
          <w:rFonts w:ascii="Times New Roman" w:hAnsi="Times New Roman" w:cs="Times New Roman"/>
          <w:sz w:val="24"/>
          <w:szCs w:val="24"/>
        </w:rPr>
      </w:pPr>
      <w:r w:rsidRPr="00081716">
        <w:rPr>
          <w:rFonts w:ascii="Times New Roman" w:hAnsi="Times New Roman" w:cs="Times New Roman"/>
          <w:sz w:val="24"/>
          <w:szCs w:val="24"/>
        </w:rPr>
        <w:t xml:space="preserve">Australia notes that the Cartagena Protocol does not apply to the transboundary movement of living modified organisms destined for contained use undertaken in accordance with the standards of the Party of import. </w:t>
      </w:r>
      <w:r w:rsidR="003E2BFD">
        <w:rPr>
          <w:rFonts w:ascii="Times New Roman" w:hAnsi="Times New Roman"/>
          <w:sz w:val="24"/>
          <w:szCs w:val="24"/>
        </w:rPr>
        <w:t>Australia’s regulations include conditions which must be met to import biological, plant or animal materials (including GMOs). Many goods also require an import permit for which applications are submitted to the Australian Government Department of Agriculture and Water Resources (DAWR) for assessment.</w:t>
      </w:r>
    </w:p>
    <w:p w14:paraId="2AB8DDB1" w14:textId="7278D220" w:rsidR="00E2779A" w:rsidRDefault="00FF2258" w:rsidP="00DE0C7B">
      <w:pPr>
        <w:spacing w:before="120" w:after="120"/>
        <w:rPr>
          <w:rFonts w:ascii="Times New Roman" w:hAnsi="Times New Roman" w:cs="Times New Roman"/>
          <w:sz w:val="24"/>
          <w:szCs w:val="24"/>
        </w:rPr>
      </w:pPr>
      <w:r>
        <w:rPr>
          <w:rFonts w:ascii="Times New Roman" w:hAnsi="Times New Roman" w:cs="Times New Roman"/>
          <w:sz w:val="24"/>
          <w:szCs w:val="24"/>
        </w:rPr>
        <w:t>I</w:t>
      </w:r>
      <w:r w:rsidR="00E2779A">
        <w:rPr>
          <w:rFonts w:ascii="Times New Roman" w:hAnsi="Times New Roman" w:cs="Times New Roman"/>
          <w:sz w:val="24"/>
          <w:szCs w:val="24"/>
        </w:rPr>
        <w:t>mport is a dealing regulated under the GT Act and importing organisations are required to have the appropriate approvals in place prior to importing the GMO. Unless alternative approvals have been given, all GMOs entering Australia are required to be packaged and labelled in accordance with the TSD’s.</w:t>
      </w:r>
      <w:r w:rsidR="009E5B32">
        <w:rPr>
          <w:rFonts w:ascii="Times New Roman" w:hAnsi="Times New Roman" w:cs="Times New Roman"/>
          <w:sz w:val="24"/>
          <w:szCs w:val="24"/>
        </w:rPr>
        <w:t xml:space="preserve"> </w:t>
      </w:r>
      <w:r>
        <w:rPr>
          <w:rFonts w:ascii="Times New Roman" w:hAnsi="Times New Roman" w:cs="Times New Roman"/>
          <w:sz w:val="24"/>
          <w:szCs w:val="24"/>
        </w:rPr>
        <w:t>L</w:t>
      </w:r>
      <w:r w:rsidRPr="00FF2258">
        <w:rPr>
          <w:rFonts w:ascii="Times New Roman" w:hAnsi="Times New Roman" w:cs="Times New Roman"/>
          <w:sz w:val="24"/>
          <w:szCs w:val="24"/>
        </w:rPr>
        <w:t>ive plant or animal specimens, or reproductive material, may only be imported if they appear on the live import list</w:t>
      </w:r>
      <w:r>
        <w:rPr>
          <w:rStyle w:val="FootnoteReference"/>
          <w:rFonts w:ascii="Times New Roman" w:hAnsi="Times New Roman" w:cs="Times New Roman"/>
          <w:sz w:val="24"/>
          <w:szCs w:val="24"/>
        </w:rPr>
        <w:footnoteReference w:id="19"/>
      </w:r>
      <w:r w:rsidRPr="00FF2258">
        <w:rPr>
          <w:rFonts w:ascii="Times New Roman" w:hAnsi="Times New Roman" w:cs="Times New Roman"/>
          <w:sz w:val="24"/>
          <w:szCs w:val="24"/>
        </w:rPr>
        <w:t xml:space="preserve"> under </w:t>
      </w:r>
      <w:r w:rsidR="00776D3A">
        <w:rPr>
          <w:rFonts w:ascii="Times New Roman" w:hAnsi="Times New Roman" w:cs="Times New Roman"/>
          <w:sz w:val="24"/>
          <w:szCs w:val="24"/>
        </w:rPr>
        <w:t xml:space="preserve">the </w:t>
      </w:r>
      <w:r>
        <w:rPr>
          <w:rFonts w:ascii="Times New Roman" w:hAnsi="Times New Roman" w:cs="Times New Roman"/>
          <w:sz w:val="24"/>
          <w:szCs w:val="24"/>
        </w:rPr>
        <w:t>EPBC Act</w:t>
      </w:r>
      <w:r w:rsidRPr="00FF2258">
        <w:rPr>
          <w:rFonts w:ascii="Times New Roman" w:hAnsi="Times New Roman" w:cs="Times New Roman"/>
          <w:sz w:val="24"/>
          <w:szCs w:val="24"/>
        </w:rPr>
        <w:t xml:space="preserve"> and may require a live import permit under the EPBC Act</w:t>
      </w:r>
      <w:r>
        <w:rPr>
          <w:rFonts w:ascii="Times New Roman" w:hAnsi="Times New Roman" w:cs="Times New Roman"/>
          <w:sz w:val="24"/>
          <w:szCs w:val="24"/>
        </w:rPr>
        <w:t xml:space="preserve">. </w:t>
      </w:r>
      <w:r w:rsidR="009E5B32">
        <w:rPr>
          <w:rFonts w:ascii="Times New Roman" w:hAnsi="Times New Roman" w:cs="Times New Roman"/>
          <w:sz w:val="24"/>
          <w:szCs w:val="24"/>
        </w:rPr>
        <w:t xml:space="preserve">Import of viable GMOs must also comply with the requirements of the </w:t>
      </w:r>
      <w:r w:rsidR="009E5B32" w:rsidRPr="006C14D4">
        <w:rPr>
          <w:rFonts w:ascii="Times New Roman" w:hAnsi="Times New Roman" w:cs="Times New Roman"/>
          <w:i/>
          <w:sz w:val="24"/>
          <w:szCs w:val="24"/>
        </w:rPr>
        <w:t xml:space="preserve">Biosecurity Act </w:t>
      </w:r>
      <w:r w:rsidR="009E5B32" w:rsidRPr="00746001">
        <w:rPr>
          <w:rFonts w:ascii="Times New Roman" w:hAnsi="Times New Roman" w:cs="Times New Roman"/>
          <w:i/>
          <w:sz w:val="24"/>
          <w:szCs w:val="24"/>
        </w:rPr>
        <w:t>2015</w:t>
      </w:r>
      <w:r w:rsidR="009E5B32">
        <w:rPr>
          <w:rFonts w:ascii="Times New Roman" w:hAnsi="Times New Roman" w:cs="Times New Roman"/>
          <w:sz w:val="24"/>
          <w:szCs w:val="24"/>
        </w:rPr>
        <w:t xml:space="preserve">. </w:t>
      </w:r>
      <w:r w:rsidR="00367FBE">
        <w:rPr>
          <w:rFonts w:ascii="Times New Roman" w:hAnsi="Times New Roman" w:cs="Times New Roman"/>
          <w:sz w:val="24"/>
          <w:szCs w:val="24"/>
        </w:rPr>
        <w:t>The Regulator works closely with existing customs arrangements to ensure the import of GMOs is managed</w:t>
      </w:r>
      <w:r w:rsidR="00367FBE" w:rsidRPr="004A63B1">
        <w:rPr>
          <w:rFonts w:ascii="Times New Roman" w:hAnsi="Times New Roman" w:cs="Times New Roman"/>
          <w:sz w:val="24"/>
          <w:szCs w:val="24"/>
        </w:rPr>
        <w:t xml:space="preserve"> </w:t>
      </w:r>
      <w:r w:rsidR="00367FBE">
        <w:rPr>
          <w:rFonts w:ascii="Times New Roman" w:hAnsi="Times New Roman" w:cs="Times New Roman"/>
          <w:sz w:val="24"/>
          <w:szCs w:val="24"/>
        </w:rPr>
        <w:t xml:space="preserve">appropriately. </w:t>
      </w:r>
    </w:p>
    <w:p w14:paraId="111DA3C0" w14:textId="753A4375" w:rsidR="004F271E" w:rsidRDefault="00E2779A" w:rsidP="00DE0C7B">
      <w:pPr>
        <w:spacing w:before="120" w:after="120"/>
        <w:rPr>
          <w:rFonts w:ascii="Times New Roman" w:hAnsi="Times New Roman" w:cs="Times New Roman"/>
          <w:sz w:val="24"/>
          <w:szCs w:val="24"/>
        </w:rPr>
      </w:pPr>
      <w:r>
        <w:rPr>
          <w:rFonts w:ascii="Times New Roman" w:hAnsi="Times New Roman" w:cs="Times New Roman"/>
          <w:sz w:val="24"/>
          <w:szCs w:val="24"/>
        </w:rPr>
        <w:t>Export is not a regulated dealing under the GT Act. Howe</w:t>
      </w:r>
      <w:r w:rsidR="009E5B32">
        <w:rPr>
          <w:rFonts w:ascii="Times New Roman" w:hAnsi="Times New Roman" w:cs="Times New Roman"/>
          <w:sz w:val="24"/>
          <w:szCs w:val="24"/>
        </w:rPr>
        <w:t>ver, GMOs transported to the bo</w:t>
      </w:r>
      <w:r>
        <w:rPr>
          <w:rFonts w:ascii="Times New Roman" w:hAnsi="Times New Roman" w:cs="Times New Roman"/>
          <w:sz w:val="24"/>
          <w:szCs w:val="24"/>
        </w:rPr>
        <w:t>rder must be transported in accordance with the TSDs, this includes the outermost packaging being labelled as containing GMOs. Packaging for export would also be expected to comply with the IATA Dangerous Goods Regulations.</w:t>
      </w:r>
      <w:r w:rsidR="00FF2258">
        <w:rPr>
          <w:rFonts w:ascii="Times New Roman" w:hAnsi="Times New Roman" w:cs="Times New Roman"/>
          <w:sz w:val="24"/>
          <w:szCs w:val="24"/>
        </w:rPr>
        <w:t xml:space="preserve"> Export of viable GMOs must also comply with the requirements of the </w:t>
      </w:r>
      <w:r w:rsidR="00FF2258" w:rsidRPr="006C14D4">
        <w:rPr>
          <w:rFonts w:ascii="Times New Roman" w:hAnsi="Times New Roman" w:cs="Times New Roman"/>
          <w:i/>
          <w:sz w:val="24"/>
          <w:szCs w:val="24"/>
        </w:rPr>
        <w:t xml:space="preserve">Biosecurity Act </w:t>
      </w:r>
      <w:r w:rsidR="00FF2258" w:rsidRPr="009E5B32">
        <w:rPr>
          <w:rFonts w:ascii="Times New Roman" w:hAnsi="Times New Roman" w:cs="Times New Roman"/>
          <w:sz w:val="24"/>
          <w:szCs w:val="24"/>
        </w:rPr>
        <w:t>2015</w:t>
      </w:r>
      <w:r w:rsidR="00FF2258">
        <w:rPr>
          <w:rFonts w:ascii="Times New Roman" w:hAnsi="Times New Roman" w:cs="Times New Roman"/>
          <w:sz w:val="24"/>
          <w:szCs w:val="24"/>
        </w:rPr>
        <w:t>.</w:t>
      </w:r>
      <w:r w:rsidR="006475CB" w:rsidRPr="006475CB">
        <w:t xml:space="preserve"> </w:t>
      </w:r>
      <w:r w:rsidR="006475CB" w:rsidRPr="006475CB">
        <w:rPr>
          <w:rFonts w:ascii="Times New Roman" w:hAnsi="Times New Roman" w:cs="Times New Roman"/>
          <w:sz w:val="24"/>
          <w:szCs w:val="24"/>
        </w:rPr>
        <w:t>Statements on the GM status of shipments of plant products can be provided if required by the receiving country.</w:t>
      </w:r>
    </w:p>
    <w:p w14:paraId="391FA510" w14:textId="77777777" w:rsidR="000C1C99" w:rsidRDefault="000C1C99" w:rsidP="000C1C99">
      <w:pPr>
        <w:pStyle w:val="Heading2"/>
      </w:pPr>
      <w:r>
        <w:t>Monitoring for compliance</w:t>
      </w:r>
    </w:p>
    <w:p w14:paraId="0E0C2604" w14:textId="66F5806F" w:rsidR="000C1C99" w:rsidRPr="000C1C99" w:rsidRDefault="000C1C99" w:rsidP="000C1C99">
      <w:pPr>
        <w:spacing w:before="120" w:after="120"/>
        <w:rPr>
          <w:rFonts w:ascii="Times New Roman" w:hAnsi="Times New Roman" w:cs="Times New Roman"/>
          <w:sz w:val="24"/>
          <w:szCs w:val="24"/>
        </w:rPr>
      </w:pPr>
      <w:r w:rsidRPr="000C1C99">
        <w:rPr>
          <w:rFonts w:ascii="Times New Roman" w:hAnsi="Times New Roman" w:cs="Times New Roman"/>
          <w:sz w:val="24"/>
          <w:szCs w:val="24"/>
        </w:rPr>
        <w:t>The Monitoring and Compliance Section supports the Regulator by undertaking monitoring, audits, inspections and investigations under the auspices of the GT Act. Monitoring and compliance activities also comprise risk assessment and management, reviews of an organisati</w:t>
      </w:r>
      <w:r>
        <w:rPr>
          <w:rFonts w:ascii="Times New Roman" w:hAnsi="Times New Roman" w:cs="Times New Roman"/>
          <w:sz w:val="24"/>
          <w:szCs w:val="24"/>
        </w:rPr>
        <w:t>on's activities</w:t>
      </w:r>
      <w:r w:rsidR="00746001">
        <w:rPr>
          <w:rFonts w:ascii="Times New Roman" w:hAnsi="Times New Roman" w:cs="Times New Roman"/>
          <w:sz w:val="24"/>
          <w:szCs w:val="24"/>
        </w:rPr>
        <w:t>,</w:t>
      </w:r>
      <w:r>
        <w:rPr>
          <w:rFonts w:ascii="Times New Roman" w:hAnsi="Times New Roman" w:cs="Times New Roman"/>
          <w:sz w:val="24"/>
          <w:szCs w:val="24"/>
        </w:rPr>
        <w:t xml:space="preserve"> and reporting. </w:t>
      </w:r>
    </w:p>
    <w:p w14:paraId="031B1AB5" w14:textId="77777777" w:rsidR="000C1C99" w:rsidRDefault="000C1C99" w:rsidP="00B91045">
      <w:pPr>
        <w:spacing w:before="120" w:after="120"/>
        <w:rPr>
          <w:rFonts w:ascii="Times New Roman" w:hAnsi="Times New Roman" w:cs="Times New Roman"/>
          <w:sz w:val="24"/>
          <w:szCs w:val="24"/>
        </w:rPr>
      </w:pPr>
      <w:r w:rsidRPr="000C1C99">
        <w:rPr>
          <w:rFonts w:ascii="Times New Roman" w:hAnsi="Times New Roman" w:cs="Times New Roman"/>
          <w:sz w:val="24"/>
          <w:szCs w:val="24"/>
        </w:rPr>
        <w:t xml:space="preserve">The aim of the OGTR monitoring and compliance activities is to ensure that dealings with </w:t>
      </w:r>
      <w:r>
        <w:rPr>
          <w:rFonts w:ascii="Times New Roman" w:hAnsi="Times New Roman" w:cs="Times New Roman"/>
          <w:sz w:val="24"/>
          <w:szCs w:val="24"/>
        </w:rPr>
        <w:t>GMOs</w:t>
      </w:r>
      <w:r w:rsidRPr="000C1C99">
        <w:rPr>
          <w:rFonts w:ascii="Times New Roman" w:hAnsi="Times New Roman" w:cs="Times New Roman"/>
          <w:sz w:val="24"/>
          <w:szCs w:val="24"/>
        </w:rPr>
        <w:t xml:space="preserve"> comply with regulatory requirements. These requirements are designed</w:t>
      </w:r>
      <w:r>
        <w:rPr>
          <w:rFonts w:ascii="Times New Roman" w:hAnsi="Times New Roman" w:cs="Times New Roman"/>
          <w:sz w:val="24"/>
          <w:szCs w:val="24"/>
        </w:rPr>
        <w:t xml:space="preserve"> to meet the object of the GT </w:t>
      </w:r>
      <w:r w:rsidR="00B91045">
        <w:rPr>
          <w:rFonts w:ascii="Times New Roman" w:hAnsi="Times New Roman" w:cs="Times New Roman"/>
          <w:sz w:val="24"/>
          <w:szCs w:val="24"/>
        </w:rPr>
        <w:t>Act.</w:t>
      </w:r>
    </w:p>
    <w:p w14:paraId="41DC4E85" w14:textId="77777777" w:rsidR="00EC7CBA" w:rsidRDefault="00EC7CBA" w:rsidP="00B91045">
      <w:pPr>
        <w:spacing w:before="120" w:after="120"/>
        <w:rPr>
          <w:rFonts w:ascii="Times New Roman" w:hAnsi="Times New Roman" w:cs="Times New Roman"/>
          <w:sz w:val="24"/>
          <w:szCs w:val="24"/>
        </w:rPr>
      </w:pPr>
      <w:r w:rsidRPr="00DE0C7B">
        <w:rPr>
          <w:rFonts w:ascii="Times New Roman" w:hAnsi="Times New Roman" w:cs="Times New Roman"/>
          <w:sz w:val="24"/>
          <w:szCs w:val="24"/>
        </w:rPr>
        <w:t xml:space="preserve">The GT Act allows OGTR inspectors to enter a </w:t>
      </w:r>
      <w:r>
        <w:rPr>
          <w:rFonts w:ascii="Times New Roman" w:hAnsi="Times New Roman" w:cs="Times New Roman"/>
          <w:sz w:val="24"/>
          <w:szCs w:val="24"/>
        </w:rPr>
        <w:t xml:space="preserve">release site or </w:t>
      </w:r>
      <w:r w:rsidRPr="00DE0C7B">
        <w:rPr>
          <w:rFonts w:ascii="Times New Roman" w:hAnsi="Times New Roman" w:cs="Times New Roman"/>
          <w:sz w:val="24"/>
          <w:szCs w:val="24"/>
        </w:rPr>
        <w:t>certified facility at any time. Typically th</w:t>
      </w:r>
      <w:r>
        <w:rPr>
          <w:rFonts w:ascii="Times New Roman" w:hAnsi="Times New Roman" w:cs="Times New Roman"/>
          <w:sz w:val="24"/>
          <w:szCs w:val="24"/>
        </w:rPr>
        <w:t>is would be an announced visit,</w:t>
      </w:r>
      <w:r w:rsidRPr="00DE0C7B">
        <w:rPr>
          <w:rFonts w:ascii="Times New Roman" w:hAnsi="Times New Roman" w:cs="Times New Roman"/>
          <w:sz w:val="24"/>
          <w:szCs w:val="24"/>
        </w:rPr>
        <w:t xml:space="preserve"> </w:t>
      </w:r>
      <w:r>
        <w:rPr>
          <w:rFonts w:ascii="Times New Roman" w:hAnsi="Times New Roman" w:cs="Times New Roman"/>
          <w:sz w:val="24"/>
          <w:szCs w:val="24"/>
        </w:rPr>
        <w:t>in that</w:t>
      </w:r>
      <w:r w:rsidRPr="00DE0C7B">
        <w:rPr>
          <w:rFonts w:ascii="Times New Roman" w:hAnsi="Times New Roman" w:cs="Times New Roman"/>
          <w:sz w:val="24"/>
          <w:szCs w:val="24"/>
        </w:rPr>
        <w:t xml:space="preserve"> the </w:t>
      </w:r>
      <w:r>
        <w:rPr>
          <w:rFonts w:ascii="Times New Roman" w:hAnsi="Times New Roman" w:cs="Times New Roman"/>
          <w:sz w:val="24"/>
          <w:szCs w:val="24"/>
        </w:rPr>
        <w:t>responsible person/organisation</w:t>
      </w:r>
      <w:r w:rsidRPr="00DE0C7B">
        <w:rPr>
          <w:rFonts w:ascii="Times New Roman" w:hAnsi="Times New Roman" w:cs="Times New Roman"/>
          <w:sz w:val="24"/>
          <w:szCs w:val="24"/>
        </w:rPr>
        <w:t xml:space="preserve"> would be informed of the inspector’s intention to visit and a time agreed upon. However the GT Act also allow</w:t>
      </w:r>
      <w:r>
        <w:rPr>
          <w:rFonts w:ascii="Times New Roman" w:hAnsi="Times New Roman" w:cs="Times New Roman"/>
          <w:sz w:val="24"/>
          <w:szCs w:val="24"/>
        </w:rPr>
        <w:t>s</w:t>
      </w:r>
      <w:r w:rsidRPr="00DE0C7B">
        <w:rPr>
          <w:rFonts w:ascii="Times New Roman" w:hAnsi="Times New Roman" w:cs="Times New Roman"/>
          <w:sz w:val="24"/>
          <w:szCs w:val="24"/>
        </w:rPr>
        <w:t xml:space="preserve"> for unannounced visits.</w:t>
      </w:r>
    </w:p>
    <w:p w14:paraId="3BBD2A12" w14:textId="77777777" w:rsidR="00B91045" w:rsidRPr="000C1C99" w:rsidRDefault="00B91045" w:rsidP="00B91045">
      <w:pPr>
        <w:spacing w:before="120" w:after="120"/>
        <w:rPr>
          <w:rFonts w:ascii="Times New Roman" w:hAnsi="Times New Roman" w:cs="Times New Roman"/>
          <w:sz w:val="24"/>
          <w:szCs w:val="24"/>
        </w:rPr>
      </w:pPr>
      <w:r>
        <w:rPr>
          <w:rFonts w:ascii="Times New Roman" w:hAnsi="Times New Roman" w:cs="Times New Roman"/>
          <w:sz w:val="24"/>
          <w:szCs w:val="24"/>
        </w:rPr>
        <w:lastRenderedPageBreak/>
        <w:t xml:space="preserve">Information on </w:t>
      </w:r>
      <w:r w:rsidRPr="000C1C99">
        <w:rPr>
          <w:rFonts w:ascii="Times New Roman" w:hAnsi="Times New Roman" w:cs="Times New Roman"/>
          <w:sz w:val="24"/>
          <w:szCs w:val="24"/>
        </w:rPr>
        <w:t>Monitoring and Compliance</w:t>
      </w:r>
      <w:r>
        <w:rPr>
          <w:rFonts w:ascii="Times New Roman" w:hAnsi="Times New Roman" w:cs="Times New Roman"/>
          <w:sz w:val="24"/>
          <w:szCs w:val="24"/>
        </w:rPr>
        <w:t xml:space="preserve"> under the GT Act</w:t>
      </w:r>
      <w:r w:rsidR="00DA2A8A">
        <w:rPr>
          <w:rFonts w:ascii="Times New Roman" w:hAnsi="Times New Roman" w:cs="Times New Roman"/>
          <w:sz w:val="24"/>
          <w:szCs w:val="24"/>
        </w:rPr>
        <w:t xml:space="preserve">, </w:t>
      </w:r>
      <w:r>
        <w:rPr>
          <w:rFonts w:ascii="Times New Roman" w:hAnsi="Times New Roman" w:cs="Times New Roman"/>
          <w:sz w:val="24"/>
          <w:szCs w:val="24"/>
        </w:rPr>
        <w:t>includ</w:t>
      </w:r>
      <w:r w:rsidR="00DA2A8A">
        <w:rPr>
          <w:rFonts w:ascii="Times New Roman" w:hAnsi="Times New Roman" w:cs="Times New Roman"/>
          <w:sz w:val="24"/>
          <w:szCs w:val="24"/>
        </w:rPr>
        <w:t>ing</w:t>
      </w:r>
      <w:r>
        <w:rPr>
          <w:rFonts w:ascii="Times New Roman" w:hAnsi="Times New Roman" w:cs="Times New Roman"/>
          <w:sz w:val="24"/>
          <w:szCs w:val="24"/>
        </w:rPr>
        <w:t xml:space="preserve"> the Regulator’s </w:t>
      </w:r>
      <w:r w:rsidRPr="00B91045">
        <w:rPr>
          <w:rFonts w:ascii="Times New Roman" w:hAnsi="Times New Roman" w:cs="Times New Roman"/>
          <w:i/>
          <w:sz w:val="24"/>
          <w:szCs w:val="24"/>
        </w:rPr>
        <w:t>Compliance and Enforcement Policy</w:t>
      </w:r>
      <w:r>
        <w:rPr>
          <w:rFonts w:ascii="Times New Roman" w:hAnsi="Times New Roman" w:cs="Times New Roman"/>
          <w:sz w:val="24"/>
          <w:szCs w:val="24"/>
        </w:rPr>
        <w:t xml:space="preserve">, </w:t>
      </w:r>
      <w:r w:rsidRPr="00B91045">
        <w:rPr>
          <w:rFonts w:ascii="Times New Roman" w:hAnsi="Times New Roman" w:cs="Times New Roman"/>
          <w:i/>
          <w:sz w:val="24"/>
          <w:szCs w:val="24"/>
        </w:rPr>
        <w:t>Monitoring and Compliance Framework</w:t>
      </w:r>
      <w:r w:rsidRPr="00B91045">
        <w:rPr>
          <w:rFonts w:ascii="Times New Roman" w:hAnsi="Times New Roman" w:cs="Times New Roman"/>
          <w:sz w:val="24"/>
          <w:szCs w:val="24"/>
        </w:rPr>
        <w:t xml:space="preserve"> </w:t>
      </w:r>
      <w:r>
        <w:rPr>
          <w:rFonts w:ascii="Times New Roman" w:hAnsi="Times New Roman" w:cs="Times New Roman"/>
          <w:sz w:val="24"/>
          <w:szCs w:val="24"/>
        </w:rPr>
        <w:t>and a variety of related protocols</w:t>
      </w:r>
      <w:r w:rsidR="00DA2A8A">
        <w:rPr>
          <w:rFonts w:ascii="Times New Roman" w:hAnsi="Times New Roman" w:cs="Times New Roman"/>
          <w:sz w:val="24"/>
          <w:szCs w:val="24"/>
        </w:rPr>
        <w:t>,</w:t>
      </w:r>
      <w:r w:rsidR="00DA2A8A" w:rsidRPr="00DA2A8A">
        <w:rPr>
          <w:rFonts w:ascii="Times New Roman" w:hAnsi="Times New Roman" w:cs="Times New Roman"/>
          <w:sz w:val="24"/>
          <w:szCs w:val="24"/>
        </w:rPr>
        <w:t xml:space="preserve"> </w:t>
      </w:r>
      <w:r w:rsidR="00DA2A8A">
        <w:rPr>
          <w:rFonts w:ascii="Times New Roman" w:hAnsi="Times New Roman" w:cs="Times New Roman"/>
          <w:sz w:val="24"/>
          <w:szCs w:val="24"/>
        </w:rPr>
        <w:t>are also available on the Regulator’s website</w:t>
      </w:r>
      <w:r w:rsidR="00DA2A8A" w:rsidRPr="00187BF0">
        <w:rPr>
          <w:rStyle w:val="FootnoteReference"/>
          <w:rFonts w:ascii="Times New Roman" w:hAnsi="Times New Roman" w:cs="Times New Roman"/>
          <w:sz w:val="24"/>
          <w:szCs w:val="24"/>
        </w:rPr>
        <w:footnoteReference w:id="20"/>
      </w:r>
      <w:r>
        <w:rPr>
          <w:rFonts w:ascii="Times New Roman" w:hAnsi="Times New Roman" w:cs="Times New Roman"/>
          <w:sz w:val="24"/>
          <w:szCs w:val="24"/>
        </w:rPr>
        <w:t>.</w:t>
      </w:r>
    </w:p>
    <w:p w14:paraId="6303D8A4" w14:textId="77777777" w:rsidR="004E511B" w:rsidRPr="004E511B" w:rsidRDefault="004E511B" w:rsidP="004E511B">
      <w:pPr>
        <w:pStyle w:val="Heading2"/>
      </w:pPr>
      <w:r>
        <w:t>Quarantine Approved Premises</w:t>
      </w:r>
    </w:p>
    <w:p w14:paraId="259AFF32" w14:textId="77777777" w:rsidR="00D90DFB" w:rsidRPr="00DE0C7B" w:rsidRDefault="009E5B32" w:rsidP="00DE0C7B">
      <w:pPr>
        <w:spacing w:before="120" w:after="120"/>
        <w:rPr>
          <w:rFonts w:ascii="Times New Roman" w:hAnsi="Times New Roman" w:cs="Times New Roman"/>
          <w:sz w:val="24"/>
          <w:szCs w:val="24"/>
        </w:rPr>
      </w:pPr>
      <w:r>
        <w:rPr>
          <w:rFonts w:ascii="Times New Roman" w:hAnsi="Times New Roman" w:cs="Times New Roman"/>
          <w:sz w:val="24"/>
          <w:szCs w:val="24"/>
        </w:rPr>
        <w:t>DAWR</w:t>
      </w:r>
      <w:r w:rsidR="00D06018">
        <w:rPr>
          <w:rFonts w:ascii="Times New Roman" w:hAnsi="Times New Roman" w:cs="Times New Roman"/>
          <w:sz w:val="24"/>
          <w:szCs w:val="24"/>
        </w:rPr>
        <w:t xml:space="preserve"> </w:t>
      </w:r>
      <w:r w:rsidR="00451FCE" w:rsidRPr="00DE0C7B">
        <w:rPr>
          <w:rFonts w:ascii="Times New Roman" w:hAnsi="Times New Roman" w:cs="Times New Roman"/>
          <w:sz w:val="24"/>
          <w:szCs w:val="24"/>
        </w:rPr>
        <w:t xml:space="preserve">also has a role in the containment of LMOs where </w:t>
      </w:r>
      <w:r w:rsidR="001702D6" w:rsidRPr="001702D6">
        <w:rPr>
          <w:rFonts w:ascii="Times New Roman" w:hAnsi="Times New Roman" w:cs="Times New Roman"/>
          <w:sz w:val="24"/>
          <w:szCs w:val="24"/>
        </w:rPr>
        <w:t xml:space="preserve">the department has identified </w:t>
      </w:r>
      <w:r w:rsidR="005E4FB7">
        <w:rPr>
          <w:rFonts w:ascii="Times New Roman" w:hAnsi="Times New Roman" w:cs="Times New Roman"/>
          <w:sz w:val="24"/>
          <w:szCs w:val="24"/>
        </w:rPr>
        <w:t>an</w:t>
      </w:r>
      <w:r w:rsidR="001702D6" w:rsidRPr="00DE0C7B">
        <w:rPr>
          <w:rFonts w:ascii="Times New Roman" w:hAnsi="Times New Roman" w:cs="Times New Roman"/>
          <w:sz w:val="24"/>
          <w:szCs w:val="24"/>
        </w:rPr>
        <w:t xml:space="preserve"> organism </w:t>
      </w:r>
      <w:r w:rsidR="001702D6" w:rsidRPr="001702D6">
        <w:rPr>
          <w:rFonts w:ascii="Times New Roman" w:hAnsi="Times New Roman" w:cs="Times New Roman"/>
          <w:sz w:val="24"/>
          <w:szCs w:val="24"/>
        </w:rPr>
        <w:t xml:space="preserve">as being </w:t>
      </w:r>
      <w:r w:rsidR="001702D6">
        <w:rPr>
          <w:rFonts w:ascii="Times New Roman" w:hAnsi="Times New Roman" w:cs="Times New Roman"/>
          <w:sz w:val="24"/>
          <w:szCs w:val="24"/>
        </w:rPr>
        <w:t xml:space="preserve">a harmful pest or disease </w:t>
      </w:r>
      <w:r w:rsidR="001702D6" w:rsidRPr="001702D6">
        <w:rPr>
          <w:rFonts w:ascii="Times New Roman" w:hAnsi="Times New Roman" w:cs="Times New Roman"/>
          <w:sz w:val="24"/>
          <w:szCs w:val="24"/>
        </w:rPr>
        <w:t>of quarantine concern</w:t>
      </w:r>
      <w:r w:rsidR="00E05048" w:rsidRPr="00DE0C7B">
        <w:rPr>
          <w:rFonts w:ascii="Times New Roman" w:hAnsi="Times New Roman" w:cs="Times New Roman"/>
          <w:sz w:val="24"/>
          <w:szCs w:val="24"/>
        </w:rPr>
        <w:t>. These LMOs would require an import permit, and the permit would prescribe the type (and location) of facility where the organism can be held.</w:t>
      </w:r>
      <w:r w:rsidR="0027729E" w:rsidRPr="00DE0C7B">
        <w:rPr>
          <w:rFonts w:ascii="Times New Roman" w:hAnsi="Times New Roman" w:cs="Times New Roman"/>
          <w:sz w:val="24"/>
          <w:szCs w:val="24"/>
        </w:rPr>
        <w:t xml:space="preserve"> </w:t>
      </w:r>
      <w:r w:rsidR="00D06018">
        <w:rPr>
          <w:rFonts w:ascii="Times New Roman" w:hAnsi="Times New Roman" w:cs="Times New Roman"/>
          <w:sz w:val="24"/>
          <w:szCs w:val="24"/>
        </w:rPr>
        <w:t>DAWR</w:t>
      </w:r>
      <w:r w:rsidR="0027729E" w:rsidRPr="00DE0C7B">
        <w:rPr>
          <w:rFonts w:ascii="Times New Roman" w:hAnsi="Times New Roman" w:cs="Times New Roman"/>
          <w:sz w:val="24"/>
          <w:szCs w:val="24"/>
        </w:rPr>
        <w:t xml:space="preserve"> approves Quarantine Approved Premises (QAPs) as places where post-entry quarantine requirements may be carried out on a wide range of </w:t>
      </w:r>
      <w:r w:rsidR="003769AA">
        <w:rPr>
          <w:rFonts w:ascii="Times New Roman" w:hAnsi="Times New Roman" w:cs="Times New Roman"/>
          <w:sz w:val="24"/>
          <w:szCs w:val="24"/>
        </w:rPr>
        <w:t xml:space="preserve">microorganisms, </w:t>
      </w:r>
      <w:r w:rsidR="0027729E" w:rsidRPr="00DE0C7B">
        <w:rPr>
          <w:rFonts w:ascii="Times New Roman" w:hAnsi="Times New Roman" w:cs="Times New Roman"/>
          <w:sz w:val="24"/>
          <w:szCs w:val="24"/>
        </w:rPr>
        <w:t>plants, animals and plant and animal products.</w:t>
      </w:r>
    </w:p>
    <w:p w14:paraId="463CDF0E" w14:textId="33BD9715" w:rsidR="005E4FB7" w:rsidRDefault="00DE0C7B" w:rsidP="005E4FB7">
      <w:pPr>
        <w:spacing w:before="120" w:after="120"/>
        <w:rPr>
          <w:rFonts w:ascii="Times New Roman" w:hAnsi="Times New Roman" w:cs="Times New Roman"/>
          <w:sz w:val="24"/>
          <w:szCs w:val="24"/>
        </w:rPr>
      </w:pPr>
      <w:r>
        <w:rPr>
          <w:rFonts w:ascii="Times New Roman" w:hAnsi="Times New Roman" w:cs="Times New Roman"/>
          <w:sz w:val="24"/>
          <w:szCs w:val="24"/>
        </w:rPr>
        <w:t>QAP’s</w:t>
      </w:r>
      <w:r w:rsidR="0027729E" w:rsidRPr="00DE0C7B">
        <w:rPr>
          <w:rFonts w:ascii="Times New Roman" w:hAnsi="Times New Roman" w:cs="Times New Roman"/>
          <w:sz w:val="24"/>
          <w:szCs w:val="24"/>
        </w:rPr>
        <w:t xml:space="preserve"> are </w:t>
      </w:r>
      <w:r w:rsidR="00D06018">
        <w:rPr>
          <w:rFonts w:ascii="Times New Roman" w:hAnsi="Times New Roman" w:cs="Times New Roman"/>
          <w:sz w:val="24"/>
          <w:szCs w:val="24"/>
        </w:rPr>
        <w:t>assessed</w:t>
      </w:r>
      <w:r w:rsidR="0027729E" w:rsidRPr="00DE0C7B">
        <w:rPr>
          <w:rFonts w:ascii="Times New Roman" w:hAnsi="Times New Roman" w:cs="Times New Roman"/>
          <w:sz w:val="24"/>
          <w:szCs w:val="24"/>
        </w:rPr>
        <w:t xml:space="preserve"> against specific criteria which can be found </w:t>
      </w:r>
      <w:r w:rsidR="00C335FB">
        <w:rPr>
          <w:rFonts w:ascii="Times New Roman" w:hAnsi="Times New Roman" w:cs="Times New Roman"/>
          <w:sz w:val="24"/>
          <w:szCs w:val="24"/>
        </w:rPr>
        <w:t>on the D</w:t>
      </w:r>
      <w:r w:rsidR="005E4FB7">
        <w:rPr>
          <w:rFonts w:ascii="Times New Roman" w:hAnsi="Times New Roman" w:cs="Times New Roman"/>
          <w:sz w:val="24"/>
          <w:szCs w:val="24"/>
        </w:rPr>
        <w:t>A</w:t>
      </w:r>
      <w:r w:rsidR="00C335FB">
        <w:rPr>
          <w:rFonts w:ascii="Times New Roman" w:hAnsi="Times New Roman" w:cs="Times New Roman"/>
          <w:sz w:val="24"/>
          <w:szCs w:val="24"/>
        </w:rPr>
        <w:t>WR website</w:t>
      </w:r>
      <w:r w:rsidR="00C335FB">
        <w:rPr>
          <w:rStyle w:val="FootnoteReference"/>
          <w:rFonts w:ascii="Times New Roman" w:hAnsi="Times New Roman" w:cs="Times New Roman"/>
          <w:sz w:val="24"/>
          <w:szCs w:val="24"/>
        </w:rPr>
        <w:footnoteReference w:id="21"/>
      </w:r>
      <w:r w:rsidR="00C335FB" w:rsidRPr="00DE0C7B">
        <w:rPr>
          <w:rFonts w:ascii="Times New Roman" w:hAnsi="Times New Roman" w:cs="Times New Roman"/>
          <w:sz w:val="24"/>
          <w:szCs w:val="24"/>
        </w:rPr>
        <w:t xml:space="preserve"> </w:t>
      </w:r>
      <w:r w:rsidR="0027729E" w:rsidRPr="00DE0C7B">
        <w:rPr>
          <w:rFonts w:ascii="Times New Roman" w:hAnsi="Times New Roman" w:cs="Times New Roman"/>
          <w:sz w:val="24"/>
          <w:szCs w:val="24"/>
        </w:rPr>
        <w:t>and include the same four containment levels as for OGTR facilities</w:t>
      </w:r>
      <w:r w:rsidR="00CE64D3">
        <w:rPr>
          <w:rFonts w:ascii="Times New Roman" w:hAnsi="Times New Roman" w:cs="Times New Roman"/>
          <w:sz w:val="24"/>
          <w:szCs w:val="24"/>
        </w:rPr>
        <w:t xml:space="preserve"> (</w:t>
      </w:r>
      <w:r w:rsidR="00C335FB">
        <w:rPr>
          <w:rFonts w:ascii="Times New Roman" w:hAnsi="Times New Roman" w:cs="Times New Roman"/>
          <w:sz w:val="24"/>
          <w:szCs w:val="24"/>
        </w:rPr>
        <w:t xml:space="preserve">known as </w:t>
      </w:r>
      <w:r w:rsidR="00CE64D3">
        <w:rPr>
          <w:rFonts w:ascii="Times New Roman" w:hAnsi="Times New Roman" w:cs="Times New Roman"/>
          <w:sz w:val="24"/>
          <w:szCs w:val="24"/>
        </w:rPr>
        <w:t>QC1-QC4)</w:t>
      </w:r>
      <w:r w:rsidR="0027729E" w:rsidRPr="00DE0C7B">
        <w:rPr>
          <w:rFonts w:ascii="Times New Roman" w:hAnsi="Times New Roman" w:cs="Times New Roman"/>
          <w:sz w:val="24"/>
          <w:szCs w:val="24"/>
        </w:rPr>
        <w:t>, but cover a wider range of facility types.</w:t>
      </w:r>
      <w:r w:rsidR="00D06018">
        <w:rPr>
          <w:rFonts w:ascii="Times New Roman" w:hAnsi="Times New Roman" w:cs="Times New Roman"/>
          <w:sz w:val="24"/>
          <w:szCs w:val="24"/>
        </w:rPr>
        <w:t xml:space="preserve"> </w:t>
      </w:r>
      <w:r w:rsidR="005E4FB7" w:rsidRPr="00C340E2">
        <w:rPr>
          <w:rFonts w:ascii="Times New Roman" w:hAnsi="Times New Roman" w:cs="Times New Roman"/>
          <w:sz w:val="24"/>
          <w:szCs w:val="24"/>
        </w:rPr>
        <w:t xml:space="preserve">As part of the approval process facilities are </w:t>
      </w:r>
      <w:r w:rsidR="005E4FB7">
        <w:rPr>
          <w:rFonts w:ascii="Times New Roman" w:hAnsi="Times New Roman" w:cs="Times New Roman"/>
          <w:sz w:val="24"/>
          <w:szCs w:val="24"/>
        </w:rPr>
        <w:t xml:space="preserve">initially </w:t>
      </w:r>
      <w:r w:rsidR="005E4FB7" w:rsidRPr="00C340E2">
        <w:rPr>
          <w:rFonts w:ascii="Times New Roman" w:hAnsi="Times New Roman" w:cs="Times New Roman"/>
          <w:sz w:val="24"/>
          <w:szCs w:val="24"/>
        </w:rPr>
        <w:t>assessed by approved engineer assessors</w:t>
      </w:r>
      <w:r w:rsidR="006C26C8">
        <w:rPr>
          <w:rStyle w:val="FootnoteReference"/>
          <w:rFonts w:ascii="Times New Roman" w:hAnsi="Times New Roman" w:cs="Times New Roman"/>
          <w:sz w:val="24"/>
          <w:szCs w:val="24"/>
        </w:rPr>
        <w:footnoteReference w:id="22"/>
      </w:r>
      <w:r w:rsidR="005E4FB7" w:rsidRPr="00C340E2">
        <w:rPr>
          <w:rFonts w:ascii="Times New Roman" w:hAnsi="Times New Roman" w:cs="Times New Roman"/>
          <w:sz w:val="24"/>
          <w:szCs w:val="24"/>
        </w:rPr>
        <w:t xml:space="preserve"> against specified design and construction aspects of the Australian and New Zealand Standards, prior to auditing by DAWR audit staff.</w:t>
      </w:r>
      <w:r w:rsidR="005E4FB7">
        <w:rPr>
          <w:rFonts w:ascii="Times New Roman" w:hAnsi="Times New Roman" w:cs="Times New Roman"/>
          <w:sz w:val="24"/>
          <w:szCs w:val="24"/>
        </w:rPr>
        <w:t xml:space="preserve"> DAWRs Biosecurity Officers routinely audit all QAPs, with audit frequency depend</w:t>
      </w:r>
      <w:r w:rsidR="00E127FE">
        <w:rPr>
          <w:rFonts w:ascii="Times New Roman" w:hAnsi="Times New Roman" w:cs="Times New Roman"/>
          <w:sz w:val="24"/>
          <w:szCs w:val="24"/>
        </w:rPr>
        <w:t>e</w:t>
      </w:r>
      <w:r w:rsidR="005E4FB7">
        <w:rPr>
          <w:rFonts w:ascii="Times New Roman" w:hAnsi="Times New Roman" w:cs="Times New Roman"/>
          <w:sz w:val="24"/>
          <w:szCs w:val="24"/>
        </w:rPr>
        <w:t>nt on the compliance history of the facility holder</w:t>
      </w:r>
      <w:r w:rsidR="006C26C8">
        <w:rPr>
          <w:rStyle w:val="FootnoteReference"/>
          <w:rFonts w:ascii="Times New Roman" w:hAnsi="Times New Roman" w:cs="Times New Roman"/>
          <w:sz w:val="24"/>
          <w:szCs w:val="24"/>
        </w:rPr>
        <w:footnoteReference w:id="23"/>
      </w:r>
      <w:r w:rsidR="005E4FB7">
        <w:rPr>
          <w:rFonts w:ascii="Times New Roman" w:hAnsi="Times New Roman" w:cs="Times New Roman"/>
          <w:sz w:val="24"/>
          <w:szCs w:val="24"/>
        </w:rPr>
        <w:t>.</w:t>
      </w:r>
    </w:p>
    <w:p w14:paraId="2845F747" w14:textId="77777777" w:rsidR="004E511B" w:rsidRDefault="004E511B" w:rsidP="004E511B">
      <w:pPr>
        <w:pStyle w:val="Heading2"/>
      </w:pPr>
      <w:r>
        <w:t>Australian Standards</w:t>
      </w:r>
    </w:p>
    <w:p w14:paraId="1F2C1472" w14:textId="77777777" w:rsidR="00E05048" w:rsidRDefault="00B62312" w:rsidP="00B81F53">
      <w:pPr>
        <w:spacing w:before="120" w:after="120"/>
        <w:rPr>
          <w:rFonts w:ascii="Times New Roman" w:hAnsi="Times New Roman" w:cs="Times New Roman"/>
          <w:sz w:val="24"/>
          <w:szCs w:val="24"/>
        </w:rPr>
      </w:pPr>
      <w:r>
        <w:rPr>
          <w:rFonts w:ascii="Times New Roman" w:hAnsi="Times New Roman" w:cs="Times New Roman"/>
          <w:sz w:val="24"/>
          <w:szCs w:val="24"/>
        </w:rPr>
        <w:t xml:space="preserve">All new facilities for conducting research with microorganisms are expected to be designed and constructed in accordance with the </w:t>
      </w:r>
      <w:r w:rsidR="004E511B">
        <w:rPr>
          <w:rFonts w:ascii="Times New Roman" w:hAnsi="Times New Roman" w:cs="Times New Roman"/>
          <w:sz w:val="24"/>
          <w:szCs w:val="24"/>
        </w:rPr>
        <w:t xml:space="preserve">relevant </w:t>
      </w:r>
      <w:r>
        <w:rPr>
          <w:rFonts w:ascii="Times New Roman" w:hAnsi="Times New Roman" w:cs="Times New Roman"/>
          <w:sz w:val="24"/>
          <w:szCs w:val="24"/>
        </w:rPr>
        <w:t>Australia</w:t>
      </w:r>
      <w:r w:rsidR="00B81F53">
        <w:rPr>
          <w:rFonts w:ascii="Times New Roman" w:hAnsi="Times New Roman" w:cs="Times New Roman"/>
          <w:sz w:val="24"/>
          <w:szCs w:val="24"/>
        </w:rPr>
        <w:t>n</w:t>
      </w:r>
      <w:r>
        <w:rPr>
          <w:rFonts w:ascii="Times New Roman" w:hAnsi="Times New Roman" w:cs="Times New Roman"/>
          <w:sz w:val="24"/>
          <w:szCs w:val="24"/>
        </w:rPr>
        <w:t xml:space="preserve"> Standards</w:t>
      </w:r>
      <w:r w:rsidR="004E511B">
        <w:rPr>
          <w:rFonts w:ascii="Times New Roman" w:hAnsi="Times New Roman" w:cs="Times New Roman"/>
          <w:sz w:val="24"/>
          <w:szCs w:val="24"/>
        </w:rPr>
        <w:t xml:space="preserve"> including AS/NZS </w:t>
      </w:r>
      <w:r>
        <w:rPr>
          <w:rFonts w:ascii="Times New Roman" w:hAnsi="Times New Roman" w:cs="Times New Roman"/>
          <w:sz w:val="24"/>
          <w:szCs w:val="24"/>
        </w:rPr>
        <w:t xml:space="preserve">2982:2010 </w:t>
      </w:r>
      <w:r w:rsidR="004E511B" w:rsidRPr="004E511B">
        <w:rPr>
          <w:rFonts w:ascii="Times New Roman" w:hAnsi="Times New Roman" w:cs="Times New Roman"/>
          <w:i/>
          <w:sz w:val="24"/>
          <w:szCs w:val="24"/>
        </w:rPr>
        <w:t>Laboratory design and construction</w:t>
      </w:r>
      <w:r w:rsidR="00C335FB" w:rsidRPr="00187BF0">
        <w:rPr>
          <w:rStyle w:val="FootnoteReference"/>
          <w:rFonts w:ascii="Times New Roman" w:hAnsi="Times New Roman" w:cs="Times New Roman"/>
          <w:sz w:val="24"/>
          <w:szCs w:val="24"/>
        </w:rPr>
        <w:footnoteReference w:id="24"/>
      </w:r>
      <w:r w:rsidR="004E511B">
        <w:rPr>
          <w:rFonts w:ascii="Times New Roman" w:hAnsi="Times New Roman" w:cs="Times New Roman"/>
          <w:sz w:val="24"/>
          <w:szCs w:val="24"/>
        </w:rPr>
        <w:t xml:space="preserve"> </w:t>
      </w:r>
      <w:r>
        <w:rPr>
          <w:rFonts w:ascii="Times New Roman" w:hAnsi="Times New Roman" w:cs="Times New Roman"/>
          <w:sz w:val="24"/>
          <w:szCs w:val="24"/>
        </w:rPr>
        <w:t>and AS/NZS</w:t>
      </w:r>
      <w:r w:rsidR="004E511B">
        <w:rPr>
          <w:rFonts w:ascii="Times New Roman" w:hAnsi="Times New Roman" w:cs="Times New Roman"/>
          <w:sz w:val="24"/>
          <w:szCs w:val="24"/>
        </w:rPr>
        <w:t> </w:t>
      </w:r>
      <w:r>
        <w:rPr>
          <w:rFonts w:ascii="Times New Roman" w:hAnsi="Times New Roman" w:cs="Times New Roman"/>
          <w:sz w:val="24"/>
          <w:szCs w:val="24"/>
        </w:rPr>
        <w:t xml:space="preserve">2242.3:2010 </w:t>
      </w:r>
      <w:r w:rsidR="004E511B" w:rsidRPr="004E511B">
        <w:rPr>
          <w:rFonts w:ascii="Times New Roman" w:hAnsi="Times New Roman" w:cs="Times New Roman"/>
          <w:i/>
          <w:sz w:val="24"/>
          <w:szCs w:val="24"/>
        </w:rPr>
        <w:t>Safety in laboratories - Microbiological safety and containment</w:t>
      </w:r>
      <w:r w:rsidR="00A94B51" w:rsidRPr="00187BF0">
        <w:rPr>
          <w:rStyle w:val="FootnoteReference"/>
          <w:rFonts w:ascii="Times New Roman" w:hAnsi="Times New Roman" w:cs="Times New Roman"/>
          <w:sz w:val="24"/>
          <w:szCs w:val="24"/>
        </w:rPr>
        <w:footnoteReference w:id="25"/>
      </w:r>
      <w:r w:rsidR="00A94B51">
        <w:rPr>
          <w:rFonts w:ascii="Times New Roman" w:hAnsi="Times New Roman" w:cs="Times New Roman"/>
          <w:sz w:val="24"/>
          <w:szCs w:val="24"/>
        </w:rPr>
        <w:t>.</w:t>
      </w:r>
      <w:r w:rsidR="004E511B" w:rsidRPr="00846109">
        <w:rPr>
          <w:rFonts w:ascii="Times New Roman" w:hAnsi="Times New Roman" w:cs="Times New Roman"/>
          <w:sz w:val="24"/>
          <w:szCs w:val="24"/>
        </w:rPr>
        <w:t xml:space="preserve"> </w:t>
      </w:r>
      <w:r w:rsidR="004E511B">
        <w:rPr>
          <w:rFonts w:ascii="Times New Roman" w:hAnsi="Times New Roman" w:cs="Times New Roman"/>
          <w:sz w:val="24"/>
          <w:szCs w:val="24"/>
        </w:rPr>
        <w:t xml:space="preserve">The later standard contains </w:t>
      </w:r>
      <w:r w:rsidR="001B1F2C">
        <w:rPr>
          <w:rFonts w:ascii="Times New Roman" w:hAnsi="Times New Roman" w:cs="Times New Roman"/>
          <w:sz w:val="24"/>
          <w:szCs w:val="24"/>
        </w:rPr>
        <w:t xml:space="preserve">detailed requirements for work with microorganisms including a discussion on containment levels and the risk grouping of microorganisms. </w:t>
      </w:r>
      <w:r w:rsidR="003309FE">
        <w:rPr>
          <w:rFonts w:ascii="Times New Roman" w:hAnsi="Times New Roman" w:cs="Times New Roman"/>
          <w:sz w:val="24"/>
          <w:szCs w:val="24"/>
        </w:rPr>
        <w:t xml:space="preserve">AS/NZS 2242.3:2010 </w:t>
      </w:r>
      <w:r w:rsidR="001B1F2C">
        <w:rPr>
          <w:rFonts w:ascii="Times New Roman" w:hAnsi="Times New Roman" w:cs="Times New Roman"/>
          <w:sz w:val="24"/>
          <w:szCs w:val="24"/>
        </w:rPr>
        <w:t xml:space="preserve">is currently </w:t>
      </w:r>
      <w:r w:rsidR="005E4FB7">
        <w:rPr>
          <w:rFonts w:ascii="Times New Roman" w:hAnsi="Times New Roman" w:cs="Times New Roman"/>
          <w:sz w:val="24"/>
          <w:szCs w:val="24"/>
        </w:rPr>
        <w:t xml:space="preserve">being amended </w:t>
      </w:r>
      <w:r w:rsidR="001B1F2C">
        <w:rPr>
          <w:rFonts w:ascii="Times New Roman" w:hAnsi="Times New Roman" w:cs="Times New Roman"/>
          <w:sz w:val="24"/>
          <w:szCs w:val="24"/>
        </w:rPr>
        <w:t xml:space="preserve">and </w:t>
      </w:r>
      <w:r w:rsidR="003309FE">
        <w:rPr>
          <w:rFonts w:ascii="Times New Roman" w:hAnsi="Times New Roman" w:cs="Times New Roman"/>
          <w:sz w:val="24"/>
          <w:szCs w:val="24"/>
        </w:rPr>
        <w:t xml:space="preserve">it is expected that </w:t>
      </w:r>
      <w:r w:rsidR="001B1F2C">
        <w:rPr>
          <w:rFonts w:ascii="Times New Roman" w:hAnsi="Times New Roman" w:cs="Times New Roman"/>
          <w:sz w:val="24"/>
          <w:szCs w:val="24"/>
        </w:rPr>
        <w:t xml:space="preserve">a </w:t>
      </w:r>
      <w:r w:rsidR="005E4FB7">
        <w:rPr>
          <w:rFonts w:ascii="Times New Roman" w:hAnsi="Times New Roman" w:cs="Times New Roman"/>
          <w:sz w:val="24"/>
          <w:szCs w:val="24"/>
        </w:rPr>
        <w:t xml:space="preserve">revised </w:t>
      </w:r>
      <w:r w:rsidR="001B1F2C">
        <w:rPr>
          <w:rFonts w:ascii="Times New Roman" w:hAnsi="Times New Roman" w:cs="Times New Roman"/>
          <w:sz w:val="24"/>
          <w:szCs w:val="24"/>
        </w:rPr>
        <w:t xml:space="preserve">version </w:t>
      </w:r>
      <w:r w:rsidR="003309FE">
        <w:rPr>
          <w:rFonts w:ascii="Times New Roman" w:hAnsi="Times New Roman" w:cs="Times New Roman"/>
          <w:sz w:val="24"/>
          <w:szCs w:val="24"/>
        </w:rPr>
        <w:t>will</w:t>
      </w:r>
      <w:r w:rsidR="001B1F2C">
        <w:rPr>
          <w:rFonts w:ascii="Times New Roman" w:hAnsi="Times New Roman" w:cs="Times New Roman"/>
          <w:sz w:val="24"/>
          <w:szCs w:val="24"/>
        </w:rPr>
        <w:t xml:space="preserve"> be published </w:t>
      </w:r>
      <w:r w:rsidR="003309FE">
        <w:rPr>
          <w:rFonts w:ascii="Times New Roman" w:hAnsi="Times New Roman" w:cs="Times New Roman"/>
          <w:sz w:val="24"/>
          <w:szCs w:val="24"/>
        </w:rPr>
        <w:t>this year</w:t>
      </w:r>
      <w:r w:rsidR="001B1F2C">
        <w:rPr>
          <w:rFonts w:ascii="Times New Roman" w:hAnsi="Times New Roman" w:cs="Times New Roman"/>
          <w:sz w:val="24"/>
          <w:szCs w:val="24"/>
        </w:rPr>
        <w:t>.</w:t>
      </w:r>
    </w:p>
    <w:p w14:paraId="79190EFC" w14:textId="77777777" w:rsidR="001C53F1" w:rsidRPr="00B81F53" w:rsidRDefault="001C53F1" w:rsidP="00B81F53">
      <w:pPr>
        <w:spacing w:before="120" w:after="120"/>
        <w:rPr>
          <w:rFonts w:ascii="Times New Roman" w:hAnsi="Times New Roman" w:cs="Times New Roman"/>
          <w:sz w:val="24"/>
          <w:szCs w:val="24"/>
        </w:rPr>
      </w:pPr>
      <w:r>
        <w:rPr>
          <w:rFonts w:ascii="Times New Roman" w:hAnsi="Times New Roman" w:cs="Times New Roman"/>
          <w:sz w:val="24"/>
          <w:szCs w:val="24"/>
        </w:rPr>
        <w:t>Both the Regulator</w:t>
      </w:r>
      <w:r w:rsidR="00EC7CBA">
        <w:rPr>
          <w:rFonts w:ascii="Times New Roman" w:hAnsi="Times New Roman" w:cs="Times New Roman"/>
          <w:sz w:val="24"/>
          <w:szCs w:val="24"/>
        </w:rPr>
        <w:t xml:space="preserve"> and DAWR have representatives </w:t>
      </w:r>
      <w:r>
        <w:rPr>
          <w:rFonts w:ascii="Times New Roman" w:hAnsi="Times New Roman" w:cs="Times New Roman"/>
          <w:sz w:val="24"/>
          <w:szCs w:val="24"/>
        </w:rPr>
        <w:t>on the committee responsible for creating and maintaining the standard AS/NZS 2242.3:2010.</w:t>
      </w:r>
    </w:p>
    <w:sectPr w:rsidR="001C53F1" w:rsidRPr="00B81F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371C7" w14:textId="77777777" w:rsidR="00C32ED0" w:rsidRDefault="00C32ED0" w:rsidP="00C64F58">
      <w:pPr>
        <w:spacing w:after="0" w:line="240" w:lineRule="auto"/>
      </w:pPr>
      <w:r>
        <w:separator/>
      </w:r>
    </w:p>
  </w:endnote>
  <w:endnote w:type="continuationSeparator" w:id="0">
    <w:p w14:paraId="4AFCE507" w14:textId="77777777" w:rsidR="00C32ED0" w:rsidRDefault="00C32ED0" w:rsidP="00C6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E8B0B" w14:textId="77777777" w:rsidR="00C32ED0" w:rsidRDefault="00C32ED0" w:rsidP="00C64F58">
      <w:pPr>
        <w:spacing w:after="0" w:line="240" w:lineRule="auto"/>
      </w:pPr>
      <w:r>
        <w:separator/>
      </w:r>
    </w:p>
  </w:footnote>
  <w:footnote w:type="continuationSeparator" w:id="0">
    <w:p w14:paraId="0B95DD9C" w14:textId="77777777" w:rsidR="00C32ED0" w:rsidRDefault="00C32ED0" w:rsidP="00C64F58">
      <w:pPr>
        <w:spacing w:after="0" w:line="240" w:lineRule="auto"/>
      </w:pPr>
      <w:r>
        <w:continuationSeparator/>
      </w:r>
    </w:p>
  </w:footnote>
  <w:footnote w:id="1">
    <w:p w14:paraId="40026F4E" w14:textId="77777777" w:rsidR="002D2BFD" w:rsidRDefault="002D2BFD">
      <w:pPr>
        <w:pStyle w:val="FootnoteText"/>
      </w:pPr>
      <w:r>
        <w:rPr>
          <w:rStyle w:val="FootnoteReference"/>
        </w:rPr>
        <w:footnoteRef/>
      </w:r>
      <w:r>
        <w:t xml:space="preserve"> </w:t>
      </w:r>
      <w:hyperlink r:id="rId1" w:history="1">
        <w:r w:rsidRPr="00CF4E3F">
          <w:rPr>
            <w:rStyle w:val="Hyperlink"/>
          </w:rPr>
          <w:t>https://www.legislation.gov.au/Details/C2016C00189</w:t>
        </w:r>
      </w:hyperlink>
    </w:p>
  </w:footnote>
  <w:footnote w:id="2">
    <w:p w14:paraId="3874D934" w14:textId="77777777" w:rsidR="002D2BFD" w:rsidRDefault="002D2BFD">
      <w:pPr>
        <w:pStyle w:val="FootnoteText"/>
      </w:pPr>
      <w:r>
        <w:rPr>
          <w:rStyle w:val="FootnoteReference"/>
        </w:rPr>
        <w:footnoteRef/>
      </w:r>
      <w:r>
        <w:t xml:space="preserve"> </w:t>
      </w:r>
      <w:hyperlink r:id="rId2" w:history="1">
        <w:r w:rsidRPr="00B62466">
          <w:rPr>
            <w:rStyle w:val="Hyperlink"/>
          </w:rPr>
          <w:t>http://www.foodstandards.gov.au/code/Pages/default.aspx</w:t>
        </w:r>
      </w:hyperlink>
    </w:p>
  </w:footnote>
  <w:footnote w:id="3">
    <w:p w14:paraId="75BD7FDF" w14:textId="77777777" w:rsidR="002D2BFD" w:rsidRDefault="002D2BFD">
      <w:pPr>
        <w:pStyle w:val="FootnoteText"/>
      </w:pPr>
      <w:r>
        <w:rPr>
          <w:rStyle w:val="FootnoteReference"/>
        </w:rPr>
        <w:footnoteRef/>
      </w:r>
      <w:r>
        <w:t xml:space="preserve"> </w:t>
      </w:r>
      <w:hyperlink r:id="rId3" w:history="1">
        <w:r w:rsidRPr="00B62466">
          <w:rPr>
            <w:rStyle w:val="Hyperlink"/>
          </w:rPr>
          <w:t>https://www.legislation.gov.au/Details/C2015A00061</w:t>
        </w:r>
      </w:hyperlink>
    </w:p>
  </w:footnote>
  <w:footnote w:id="4">
    <w:p w14:paraId="01DF8201" w14:textId="77777777" w:rsidR="002D2BFD" w:rsidRDefault="002D2BFD">
      <w:pPr>
        <w:pStyle w:val="FootnoteText"/>
      </w:pPr>
      <w:r>
        <w:rPr>
          <w:rStyle w:val="FootnoteReference"/>
        </w:rPr>
        <w:footnoteRef/>
      </w:r>
      <w:r>
        <w:t xml:space="preserve"> </w:t>
      </w:r>
      <w:hyperlink r:id="rId4" w:history="1">
        <w:r w:rsidRPr="00B62466">
          <w:rPr>
            <w:rStyle w:val="Hyperlink"/>
          </w:rPr>
          <w:t>https://www.legislation.gov.au/Details/C2016C00291</w:t>
        </w:r>
      </w:hyperlink>
    </w:p>
  </w:footnote>
  <w:footnote w:id="5">
    <w:p w14:paraId="768B1ABB" w14:textId="77777777" w:rsidR="002D2BFD" w:rsidRDefault="002D2BFD">
      <w:pPr>
        <w:pStyle w:val="FootnoteText"/>
      </w:pPr>
      <w:r>
        <w:rPr>
          <w:rStyle w:val="FootnoteReference"/>
        </w:rPr>
        <w:footnoteRef/>
      </w:r>
      <w:r>
        <w:t xml:space="preserve"> </w:t>
      </w:r>
      <w:hyperlink r:id="rId5" w:history="1">
        <w:r w:rsidRPr="00B62466">
          <w:rPr>
            <w:rStyle w:val="Hyperlink"/>
          </w:rPr>
          <w:t>https://www.legislation.gov.au/Details/C2016C00322</w:t>
        </w:r>
      </w:hyperlink>
    </w:p>
  </w:footnote>
  <w:footnote w:id="6">
    <w:p w14:paraId="518D64E2" w14:textId="77777777" w:rsidR="002D2BFD" w:rsidRDefault="002D2BFD">
      <w:pPr>
        <w:pStyle w:val="FootnoteText"/>
      </w:pPr>
      <w:r>
        <w:rPr>
          <w:rStyle w:val="FootnoteReference"/>
        </w:rPr>
        <w:footnoteRef/>
      </w:r>
      <w:r>
        <w:t xml:space="preserve"> </w:t>
      </w:r>
      <w:hyperlink r:id="rId6" w:history="1">
        <w:r w:rsidRPr="00B62466">
          <w:rPr>
            <w:rStyle w:val="Hyperlink"/>
          </w:rPr>
          <w:t>https://www.legislation.gov.au/Details/C2016C00273</w:t>
        </w:r>
      </w:hyperlink>
    </w:p>
  </w:footnote>
  <w:footnote w:id="7">
    <w:p w14:paraId="386400B4" w14:textId="29ED18F0" w:rsidR="002D2BFD" w:rsidRDefault="002D2BFD">
      <w:pPr>
        <w:pStyle w:val="FootnoteText"/>
      </w:pPr>
      <w:r>
        <w:rPr>
          <w:rStyle w:val="FootnoteReference"/>
        </w:rPr>
        <w:footnoteRef/>
      </w:r>
      <w:r>
        <w:t xml:space="preserve"> </w:t>
      </w:r>
      <w:hyperlink r:id="rId7" w:history="1">
        <w:r w:rsidR="00E52791">
          <w:rPr>
            <w:rStyle w:val="Hyperlink"/>
          </w:rPr>
          <w:t>https://www.legislation.gov.au/Details/C2016C00255</w:t>
        </w:r>
      </w:hyperlink>
    </w:p>
  </w:footnote>
  <w:footnote w:id="8">
    <w:p w14:paraId="6F7BC19E" w14:textId="77777777" w:rsidR="002D2BFD" w:rsidRDefault="002D2BFD">
      <w:pPr>
        <w:pStyle w:val="FootnoteText"/>
      </w:pPr>
      <w:r>
        <w:rPr>
          <w:rStyle w:val="FootnoteReference"/>
        </w:rPr>
        <w:footnoteRef/>
      </w:r>
      <w:r>
        <w:t xml:space="preserve"> </w:t>
      </w:r>
      <w:hyperlink r:id="rId8" w:history="1">
        <w:r w:rsidRPr="00B62466">
          <w:rPr>
            <w:rStyle w:val="Hyperlink"/>
          </w:rPr>
          <w:t>https://www.legislation.gov.au/Details/C2016C00269</w:t>
        </w:r>
      </w:hyperlink>
    </w:p>
  </w:footnote>
  <w:footnote w:id="9">
    <w:p w14:paraId="79BFCE7E" w14:textId="77777777" w:rsidR="00812B84" w:rsidRDefault="00812B84">
      <w:pPr>
        <w:pStyle w:val="FootnoteText"/>
      </w:pPr>
      <w:r>
        <w:rPr>
          <w:rStyle w:val="FootnoteReference"/>
        </w:rPr>
        <w:footnoteRef/>
      </w:r>
      <w:r>
        <w:t xml:space="preserve"> </w:t>
      </w:r>
      <w:hyperlink r:id="rId9" w:history="1">
        <w:r w:rsidRPr="00CF4E3F">
          <w:rPr>
            <w:rStyle w:val="Hyperlink"/>
          </w:rPr>
          <w:t>http://www.ogtr.gov.au/internet/ogtr/publishing.nsf/Content/risk-analysis-framework</w:t>
        </w:r>
      </w:hyperlink>
    </w:p>
  </w:footnote>
  <w:footnote w:id="10">
    <w:p w14:paraId="4E61C0F7" w14:textId="77777777" w:rsidR="00812B84" w:rsidRDefault="00812B84">
      <w:pPr>
        <w:pStyle w:val="FootnoteText"/>
      </w:pPr>
      <w:r>
        <w:rPr>
          <w:rStyle w:val="FootnoteReference"/>
        </w:rPr>
        <w:footnoteRef/>
      </w:r>
      <w:r>
        <w:t xml:space="preserve"> </w:t>
      </w:r>
      <w:hyperlink r:id="rId10" w:history="1">
        <w:r w:rsidRPr="00CF4E3F">
          <w:rPr>
            <w:rStyle w:val="Hyperlink"/>
          </w:rPr>
          <w:t>https://www.legislation.gov.au/Details/F2011C00732</w:t>
        </w:r>
      </w:hyperlink>
    </w:p>
  </w:footnote>
  <w:footnote w:id="11">
    <w:p w14:paraId="1734B40D" w14:textId="77777777" w:rsidR="007C2EC0" w:rsidRDefault="007C2EC0">
      <w:pPr>
        <w:pStyle w:val="FootnoteText"/>
      </w:pPr>
      <w:r>
        <w:rPr>
          <w:rStyle w:val="FootnoteReference"/>
        </w:rPr>
        <w:footnoteRef/>
      </w:r>
      <w:r>
        <w:t xml:space="preserve"> </w:t>
      </w:r>
      <w:hyperlink r:id="rId11" w:history="1">
        <w:r w:rsidRPr="00EC3476">
          <w:rPr>
            <w:rStyle w:val="Hyperlink"/>
          </w:rPr>
          <w:t>http://www.ogtr.gov.au/internet/ogtr/publishing.nsf/Content/apps-for-gmo</w:t>
        </w:r>
      </w:hyperlink>
    </w:p>
  </w:footnote>
  <w:footnote w:id="12">
    <w:p w14:paraId="5BEC14E9" w14:textId="77777777" w:rsidR="001F28DA" w:rsidRPr="00E92C35" w:rsidRDefault="001F28DA">
      <w:pPr>
        <w:pStyle w:val="FootnoteText"/>
        <w:rPr>
          <w:lang w:val="en-US"/>
        </w:rPr>
      </w:pPr>
      <w:r>
        <w:rPr>
          <w:rStyle w:val="FootnoteReference"/>
        </w:rPr>
        <w:footnoteRef/>
      </w:r>
      <w:r>
        <w:t xml:space="preserve"> </w:t>
      </w:r>
      <w:r w:rsidRPr="00C64F58">
        <w:t xml:space="preserve">Information on facility classification levels and the risk grouping of microorganisms can be found in the Australia New Zealand Standard AS/NZS 2242.3:2010 </w:t>
      </w:r>
      <w:r w:rsidRPr="00187BF0">
        <w:rPr>
          <w:i/>
        </w:rPr>
        <w:t>Safety in laboratories - Microbiological safety and containment</w:t>
      </w:r>
      <w:r w:rsidRPr="00C64F58">
        <w:t xml:space="preserve"> (which can be purchased from </w:t>
      </w:r>
      <w:hyperlink r:id="rId12" w:history="1">
        <w:r w:rsidRPr="00846109">
          <w:rPr>
            <w:rStyle w:val="Hyperlink"/>
          </w:rPr>
          <w:t>http://infostore.saiglobal.com/store/Details.aspx?ProductID=1430097</w:t>
        </w:r>
      </w:hyperlink>
      <w:r w:rsidRPr="00C64F58">
        <w:t>).</w:t>
      </w:r>
    </w:p>
  </w:footnote>
  <w:footnote w:id="13">
    <w:p w14:paraId="0AEB25B6" w14:textId="77777777" w:rsidR="002E5162" w:rsidRPr="00E92C35" w:rsidRDefault="002E5162">
      <w:pPr>
        <w:pStyle w:val="FootnoteText"/>
        <w:rPr>
          <w:lang w:val="en-US"/>
        </w:rPr>
      </w:pPr>
      <w:r>
        <w:rPr>
          <w:rStyle w:val="FootnoteReference"/>
        </w:rPr>
        <w:footnoteRef/>
      </w:r>
      <w:r>
        <w:t xml:space="preserve"> </w:t>
      </w:r>
      <w:hyperlink r:id="rId13" w:history="1">
        <w:r w:rsidRPr="002E2462">
          <w:rPr>
            <w:rStyle w:val="Hyperlink"/>
          </w:rPr>
          <w:t>http://www.who.int/ihr/publications/WHO_CDS_CSR_LYO_2004_11/en/</w:t>
        </w:r>
      </w:hyperlink>
    </w:p>
  </w:footnote>
  <w:footnote w:id="14">
    <w:p w14:paraId="7A125C47" w14:textId="77777777" w:rsidR="001F28DA" w:rsidRPr="00E92C35" w:rsidRDefault="001F28DA">
      <w:pPr>
        <w:pStyle w:val="FootnoteText"/>
        <w:rPr>
          <w:lang w:val="en-US"/>
        </w:rPr>
      </w:pPr>
      <w:r>
        <w:rPr>
          <w:rStyle w:val="FootnoteReference"/>
        </w:rPr>
        <w:footnoteRef/>
      </w:r>
      <w:r>
        <w:t xml:space="preserve"> </w:t>
      </w:r>
      <w:hyperlink r:id="rId14" w:history="1">
        <w:r w:rsidRPr="002E2462">
          <w:rPr>
            <w:rStyle w:val="Hyperlink"/>
          </w:rPr>
          <w:t>http://www.cdc.gov/biosafety/publications/bmbl5/</w:t>
        </w:r>
      </w:hyperlink>
    </w:p>
  </w:footnote>
  <w:footnote w:id="15">
    <w:p w14:paraId="2D6B1398" w14:textId="77777777" w:rsidR="001F28DA" w:rsidRDefault="001F28DA" w:rsidP="001F28DA">
      <w:pPr>
        <w:pStyle w:val="FootnoteText"/>
      </w:pPr>
      <w:r>
        <w:rPr>
          <w:rStyle w:val="FootnoteReference"/>
        </w:rPr>
        <w:footnoteRef/>
      </w:r>
      <w:r>
        <w:t xml:space="preserve"> </w:t>
      </w:r>
      <w:hyperlink r:id="rId15" w:history="1">
        <w:r w:rsidRPr="00CF4E3F">
          <w:rPr>
            <w:rStyle w:val="Hyperlink"/>
          </w:rPr>
          <w:t>http://www.ogtr.gov.au/internet/ogtr/publishing.nsf/Content/accreditation-process</w:t>
        </w:r>
      </w:hyperlink>
    </w:p>
  </w:footnote>
  <w:footnote w:id="16">
    <w:p w14:paraId="7FDB752C" w14:textId="77777777" w:rsidR="004F271E" w:rsidRPr="0053213E" w:rsidRDefault="004F271E" w:rsidP="004F271E">
      <w:pPr>
        <w:pStyle w:val="FootnoteText"/>
      </w:pPr>
      <w:r>
        <w:rPr>
          <w:rStyle w:val="FootnoteReference"/>
        </w:rPr>
        <w:footnoteRef/>
      </w:r>
      <w:r w:rsidRPr="0053213E">
        <w:t xml:space="preserve"> PC1 - </w:t>
      </w:r>
      <w:hyperlink r:id="rId16" w:history="1">
        <w:r w:rsidRPr="0053213E">
          <w:rPr>
            <w:rStyle w:val="Hyperlink"/>
          </w:rPr>
          <w:t>http://www.ogtr.gov.au/internet/ogtr/publishing.nsf/Content/cert-pc1-1</w:t>
        </w:r>
      </w:hyperlink>
    </w:p>
    <w:p w14:paraId="212B19B7" w14:textId="77777777" w:rsidR="004F271E" w:rsidRPr="0053213E" w:rsidRDefault="004F271E" w:rsidP="004F271E">
      <w:pPr>
        <w:pStyle w:val="FootnoteText"/>
      </w:pPr>
      <w:r w:rsidRPr="0053213E">
        <w:t xml:space="preserve">PC2 – </w:t>
      </w:r>
      <w:hyperlink r:id="rId17" w:history="1">
        <w:r w:rsidRPr="0053213E">
          <w:rPr>
            <w:rStyle w:val="Hyperlink"/>
          </w:rPr>
          <w:t>http://www.ogtr.gov.au/internet/ogtr/publishing.nsf/Content/cert-pc2-1</w:t>
        </w:r>
      </w:hyperlink>
    </w:p>
    <w:p w14:paraId="0D86375B" w14:textId="77777777" w:rsidR="004F271E" w:rsidRPr="0053213E" w:rsidRDefault="004F271E" w:rsidP="004F271E">
      <w:pPr>
        <w:pStyle w:val="FootnoteText"/>
      </w:pPr>
      <w:r w:rsidRPr="0053213E">
        <w:t xml:space="preserve">PC3 – </w:t>
      </w:r>
      <w:hyperlink r:id="rId18" w:history="1">
        <w:r w:rsidRPr="0053213E">
          <w:rPr>
            <w:rStyle w:val="Hyperlink"/>
          </w:rPr>
          <w:t>http://www.ogtr.gov.au/internet/ogtr/publishing.nsf/Content/cert-pc3-1</w:t>
        </w:r>
      </w:hyperlink>
    </w:p>
    <w:p w14:paraId="71066889" w14:textId="77777777" w:rsidR="004F271E" w:rsidRPr="0053213E" w:rsidRDefault="004F271E" w:rsidP="004F271E">
      <w:pPr>
        <w:pStyle w:val="FootnoteText"/>
        <w:rPr>
          <w:rStyle w:val="Hyperlink"/>
        </w:rPr>
      </w:pPr>
      <w:r w:rsidRPr="0053213E">
        <w:rPr>
          <w:color w:val="0000FF" w:themeColor="hyperlink"/>
          <w:u w:val="single"/>
        </w:rPr>
        <w:t xml:space="preserve">PC4 - </w:t>
      </w:r>
      <w:hyperlink r:id="rId19" w:history="1">
        <w:r w:rsidRPr="0053213E">
          <w:rPr>
            <w:rStyle w:val="Hyperlink"/>
          </w:rPr>
          <w:t>http://www.ogtr.gov.au/internet/ogtr/publishing.nsf/Content/cert-pc4-1</w:t>
        </w:r>
      </w:hyperlink>
    </w:p>
    <w:p w14:paraId="1DE53EBE" w14:textId="77777777" w:rsidR="004F271E" w:rsidRPr="0053213E" w:rsidRDefault="00776D3A" w:rsidP="004F271E">
      <w:pPr>
        <w:pStyle w:val="FootnoteText"/>
      </w:pPr>
      <w:hyperlink r:id="rId20" w:history="1">
        <w:r w:rsidR="004F271E" w:rsidRPr="0053213E">
          <w:rPr>
            <w:rStyle w:val="Hyperlink"/>
          </w:rPr>
          <w:t>http://www.ogtr.gov.au/internet/ogtr/publishing.nsf/Content/FacilTypesv1-2-htm</w:t>
        </w:r>
      </w:hyperlink>
    </w:p>
  </w:footnote>
  <w:footnote w:id="17">
    <w:p w14:paraId="7EA4B2F2" w14:textId="77777777" w:rsidR="004F271E" w:rsidRPr="0053213E" w:rsidRDefault="004F271E">
      <w:pPr>
        <w:pStyle w:val="FootnoteText"/>
      </w:pPr>
      <w:r>
        <w:rPr>
          <w:rStyle w:val="FootnoteReference"/>
        </w:rPr>
        <w:footnoteRef/>
      </w:r>
      <w:r w:rsidRPr="0053213E">
        <w:t xml:space="preserve"> </w:t>
      </w:r>
      <w:hyperlink r:id="rId21" w:history="1">
        <w:r w:rsidRPr="0053213E">
          <w:rPr>
            <w:rStyle w:val="Hyperlink"/>
          </w:rPr>
          <w:t>http://www.ogtr.gov.au/internet/ogtr/publishing.nsf/Content/transport-guide-1</w:t>
        </w:r>
      </w:hyperlink>
    </w:p>
  </w:footnote>
  <w:footnote w:id="18">
    <w:p w14:paraId="0F71E966" w14:textId="77777777" w:rsidR="00B41181" w:rsidRPr="0053213E" w:rsidRDefault="00B41181">
      <w:pPr>
        <w:pStyle w:val="FootnoteText"/>
      </w:pPr>
      <w:r>
        <w:rPr>
          <w:rStyle w:val="FootnoteReference"/>
        </w:rPr>
        <w:footnoteRef/>
      </w:r>
      <w:r w:rsidRPr="0053213E">
        <w:t xml:space="preserve"> </w:t>
      </w:r>
      <w:hyperlink r:id="rId22" w:history="1">
        <w:r w:rsidRPr="0053213E">
          <w:rPr>
            <w:rStyle w:val="Hyperlink"/>
          </w:rPr>
          <w:t>http://www.iata.org/publications/dgr/pages/index.aspx</w:t>
        </w:r>
      </w:hyperlink>
    </w:p>
  </w:footnote>
  <w:footnote w:id="19">
    <w:p w14:paraId="2013AEB8" w14:textId="77777777" w:rsidR="00FF2258" w:rsidRPr="0053213E" w:rsidRDefault="00FF2258" w:rsidP="00FF2258">
      <w:pPr>
        <w:pStyle w:val="FootnoteText"/>
      </w:pPr>
      <w:r>
        <w:rPr>
          <w:rStyle w:val="FootnoteReference"/>
        </w:rPr>
        <w:footnoteRef/>
      </w:r>
      <w:r w:rsidRPr="0053213E">
        <w:t xml:space="preserve"> </w:t>
      </w:r>
      <w:hyperlink r:id="rId23" w:history="1">
        <w:r w:rsidRPr="0053213E">
          <w:rPr>
            <w:rStyle w:val="Hyperlink"/>
          </w:rPr>
          <w:t>http://www.environment.gov.au/biodiversity/wildlife-trade/live/import-list</w:t>
        </w:r>
      </w:hyperlink>
    </w:p>
  </w:footnote>
  <w:footnote w:id="20">
    <w:p w14:paraId="2E229951" w14:textId="77777777" w:rsidR="00DA2A8A" w:rsidRPr="0053213E" w:rsidRDefault="00DA2A8A" w:rsidP="00DA2A8A">
      <w:pPr>
        <w:pStyle w:val="FootnoteText"/>
      </w:pPr>
      <w:r>
        <w:rPr>
          <w:rStyle w:val="FootnoteReference"/>
        </w:rPr>
        <w:footnoteRef/>
      </w:r>
      <w:r w:rsidRPr="0053213E">
        <w:t xml:space="preserve"> </w:t>
      </w:r>
      <w:hyperlink r:id="rId24" w:history="1">
        <w:r w:rsidRPr="0053213E">
          <w:rPr>
            <w:rStyle w:val="Hyperlink"/>
          </w:rPr>
          <w:t>http://www.ogtr.gov.au/internet/ogtr/publishing.nsf/Content/mc-protocols-1</w:t>
        </w:r>
      </w:hyperlink>
    </w:p>
  </w:footnote>
  <w:footnote w:id="21">
    <w:p w14:paraId="0060956A" w14:textId="77777777" w:rsidR="00C335FB" w:rsidRPr="0053213E" w:rsidRDefault="00C335FB">
      <w:pPr>
        <w:pStyle w:val="FootnoteText"/>
      </w:pPr>
      <w:r>
        <w:rPr>
          <w:rStyle w:val="FootnoteReference"/>
        </w:rPr>
        <w:footnoteRef/>
      </w:r>
      <w:r w:rsidRPr="0053213E">
        <w:t xml:space="preserve"> </w:t>
      </w:r>
      <w:hyperlink r:id="rId25" w:history="1">
        <w:r w:rsidRPr="0053213E">
          <w:rPr>
            <w:rStyle w:val="Hyperlink"/>
          </w:rPr>
          <w:t>http://www.agriculture.gov.au/import/arrival/arrangements/qap/qapcriteria</w:t>
        </w:r>
      </w:hyperlink>
    </w:p>
    <w:p w14:paraId="1450C6F2" w14:textId="77777777" w:rsidR="00C335FB" w:rsidRPr="0053213E" w:rsidRDefault="00776D3A">
      <w:pPr>
        <w:pStyle w:val="FootnoteText"/>
      </w:pPr>
      <w:hyperlink r:id="rId26" w:history="1">
        <w:r w:rsidR="00C335FB" w:rsidRPr="0053213E">
          <w:rPr>
            <w:rStyle w:val="Hyperlink"/>
          </w:rPr>
          <w:t>http://www.agriculture.gov.au/import/arrival/arrangements/qap/qap-general-policies</w:t>
        </w:r>
      </w:hyperlink>
    </w:p>
  </w:footnote>
  <w:footnote w:id="22">
    <w:p w14:paraId="16649C29" w14:textId="38C24D3C" w:rsidR="006C26C8" w:rsidRPr="0053213E" w:rsidRDefault="006C26C8">
      <w:pPr>
        <w:pStyle w:val="FootnoteText"/>
      </w:pPr>
      <w:r>
        <w:rPr>
          <w:rStyle w:val="FootnoteReference"/>
        </w:rPr>
        <w:footnoteRef/>
      </w:r>
      <w:r w:rsidRPr="0053213E">
        <w:t xml:space="preserve"> </w:t>
      </w:r>
      <w:hyperlink r:id="rId27" w:history="1">
        <w:r w:rsidRPr="0053213E">
          <w:rPr>
            <w:rStyle w:val="Hyperlink"/>
          </w:rPr>
          <w:t>http://www.agriculture.gov.au/import/arrival/arrangements/qap/third-party-assessors</w:t>
        </w:r>
      </w:hyperlink>
    </w:p>
    <w:p w14:paraId="480AFF69" w14:textId="6B761F9C" w:rsidR="006C26C8" w:rsidRPr="0053213E" w:rsidRDefault="00776D3A">
      <w:pPr>
        <w:pStyle w:val="FootnoteText"/>
        <w:rPr>
          <w:lang w:val="en-US"/>
        </w:rPr>
      </w:pPr>
      <w:hyperlink r:id="rId28" w:history="1">
        <w:r w:rsidR="006C26C8" w:rsidRPr="0053213E">
          <w:rPr>
            <w:rStyle w:val="Hyperlink"/>
            <w:lang w:val="en-US"/>
          </w:rPr>
          <w:t>http://www.agriculture.gov.au/import/arrival/arrangements/qap/engineer-assessors</w:t>
        </w:r>
      </w:hyperlink>
    </w:p>
  </w:footnote>
  <w:footnote w:id="23">
    <w:p w14:paraId="2BFEA2A1" w14:textId="66DE5E54" w:rsidR="006C26C8" w:rsidRPr="0053213E" w:rsidRDefault="006C26C8">
      <w:pPr>
        <w:pStyle w:val="FootnoteText"/>
        <w:rPr>
          <w:lang w:val="en-US"/>
        </w:rPr>
      </w:pPr>
      <w:r>
        <w:rPr>
          <w:rStyle w:val="FootnoteReference"/>
        </w:rPr>
        <w:footnoteRef/>
      </w:r>
      <w:r w:rsidRPr="0053213E">
        <w:t xml:space="preserve"> </w:t>
      </w:r>
      <w:hyperlink r:id="rId29" w:anchor="monitoring-and-assessing-compliance" w:history="1">
        <w:r w:rsidRPr="0053213E">
          <w:rPr>
            <w:rStyle w:val="Hyperlink"/>
          </w:rPr>
          <w:t>http://www.agriculture.gov.au/import/arrival/arrangements/qap/qap-general-policies#monitoring-and-assessing-compliance</w:t>
        </w:r>
      </w:hyperlink>
    </w:p>
  </w:footnote>
  <w:footnote w:id="24">
    <w:p w14:paraId="79ECF7AC" w14:textId="77777777" w:rsidR="00C335FB" w:rsidRDefault="00C335FB">
      <w:pPr>
        <w:pStyle w:val="FootnoteText"/>
      </w:pPr>
      <w:r>
        <w:rPr>
          <w:rStyle w:val="FootnoteReference"/>
        </w:rPr>
        <w:footnoteRef/>
      </w:r>
      <w:r>
        <w:t xml:space="preserve"> </w:t>
      </w:r>
      <w:r w:rsidRPr="00C335FB">
        <w:t xml:space="preserve">which can be purchased from </w:t>
      </w:r>
      <w:hyperlink r:id="rId30" w:history="1">
        <w:r w:rsidRPr="00CF4E3F">
          <w:rPr>
            <w:rStyle w:val="Hyperlink"/>
          </w:rPr>
          <w:t>http://infostore.saiglobal.com/store/Details.aspx?productID=1391032</w:t>
        </w:r>
      </w:hyperlink>
    </w:p>
  </w:footnote>
  <w:footnote w:id="25">
    <w:p w14:paraId="12E66DD1" w14:textId="77777777" w:rsidR="00A94B51" w:rsidRDefault="00A94B51">
      <w:pPr>
        <w:pStyle w:val="FootnoteText"/>
      </w:pPr>
      <w:r>
        <w:rPr>
          <w:rStyle w:val="FootnoteReference"/>
        </w:rPr>
        <w:footnoteRef/>
      </w:r>
      <w:r>
        <w:t xml:space="preserve"> </w:t>
      </w:r>
      <w:r w:rsidRPr="00A94B51">
        <w:t xml:space="preserve">which can be purchased from </w:t>
      </w:r>
      <w:hyperlink r:id="rId31" w:history="1">
        <w:r w:rsidRPr="00CF4E3F">
          <w:rPr>
            <w:rStyle w:val="Hyperlink"/>
          </w:rPr>
          <w:t>http://infostore.saiglobal.com/store/Details.aspx?ProductID=1430097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65971"/>
    <w:multiLevelType w:val="hybridMultilevel"/>
    <w:tmpl w:val="3F645A54"/>
    <w:lvl w:ilvl="0" w:tplc="A88E049A">
      <w:start w:val="1"/>
      <w:numFmt w:val="bullet"/>
      <w:lvlText w:val=""/>
      <w:lvlJc w:val="left"/>
      <w:pPr>
        <w:tabs>
          <w:tab w:val="num" w:pos="1158"/>
        </w:tabs>
        <w:ind w:left="1158" w:hanging="360"/>
      </w:pPr>
      <w:rPr>
        <w:rFonts w:ascii="Symbol" w:hAnsi="Symbol" w:hint="default"/>
        <w:i w:val="0"/>
        <w:sz w:val="16"/>
        <w:szCs w:val="16"/>
      </w:rPr>
    </w:lvl>
    <w:lvl w:ilvl="1" w:tplc="DEF85656">
      <w:start w:val="1"/>
      <w:numFmt w:val="bullet"/>
      <w:lvlText w:val=""/>
      <w:lvlJc w:val="left"/>
      <w:pPr>
        <w:tabs>
          <w:tab w:val="num" w:pos="1440"/>
        </w:tabs>
        <w:ind w:left="1440" w:hanging="360"/>
      </w:pPr>
      <w:rPr>
        <w:rFonts w:ascii="Symbol" w:hAnsi="Symbol" w:hint="default"/>
        <w:i w:val="0"/>
        <w:sz w:val="20"/>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vio, Maria">
    <w15:presenceInfo w15:providerId="None" w15:userId="Jarvio, Maria"/>
  </w15:person>
  <w15:person w15:author="Leanne Hodge">
    <w15:presenceInfo w15:providerId="None" w15:userId="Leanne Ho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BA"/>
    <w:rsid w:val="0000568B"/>
    <w:rsid w:val="000458C8"/>
    <w:rsid w:val="00081716"/>
    <w:rsid w:val="000C1C99"/>
    <w:rsid w:val="00132718"/>
    <w:rsid w:val="0014467F"/>
    <w:rsid w:val="00161F11"/>
    <w:rsid w:val="001702D6"/>
    <w:rsid w:val="0018429B"/>
    <w:rsid w:val="00187BF0"/>
    <w:rsid w:val="00190EBA"/>
    <w:rsid w:val="00192F82"/>
    <w:rsid w:val="001B18DF"/>
    <w:rsid w:val="001B1F2C"/>
    <w:rsid w:val="001C53F1"/>
    <w:rsid w:val="001F28DA"/>
    <w:rsid w:val="00200C4B"/>
    <w:rsid w:val="00226476"/>
    <w:rsid w:val="002647BC"/>
    <w:rsid w:val="0027729E"/>
    <w:rsid w:val="002971CA"/>
    <w:rsid w:val="002A607D"/>
    <w:rsid w:val="002D2BFD"/>
    <w:rsid w:val="002D2F9B"/>
    <w:rsid w:val="002E5162"/>
    <w:rsid w:val="002F7A1B"/>
    <w:rsid w:val="003309FE"/>
    <w:rsid w:val="00367FBE"/>
    <w:rsid w:val="003769AA"/>
    <w:rsid w:val="003E2BFD"/>
    <w:rsid w:val="004174E4"/>
    <w:rsid w:val="0042602B"/>
    <w:rsid w:val="00441A2F"/>
    <w:rsid w:val="00444D7A"/>
    <w:rsid w:val="00451FCE"/>
    <w:rsid w:val="004979B3"/>
    <w:rsid w:val="004C5E70"/>
    <w:rsid w:val="004C6BB8"/>
    <w:rsid w:val="004E511B"/>
    <w:rsid w:val="004F271E"/>
    <w:rsid w:val="00503101"/>
    <w:rsid w:val="00506632"/>
    <w:rsid w:val="0051051F"/>
    <w:rsid w:val="00525190"/>
    <w:rsid w:val="00530245"/>
    <w:rsid w:val="0053213E"/>
    <w:rsid w:val="00550609"/>
    <w:rsid w:val="005559C5"/>
    <w:rsid w:val="00590E6C"/>
    <w:rsid w:val="005D378A"/>
    <w:rsid w:val="005E2E7B"/>
    <w:rsid w:val="005E4FB7"/>
    <w:rsid w:val="00632F53"/>
    <w:rsid w:val="006475CB"/>
    <w:rsid w:val="006907F5"/>
    <w:rsid w:val="006C02F9"/>
    <w:rsid w:val="006C21DC"/>
    <w:rsid w:val="006C26C8"/>
    <w:rsid w:val="00733F5F"/>
    <w:rsid w:val="00746001"/>
    <w:rsid w:val="007636CD"/>
    <w:rsid w:val="00776D3A"/>
    <w:rsid w:val="00776FA9"/>
    <w:rsid w:val="007A3207"/>
    <w:rsid w:val="007C2EC0"/>
    <w:rsid w:val="00812B84"/>
    <w:rsid w:val="00822BC8"/>
    <w:rsid w:val="00830C46"/>
    <w:rsid w:val="00846109"/>
    <w:rsid w:val="00892242"/>
    <w:rsid w:val="00892DFC"/>
    <w:rsid w:val="00927CA1"/>
    <w:rsid w:val="009E5B32"/>
    <w:rsid w:val="00A01FEB"/>
    <w:rsid w:val="00A13896"/>
    <w:rsid w:val="00A42552"/>
    <w:rsid w:val="00A94B51"/>
    <w:rsid w:val="00AA45CF"/>
    <w:rsid w:val="00AC3724"/>
    <w:rsid w:val="00B41181"/>
    <w:rsid w:val="00B62312"/>
    <w:rsid w:val="00B71298"/>
    <w:rsid w:val="00B81F53"/>
    <w:rsid w:val="00B91045"/>
    <w:rsid w:val="00BB14E6"/>
    <w:rsid w:val="00BE30BE"/>
    <w:rsid w:val="00C2506B"/>
    <w:rsid w:val="00C3186B"/>
    <w:rsid w:val="00C32ED0"/>
    <w:rsid w:val="00C335FB"/>
    <w:rsid w:val="00C501D1"/>
    <w:rsid w:val="00C50FED"/>
    <w:rsid w:val="00C64F58"/>
    <w:rsid w:val="00C70EBA"/>
    <w:rsid w:val="00C83588"/>
    <w:rsid w:val="00CA7F9C"/>
    <w:rsid w:val="00CE64D3"/>
    <w:rsid w:val="00D06018"/>
    <w:rsid w:val="00D131FB"/>
    <w:rsid w:val="00D21CE4"/>
    <w:rsid w:val="00D42143"/>
    <w:rsid w:val="00D57E72"/>
    <w:rsid w:val="00D8430D"/>
    <w:rsid w:val="00D90DFB"/>
    <w:rsid w:val="00D942A8"/>
    <w:rsid w:val="00DA2A8A"/>
    <w:rsid w:val="00DB515C"/>
    <w:rsid w:val="00DD6324"/>
    <w:rsid w:val="00DE0C7B"/>
    <w:rsid w:val="00E05048"/>
    <w:rsid w:val="00E127FE"/>
    <w:rsid w:val="00E2779A"/>
    <w:rsid w:val="00E4346B"/>
    <w:rsid w:val="00E52791"/>
    <w:rsid w:val="00E85982"/>
    <w:rsid w:val="00E92C35"/>
    <w:rsid w:val="00EA2704"/>
    <w:rsid w:val="00EC5380"/>
    <w:rsid w:val="00EC7CBA"/>
    <w:rsid w:val="00F46B2A"/>
    <w:rsid w:val="00F65901"/>
    <w:rsid w:val="00FC070E"/>
    <w:rsid w:val="00FF2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F2C"/>
    <w:pPr>
      <w:tabs>
        <w:tab w:val="num" w:pos="1148"/>
      </w:tabs>
      <w:autoSpaceDE w:val="0"/>
      <w:autoSpaceDN w:val="0"/>
      <w:adjustRightInd w:val="0"/>
      <w:spacing w:before="120" w:after="120"/>
      <w:jc w:val="center"/>
      <w:outlineLvl w:val="0"/>
    </w:pPr>
    <w:rPr>
      <w:rFonts w:ascii="Times New Roman Bold" w:hAnsi="Times New Roman Bold" w:cs="Times New Roman"/>
      <w:b/>
      <w:caps/>
      <w:sz w:val="24"/>
      <w:szCs w:val="24"/>
    </w:rPr>
  </w:style>
  <w:style w:type="paragraph" w:styleId="Heading2">
    <w:name w:val="heading 2"/>
    <w:basedOn w:val="Normal"/>
    <w:next w:val="Normal"/>
    <w:link w:val="Heading2Char"/>
    <w:uiPriority w:val="9"/>
    <w:unhideWhenUsed/>
    <w:qFormat/>
    <w:rsid w:val="001B1F2C"/>
    <w:pPr>
      <w:keepNext/>
      <w:keepLines/>
      <w:spacing w:before="240" w:after="1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EBA"/>
    <w:rPr>
      <w:color w:val="0000FF" w:themeColor="hyperlink"/>
      <w:u w:val="single"/>
    </w:rPr>
  </w:style>
  <w:style w:type="character" w:customStyle="1" w:styleId="apple-converted-space">
    <w:name w:val="apple-converted-space"/>
    <w:basedOn w:val="DefaultParagraphFont"/>
    <w:rsid w:val="00AC3724"/>
  </w:style>
  <w:style w:type="character" w:customStyle="1" w:styleId="Heading2Char">
    <w:name w:val="Heading 2 Char"/>
    <w:basedOn w:val="DefaultParagraphFont"/>
    <w:link w:val="Heading2"/>
    <w:uiPriority w:val="9"/>
    <w:rsid w:val="001B1F2C"/>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1B1F2C"/>
    <w:rPr>
      <w:rFonts w:ascii="Times New Roman Bold" w:hAnsi="Times New Roman Bold" w:cs="Times New Roman"/>
      <w:b/>
      <w:caps/>
      <w:sz w:val="24"/>
      <w:szCs w:val="24"/>
    </w:rPr>
  </w:style>
  <w:style w:type="paragraph" w:styleId="ListParagraph">
    <w:name w:val="List Paragraph"/>
    <w:basedOn w:val="Normal"/>
    <w:uiPriority w:val="34"/>
    <w:qFormat/>
    <w:rsid w:val="00D21CE4"/>
    <w:pPr>
      <w:ind w:left="720"/>
      <w:contextualSpacing/>
    </w:pPr>
  </w:style>
  <w:style w:type="character" w:styleId="FollowedHyperlink">
    <w:name w:val="FollowedHyperlink"/>
    <w:basedOn w:val="DefaultParagraphFont"/>
    <w:uiPriority w:val="99"/>
    <w:semiHidden/>
    <w:unhideWhenUsed/>
    <w:rsid w:val="00D8430D"/>
    <w:rPr>
      <w:color w:val="800080" w:themeColor="followedHyperlink"/>
      <w:u w:val="single"/>
    </w:rPr>
  </w:style>
  <w:style w:type="character" w:styleId="CommentReference">
    <w:name w:val="annotation reference"/>
    <w:basedOn w:val="DefaultParagraphFont"/>
    <w:uiPriority w:val="99"/>
    <w:semiHidden/>
    <w:unhideWhenUsed/>
    <w:rsid w:val="00D8430D"/>
    <w:rPr>
      <w:sz w:val="16"/>
      <w:szCs w:val="16"/>
    </w:rPr>
  </w:style>
  <w:style w:type="paragraph" w:styleId="CommentText">
    <w:name w:val="annotation text"/>
    <w:basedOn w:val="Normal"/>
    <w:link w:val="CommentTextChar"/>
    <w:uiPriority w:val="99"/>
    <w:semiHidden/>
    <w:unhideWhenUsed/>
    <w:rsid w:val="00D8430D"/>
    <w:pPr>
      <w:spacing w:line="240" w:lineRule="auto"/>
    </w:pPr>
    <w:rPr>
      <w:sz w:val="20"/>
      <w:szCs w:val="20"/>
    </w:rPr>
  </w:style>
  <w:style w:type="character" w:customStyle="1" w:styleId="CommentTextChar">
    <w:name w:val="Comment Text Char"/>
    <w:basedOn w:val="DefaultParagraphFont"/>
    <w:link w:val="CommentText"/>
    <w:uiPriority w:val="99"/>
    <w:semiHidden/>
    <w:rsid w:val="00D8430D"/>
    <w:rPr>
      <w:sz w:val="20"/>
      <w:szCs w:val="20"/>
    </w:rPr>
  </w:style>
  <w:style w:type="paragraph" w:styleId="CommentSubject">
    <w:name w:val="annotation subject"/>
    <w:basedOn w:val="CommentText"/>
    <w:next w:val="CommentText"/>
    <w:link w:val="CommentSubjectChar"/>
    <w:uiPriority w:val="99"/>
    <w:semiHidden/>
    <w:unhideWhenUsed/>
    <w:rsid w:val="00D8430D"/>
    <w:rPr>
      <w:b/>
      <w:bCs/>
    </w:rPr>
  </w:style>
  <w:style w:type="character" w:customStyle="1" w:styleId="CommentSubjectChar">
    <w:name w:val="Comment Subject Char"/>
    <w:basedOn w:val="CommentTextChar"/>
    <w:link w:val="CommentSubject"/>
    <w:uiPriority w:val="99"/>
    <w:semiHidden/>
    <w:rsid w:val="00D8430D"/>
    <w:rPr>
      <w:b/>
      <w:bCs/>
      <w:sz w:val="20"/>
      <w:szCs w:val="20"/>
    </w:rPr>
  </w:style>
  <w:style w:type="paragraph" w:styleId="BalloonText">
    <w:name w:val="Balloon Text"/>
    <w:basedOn w:val="Normal"/>
    <w:link w:val="BalloonTextChar"/>
    <w:uiPriority w:val="99"/>
    <w:semiHidden/>
    <w:unhideWhenUsed/>
    <w:rsid w:val="00D8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0D"/>
    <w:rPr>
      <w:rFonts w:ascii="Tahoma" w:hAnsi="Tahoma" w:cs="Tahoma"/>
      <w:sz w:val="16"/>
      <w:szCs w:val="16"/>
    </w:rPr>
  </w:style>
  <w:style w:type="paragraph" w:styleId="FootnoteText">
    <w:name w:val="footnote text"/>
    <w:basedOn w:val="Normal"/>
    <w:link w:val="FootnoteTextChar"/>
    <w:uiPriority w:val="99"/>
    <w:semiHidden/>
    <w:unhideWhenUsed/>
    <w:rsid w:val="00C64F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F58"/>
    <w:rPr>
      <w:sz w:val="20"/>
      <w:szCs w:val="20"/>
    </w:rPr>
  </w:style>
  <w:style w:type="character" w:styleId="FootnoteReference">
    <w:name w:val="footnote reference"/>
    <w:basedOn w:val="DefaultParagraphFont"/>
    <w:uiPriority w:val="99"/>
    <w:semiHidden/>
    <w:unhideWhenUsed/>
    <w:rsid w:val="00C64F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F2C"/>
    <w:pPr>
      <w:tabs>
        <w:tab w:val="num" w:pos="1148"/>
      </w:tabs>
      <w:autoSpaceDE w:val="0"/>
      <w:autoSpaceDN w:val="0"/>
      <w:adjustRightInd w:val="0"/>
      <w:spacing w:before="120" w:after="120"/>
      <w:jc w:val="center"/>
      <w:outlineLvl w:val="0"/>
    </w:pPr>
    <w:rPr>
      <w:rFonts w:ascii="Times New Roman Bold" w:hAnsi="Times New Roman Bold" w:cs="Times New Roman"/>
      <w:b/>
      <w:caps/>
      <w:sz w:val="24"/>
      <w:szCs w:val="24"/>
    </w:rPr>
  </w:style>
  <w:style w:type="paragraph" w:styleId="Heading2">
    <w:name w:val="heading 2"/>
    <w:basedOn w:val="Normal"/>
    <w:next w:val="Normal"/>
    <w:link w:val="Heading2Char"/>
    <w:uiPriority w:val="9"/>
    <w:unhideWhenUsed/>
    <w:qFormat/>
    <w:rsid w:val="001B1F2C"/>
    <w:pPr>
      <w:keepNext/>
      <w:keepLines/>
      <w:spacing w:before="240" w:after="1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EBA"/>
    <w:rPr>
      <w:color w:val="0000FF" w:themeColor="hyperlink"/>
      <w:u w:val="single"/>
    </w:rPr>
  </w:style>
  <w:style w:type="character" w:customStyle="1" w:styleId="apple-converted-space">
    <w:name w:val="apple-converted-space"/>
    <w:basedOn w:val="DefaultParagraphFont"/>
    <w:rsid w:val="00AC3724"/>
  </w:style>
  <w:style w:type="character" w:customStyle="1" w:styleId="Heading2Char">
    <w:name w:val="Heading 2 Char"/>
    <w:basedOn w:val="DefaultParagraphFont"/>
    <w:link w:val="Heading2"/>
    <w:uiPriority w:val="9"/>
    <w:rsid w:val="001B1F2C"/>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1B1F2C"/>
    <w:rPr>
      <w:rFonts w:ascii="Times New Roman Bold" w:hAnsi="Times New Roman Bold" w:cs="Times New Roman"/>
      <w:b/>
      <w:caps/>
      <w:sz w:val="24"/>
      <w:szCs w:val="24"/>
    </w:rPr>
  </w:style>
  <w:style w:type="paragraph" w:styleId="ListParagraph">
    <w:name w:val="List Paragraph"/>
    <w:basedOn w:val="Normal"/>
    <w:uiPriority w:val="34"/>
    <w:qFormat/>
    <w:rsid w:val="00D21CE4"/>
    <w:pPr>
      <w:ind w:left="720"/>
      <w:contextualSpacing/>
    </w:pPr>
  </w:style>
  <w:style w:type="character" w:styleId="FollowedHyperlink">
    <w:name w:val="FollowedHyperlink"/>
    <w:basedOn w:val="DefaultParagraphFont"/>
    <w:uiPriority w:val="99"/>
    <w:semiHidden/>
    <w:unhideWhenUsed/>
    <w:rsid w:val="00D8430D"/>
    <w:rPr>
      <w:color w:val="800080" w:themeColor="followedHyperlink"/>
      <w:u w:val="single"/>
    </w:rPr>
  </w:style>
  <w:style w:type="character" w:styleId="CommentReference">
    <w:name w:val="annotation reference"/>
    <w:basedOn w:val="DefaultParagraphFont"/>
    <w:uiPriority w:val="99"/>
    <w:semiHidden/>
    <w:unhideWhenUsed/>
    <w:rsid w:val="00D8430D"/>
    <w:rPr>
      <w:sz w:val="16"/>
      <w:szCs w:val="16"/>
    </w:rPr>
  </w:style>
  <w:style w:type="paragraph" w:styleId="CommentText">
    <w:name w:val="annotation text"/>
    <w:basedOn w:val="Normal"/>
    <w:link w:val="CommentTextChar"/>
    <w:uiPriority w:val="99"/>
    <w:semiHidden/>
    <w:unhideWhenUsed/>
    <w:rsid w:val="00D8430D"/>
    <w:pPr>
      <w:spacing w:line="240" w:lineRule="auto"/>
    </w:pPr>
    <w:rPr>
      <w:sz w:val="20"/>
      <w:szCs w:val="20"/>
    </w:rPr>
  </w:style>
  <w:style w:type="character" w:customStyle="1" w:styleId="CommentTextChar">
    <w:name w:val="Comment Text Char"/>
    <w:basedOn w:val="DefaultParagraphFont"/>
    <w:link w:val="CommentText"/>
    <w:uiPriority w:val="99"/>
    <w:semiHidden/>
    <w:rsid w:val="00D8430D"/>
    <w:rPr>
      <w:sz w:val="20"/>
      <w:szCs w:val="20"/>
    </w:rPr>
  </w:style>
  <w:style w:type="paragraph" w:styleId="CommentSubject">
    <w:name w:val="annotation subject"/>
    <w:basedOn w:val="CommentText"/>
    <w:next w:val="CommentText"/>
    <w:link w:val="CommentSubjectChar"/>
    <w:uiPriority w:val="99"/>
    <w:semiHidden/>
    <w:unhideWhenUsed/>
    <w:rsid w:val="00D8430D"/>
    <w:rPr>
      <w:b/>
      <w:bCs/>
    </w:rPr>
  </w:style>
  <w:style w:type="character" w:customStyle="1" w:styleId="CommentSubjectChar">
    <w:name w:val="Comment Subject Char"/>
    <w:basedOn w:val="CommentTextChar"/>
    <w:link w:val="CommentSubject"/>
    <w:uiPriority w:val="99"/>
    <w:semiHidden/>
    <w:rsid w:val="00D8430D"/>
    <w:rPr>
      <w:b/>
      <w:bCs/>
      <w:sz w:val="20"/>
      <w:szCs w:val="20"/>
    </w:rPr>
  </w:style>
  <w:style w:type="paragraph" w:styleId="BalloonText">
    <w:name w:val="Balloon Text"/>
    <w:basedOn w:val="Normal"/>
    <w:link w:val="BalloonTextChar"/>
    <w:uiPriority w:val="99"/>
    <w:semiHidden/>
    <w:unhideWhenUsed/>
    <w:rsid w:val="00D8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0D"/>
    <w:rPr>
      <w:rFonts w:ascii="Tahoma" w:hAnsi="Tahoma" w:cs="Tahoma"/>
      <w:sz w:val="16"/>
      <w:szCs w:val="16"/>
    </w:rPr>
  </w:style>
  <w:style w:type="paragraph" w:styleId="FootnoteText">
    <w:name w:val="footnote text"/>
    <w:basedOn w:val="Normal"/>
    <w:link w:val="FootnoteTextChar"/>
    <w:uiPriority w:val="99"/>
    <w:semiHidden/>
    <w:unhideWhenUsed/>
    <w:rsid w:val="00C64F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F58"/>
    <w:rPr>
      <w:sz w:val="20"/>
      <w:szCs w:val="20"/>
    </w:rPr>
  </w:style>
  <w:style w:type="character" w:styleId="FootnoteReference">
    <w:name w:val="footnote reference"/>
    <w:basedOn w:val="DefaultParagraphFont"/>
    <w:uiPriority w:val="99"/>
    <w:semiHidden/>
    <w:unhideWhenUsed/>
    <w:rsid w:val="00C64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8900">
      <w:bodyDiv w:val="1"/>
      <w:marLeft w:val="0"/>
      <w:marRight w:val="0"/>
      <w:marTop w:val="0"/>
      <w:marBottom w:val="0"/>
      <w:divBdr>
        <w:top w:val="none" w:sz="0" w:space="0" w:color="auto"/>
        <w:left w:val="none" w:sz="0" w:space="0" w:color="auto"/>
        <w:bottom w:val="none" w:sz="0" w:space="0" w:color="auto"/>
        <w:right w:val="none" w:sz="0" w:space="0" w:color="auto"/>
      </w:divBdr>
    </w:div>
    <w:div w:id="179247214">
      <w:bodyDiv w:val="1"/>
      <w:marLeft w:val="0"/>
      <w:marRight w:val="0"/>
      <w:marTop w:val="0"/>
      <w:marBottom w:val="0"/>
      <w:divBdr>
        <w:top w:val="none" w:sz="0" w:space="0" w:color="auto"/>
        <w:left w:val="none" w:sz="0" w:space="0" w:color="auto"/>
        <w:bottom w:val="none" w:sz="0" w:space="0" w:color="auto"/>
        <w:right w:val="none" w:sz="0" w:space="0" w:color="auto"/>
      </w:divBdr>
    </w:div>
    <w:div w:id="911618647">
      <w:bodyDiv w:val="1"/>
      <w:marLeft w:val="0"/>
      <w:marRight w:val="0"/>
      <w:marTop w:val="0"/>
      <w:marBottom w:val="0"/>
      <w:divBdr>
        <w:top w:val="none" w:sz="0" w:space="0" w:color="auto"/>
        <w:left w:val="none" w:sz="0" w:space="0" w:color="auto"/>
        <w:bottom w:val="none" w:sz="0" w:space="0" w:color="auto"/>
        <w:right w:val="none" w:sz="0" w:space="0" w:color="auto"/>
      </w:divBdr>
    </w:div>
    <w:div w:id="978265620">
      <w:bodyDiv w:val="1"/>
      <w:marLeft w:val="0"/>
      <w:marRight w:val="0"/>
      <w:marTop w:val="0"/>
      <w:marBottom w:val="0"/>
      <w:divBdr>
        <w:top w:val="none" w:sz="0" w:space="0" w:color="auto"/>
        <w:left w:val="none" w:sz="0" w:space="0" w:color="auto"/>
        <w:bottom w:val="none" w:sz="0" w:space="0" w:color="auto"/>
        <w:right w:val="none" w:sz="0" w:space="0" w:color="auto"/>
      </w:divBdr>
    </w:div>
    <w:div w:id="1759213205">
      <w:bodyDiv w:val="1"/>
      <w:marLeft w:val="0"/>
      <w:marRight w:val="0"/>
      <w:marTop w:val="0"/>
      <w:marBottom w:val="0"/>
      <w:divBdr>
        <w:top w:val="none" w:sz="0" w:space="0" w:color="auto"/>
        <w:left w:val="none" w:sz="0" w:space="0" w:color="auto"/>
        <w:bottom w:val="none" w:sz="0" w:space="0" w:color="auto"/>
        <w:right w:val="none" w:sz="0" w:space="0" w:color="auto"/>
      </w:divBdr>
    </w:div>
    <w:div w:id="1934435401">
      <w:bodyDiv w:val="1"/>
      <w:marLeft w:val="0"/>
      <w:marRight w:val="0"/>
      <w:marTop w:val="0"/>
      <w:marBottom w:val="0"/>
      <w:divBdr>
        <w:top w:val="none" w:sz="0" w:space="0" w:color="auto"/>
        <w:left w:val="none" w:sz="0" w:space="0" w:color="auto"/>
        <w:bottom w:val="none" w:sz="0" w:space="0" w:color="auto"/>
        <w:right w:val="none" w:sz="0" w:space="0" w:color="auto"/>
      </w:divBdr>
    </w:div>
    <w:div w:id="2031836526">
      <w:bodyDiv w:val="1"/>
      <w:marLeft w:val="0"/>
      <w:marRight w:val="0"/>
      <w:marTop w:val="0"/>
      <w:marBottom w:val="0"/>
      <w:divBdr>
        <w:top w:val="none" w:sz="0" w:space="0" w:color="auto"/>
        <w:left w:val="none" w:sz="0" w:space="0" w:color="auto"/>
        <w:bottom w:val="none" w:sz="0" w:space="0" w:color="auto"/>
        <w:right w:val="none" w:sz="0" w:space="0" w:color="auto"/>
      </w:divBdr>
    </w:div>
    <w:div w:id="20464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Details/C2016C00269" TargetMode="External"/><Relationship Id="rId13" Type="http://schemas.openxmlformats.org/officeDocument/2006/relationships/hyperlink" Target="http://www.who.int/ihr/publications/WHO_CDS_CSR_LYO_2004_11/en/" TargetMode="External"/><Relationship Id="rId18" Type="http://schemas.openxmlformats.org/officeDocument/2006/relationships/hyperlink" Target="http://www.ogtr.gov.au/internet/ogtr/publishing.nsf/Content/cert-pc3-1" TargetMode="External"/><Relationship Id="rId26" Type="http://schemas.openxmlformats.org/officeDocument/2006/relationships/hyperlink" Target="http://www.agriculture.gov.au/import/arrival/arrangements/qap/qap-general-policies" TargetMode="External"/><Relationship Id="rId3" Type="http://schemas.openxmlformats.org/officeDocument/2006/relationships/hyperlink" Target="https://www.legislation.gov.au/Details/C2015A00061" TargetMode="External"/><Relationship Id="rId21" Type="http://schemas.openxmlformats.org/officeDocument/2006/relationships/hyperlink" Target="http://www.ogtr.gov.au/internet/ogtr/publishing.nsf/Content/transport-guide-1" TargetMode="External"/><Relationship Id="rId7" Type="http://schemas.openxmlformats.org/officeDocument/2006/relationships/hyperlink" Target="https://www.legislation.gov.au/Details/C2016C00255" TargetMode="External"/><Relationship Id="rId12" Type="http://schemas.openxmlformats.org/officeDocument/2006/relationships/hyperlink" Target="http://infostore.saiglobal.com/store/Details.aspx?ProductID=1430097" TargetMode="External"/><Relationship Id="rId17" Type="http://schemas.openxmlformats.org/officeDocument/2006/relationships/hyperlink" Target="http://www.ogtr.gov.au/internet/ogtr/publishing.nsf/Content/cert-pc2-1" TargetMode="External"/><Relationship Id="rId25" Type="http://schemas.openxmlformats.org/officeDocument/2006/relationships/hyperlink" Target="http://www.agriculture.gov.au/import/arrival/arrangements/qap/qapcriteria" TargetMode="External"/><Relationship Id="rId2" Type="http://schemas.openxmlformats.org/officeDocument/2006/relationships/hyperlink" Target="http://www.foodstandards.gov.au/code/Pages/default.aspx" TargetMode="External"/><Relationship Id="rId16" Type="http://schemas.openxmlformats.org/officeDocument/2006/relationships/hyperlink" Target="http://www.ogtr.gov.au/internet/ogtr/publishing.nsf/Content/cert-pc1-1" TargetMode="External"/><Relationship Id="rId20" Type="http://schemas.openxmlformats.org/officeDocument/2006/relationships/hyperlink" Target="http://www.ogtr.gov.au/internet/ogtr/publishing.nsf/Content/FacilTypesv1-2-htm" TargetMode="External"/><Relationship Id="rId29" Type="http://schemas.openxmlformats.org/officeDocument/2006/relationships/hyperlink" Target="http://www.agriculture.gov.au/import/arrival/arrangements/qap/qap-general-policies" TargetMode="External"/><Relationship Id="rId1" Type="http://schemas.openxmlformats.org/officeDocument/2006/relationships/hyperlink" Target="https://www.legislation.gov.au/Details/C2016C00189" TargetMode="External"/><Relationship Id="rId6" Type="http://schemas.openxmlformats.org/officeDocument/2006/relationships/hyperlink" Target="https://www.legislation.gov.au/Details/C2016C00273" TargetMode="External"/><Relationship Id="rId11" Type="http://schemas.openxmlformats.org/officeDocument/2006/relationships/hyperlink" Target="http://www.ogtr.gov.au/internet/ogtr/publishing.nsf/Content/apps-for-gmo" TargetMode="External"/><Relationship Id="rId24" Type="http://schemas.openxmlformats.org/officeDocument/2006/relationships/hyperlink" Target="http://www.ogtr.gov.au/internet/ogtr/publishing.nsf/Content/mc-protocols-1" TargetMode="External"/><Relationship Id="rId5" Type="http://schemas.openxmlformats.org/officeDocument/2006/relationships/hyperlink" Target="https://www.legislation.gov.au/Details/C2016C00322" TargetMode="External"/><Relationship Id="rId15" Type="http://schemas.openxmlformats.org/officeDocument/2006/relationships/hyperlink" Target="http://www.ogtr.gov.au/internet/ogtr/publishing.nsf/Content/accreditation-process" TargetMode="External"/><Relationship Id="rId23" Type="http://schemas.openxmlformats.org/officeDocument/2006/relationships/hyperlink" Target="http://www.environment.gov.au/biodiversity/wildlife-trade/live/import-list" TargetMode="External"/><Relationship Id="rId28" Type="http://schemas.openxmlformats.org/officeDocument/2006/relationships/hyperlink" Target="http://www.agriculture.gov.au/import/arrival/arrangements/qap/engineer-assessors" TargetMode="External"/><Relationship Id="rId10" Type="http://schemas.openxmlformats.org/officeDocument/2006/relationships/hyperlink" Target="https://www.legislation.gov.au/Details/F2011C00732" TargetMode="External"/><Relationship Id="rId19" Type="http://schemas.openxmlformats.org/officeDocument/2006/relationships/hyperlink" Target="http://www.ogtr.gov.au/internet/ogtr/publishing.nsf/Content/cert-pc4-1" TargetMode="External"/><Relationship Id="rId31" Type="http://schemas.openxmlformats.org/officeDocument/2006/relationships/hyperlink" Target="http://infostore.saiglobal.com/store/Details.aspx?ProductID=1430097" TargetMode="External"/><Relationship Id="rId4" Type="http://schemas.openxmlformats.org/officeDocument/2006/relationships/hyperlink" Target="https://www.legislation.gov.au/Details/C2016C00291" TargetMode="External"/><Relationship Id="rId9" Type="http://schemas.openxmlformats.org/officeDocument/2006/relationships/hyperlink" Target="http://www.ogtr.gov.au/internet/ogtr/publishing.nsf/Content/risk-analysis-framework" TargetMode="External"/><Relationship Id="rId14" Type="http://schemas.openxmlformats.org/officeDocument/2006/relationships/hyperlink" Target="http://www.cdc.gov/biosafety/publications/bmbl5/" TargetMode="External"/><Relationship Id="rId22" Type="http://schemas.openxmlformats.org/officeDocument/2006/relationships/hyperlink" Target="http://www.iata.org/publications/dgr/pages/index.aspx" TargetMode="External"/><Relationship Id="rId27" Type="http://schemas.openxmlformats.org/officeDocument/2006/relationships/hyperlink" Target="http://www.agriculture.gov.au/import/arrival/arrangements/qap/third-party-assessors" TargetMode="External"/><Relationship Id="rId30" Type="http://schemas.openxmlformats.org/officeDocument/2006/relationships/hyperlink" Target="http://infostore.saiglobal.com/store/Details.aspx?productID=1391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B882-CD02-4B7C-8CC1-A6A91B13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Samantha</dc:creator>
  <cp:lastModifiedBy>Shoobridge Maryanne</cp:lastModifiedBy>
  <cp:revision>2</cp:revision>
  <cp:lastPrinted>2016-05-10T03:33:00Z</cp:lastPrinted>
  <dcterms:created xsi:type="dcterms:W3CDTF">2016-05-13T02:15:00Z</dcterms:created>
  <dcterms:modified xsi:type="dcterms:W3CDTF">2016-05-13T02:15:00Z</dcterms:modified>
</cp:coreProperties>
</file>