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C92491">
        <w:rPr>
          <w:b/>
          <w:lang w:val="es-ES"/>
        </w:rPr>
        <w:t>1</w:t>
      </w:r>
      <w:r w:rsidR="00CA68FA">
        <w:rPr>
          <w:b/>
          <w:lang w:val="es-ES"/>
        </w:rPr>
        <w:t>3</w:t>
      </w:r>
      <w:r w:rsidR="000100EE">
        <w:rPr>
          <w:b/>
          <w:lang w:val="es-ES"/>
        </w:rPr>
        <w:t>/201</w:t>
      </w:r>
      <w:r w:rsidR="00CA68FA">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AA1DBD" w:rsidRDefault="00CA68FA" w:rsidP="00AA1DBD">
            <w:pPr>
              <w:spacing w:line="300" w:lineRule="exact"/>
              <w:jc w:val="both"/>
              <w:cnfStyle w:val="000000100000" w:firstRow="0" w:lastRow="0" w:firstColumn="0" w:lastColumn="0" w:oddVBand="0" w:evenVBand="0" w:oddHBand="1" w:evenHBand="0" w:firstRowFirstColumn="0" w:firstRowLastColumn="0" w:lastRowFirstColumn="0" w:lastRowLastColumn="0"/>
            </w:pPr>
            <w:r>
              <w:t>Bayer de México, S.A. de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D237E1" w:rsidRDefault="00CA68FA"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Etapa Experimental</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51520D" w:rsidRDefault="000100EE"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hirsutum</w:t>
            </w:r>
            <w:r w:rsidR="00A720A0">
              <w:rPr>
                <w:rFonts w:cs="Calibri"/>
                <w:i/>
              </w:rPr>
              <w:t xml:space="preserve"> </w:t>
            </w:r>
            <w:r w:rsidR="00A720A0" w:rsidRPr="00A720A0">
              <w:rPr>
                <w:rFonts w:cs="Calibri"/>
              </w:rPr>
              <w:t>L.</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35" w:type="dxa"/>
          </w:tcPr>
          <w:p w:rsidR="00A720A0" w:rsidRPr="003F4DD7" w:rsidRDefault="007078F8" w:rsidP="004A485E">
            <w:pPr>
              <w:jc w:val="both"/>
              <w:cnfStyle w:val="000000000000" w:firstRow="0" w:lastRow="0" w:firstColumn="0" w:lastColumn="0" w:oddVBand="0" w:evenVBand="0" w:oddHBand="0" w:evenHBand="0" w:firstRowFirstColumn="0" w:firstRowLastColumn="0" w:lastRowFirstColumn="0" w:lastRowLastColumn="0"/>
              <w:rPr>
                <w:rFonts w:cs="Calibri"/>
                <w:lang w:val="es-ES"/>
              </w:rPr>
            </w:pPr>
            <w:r w:rsidRPr="003F4DD7">
              <w:rPr>
                <w:rFonts w:cs="Calibri"/>
                <w:lang w:val="es-ES"/>
              </w:rPr>
              <w:t>BCS-GHØØ2-5 x BCS-GHØØ4-7 x BCS-GHØØ5-8 x SYN-IR1Ø2-7</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A720A0" w:rsidRPr="009E500B" w:rsidRDefault="002C2C64" w:rsidP="004A485E">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 xml:space="preserve">Resistencia a insectos lepidópteros y </w:t>
            </w:r>
            <w:r w:rsidR="00CB68B1">
              <w:rPr>
                <w:rFonts w:cs="Calibri"/>
                <w:color w:val="000000"/>
              </w:rPr>
              <w:t>t</w:t>
            </w:r>
            <w:r w:rsidR="00A720A0" w:rsidRPr="001335F9">
              <w:rPr>
                <w:rFonts w:cs="Calibri"/>
                <w:color w:val="000000"/>
              </w:rPr>
              <w:t>olerancia a</w:t>
            </w:r>
            <w:r w:rsidR="007078F8">
              <w:rPr>
                <w:rFonts w:cs="Calibri"/>
                <w:color w:val="000000"/>
              </w:rPr>
              <w:t xml:space="preserve"> </w:t>
            </w:r>
            <w:r w:rsidR="00A720A0" w:rsidRPr="001335F9">
              <w:rPr>
                <w:rFonts w:cs="Calibri"/>
                <w:color w:val="000000"/>
              </w:rPr>
              <w:t>l</w:t>
            </w:r>
            <w:r w:rsidR="007078F8">
              <w:rPr>
                <w:rFonts w:cs="Calibri"/>
                <w:color w:val="000000"/>
              </w:rPr>
              <w:t>os</w:t>
            </w:r>
            <w:r w:rsidR="00A720A0" w:rsidRPr="001335F9">
              <w:rPr>
                <w:rFonts w:cs="Calibri"/>
                <w:color w:val="000000"/>
              </w:rPr>
              <w:t xml:space="preserve"> herbicida</w:t>
            </w:r>
            <w:r w:rsidR="007078F8">
              <w:rPr>
                <w:rFonts w:cs="Calibri"/>
                <w:color w:val="000000"/>
              </w:rPr>
              <w:t>s</w:t>
            </w:r>
            <w:r w:rsidR="00A720A0" w:rsidRPr="001335F9">
              <w:rPr>
                <w:rFonts w:cs="Calibri"/>
                <w:color w:val="000000"/>
              </w:rPr>
              <w:t xml:space="preserve"> c</w:t>
            </w:r>
            <w:r w:rsidR="000100EE">
              <w:rPr>
                <w:rFonts w:cs="Calibri"/>
                <w:color w:val="000000"/>
              </w:rPr>
              <w:t>on ingrediente activo glifosato</w:t>
            </w:r>
            <w:r w:rsidR="007078F8">
              <w:rPr>
                <w:rFonts w:cs="Calibri"/>
                <w:color w:val="000000"/>
              </w:rPr>
              <w:t xml:space="preserve"> y glufosinato de amonio</w:t>
            </w:r>
            <w:r w:rsidR="000100EE">
              <w:rPr>
                <w:rFonts w:cs="Calibri"/>
                <w:color w:val="000000"/>
              </w:rPr>
              <w:t>.</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CA68FA" w:rsidP="004A485E">
            <w:pPr>
              <w:jc w:val="both"/>
              <w:cnfStyle w:val="000000000000" w:firstRow="0" w:lastRow="0" w:firstColumn="0" w:lastColumn="0" w:oddVBand="0" w:evenVBand="0" w:oddHBand="0" w:evenHBand="0" w:firstRowFirstColumn="0" w:firstRowLastColumn="0" w:lastRowFirstColumn="0" w:lastRowLastColumn="0"/>
              <w:rPr>
                <w:rFonts w:cs="Calibri"/>
              </w:rPr>
            </w:pPr>
            <w:r>
              <w:t>Baja California, Sonora y Tamaulipas</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7078F8" w:rsidP="00B669F8">
            <w:pPr>
              <w:jc w:val="both"/>
              <w:cnfStyle w:val="000000100000" w:firstRow="0" w:lastRow="0" w:firstColumn="0" w:lastColumn="0" w:oddVBand="0" w:evenVBand="0" w:oddHBand="1" w:evenHBand="0" w:firstRowFirstColumn="0" w:firstRowLastColumn="0" w:lastRowFirstColumn="0" w:lastRowLastColumn="0"/>
              <w:rPr>
                <w:rFonts w:cs="Calibri"/>
              </w:rPr>
            </w:pPr>
            <w:r w:rsidRPr="007078F8">
              <w:t>Mexicali (Baja California); San Luis Rio Colorado (Sonora); y Rio Bravo (Tamaulipas).</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C92491" w:rsidP="00CA68FA">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Primavera </w:t>
            </w:r>
            <w:proofErr w:type="gramStart"/>
            <w:r>
              <w:rPr>
                <w:rFonts w:cs="Calibri"/>
              </w:rPr>
              <w:t>Verano</w:t>
            </w:r>
            <w:proofErr w:type="gramEnd"/>
            <w:r>
              <w:rPr>
                <w:rFonts w:cs="Calibri"/>
              </w:rPr>
              <w:t xml:space="preserve"> 201</w:t>
            </w:r>
            <w:r w:rsidR="00CA68FA">
              <w:rPr>
                <w:rFonts w:cs="Calibri"/>
              </w:rPr>
              <w:t>7</w:t>
            </w:r>
            <w:r w:rsidR="000E362E">
              <w:rPr>
                <w:rFonts w:cs="Calibri"/>
              </w:rPr>
              <w:t>.</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27A47" w:rsidRPr="003F4DD7" w:rsidRDefault="003F4DD7" w:rsidP="003F4DD7">
            <w:pPr>
              <w:pStyle w:val="Prrafodelista"/>
              <w:numPr>
                <w:ilvl w:val="0"/>
                <w:numId w:val="26"/>
              </w:numPr>
              <w:tabs>
                <w:tab w:val="left" w:pos="1318"/>
              </w:tabs>
              <w:rPr>
                <w:b w:val="0"/>
                <w:lang w:val="es-ES"/>
              </w:rPr>
            </w:pPr>
            <w:r w:rsidRPr="003F4DD7">
              <w:rPr>
                <w:b w:val="0"/>
                <w:lang w:val="es-ES"/>
              </w:rPr>
              <w:t>No existen liberaciones  previas de este evento</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CF6065" w:rsidRPr="003F4DD7" w:rsidRDefault="00CF6065" w:rsidP="003F4DD7">
            <w:pPr>
              <w:pStyle w:val="Prrafodelista"/>
              <w:numPr>
                <w:ilvl w:val="0"/>
                <w:numId w:val="25"/>
              </w:numPr>
              <w:tabs>
                <w:tab w:val="left" w:pos="1318"/>
              </w:tabs>
              <w:spacing w:line="276" w:lineRule="auto"/>
              <w:jc w:val="both"/>
              <w:rPr>
                <w:b w:val="0"/>
                <w:lang w:val="es-ES"/>
              </w:rPr>
            </w:pPr>
            <w:r w:rsidRPr="003F4DD7">
              <w:rPr>
                <w:b w:val="0"/>
                <w:lang w:val="es-ES"/>
              </w:rPr>
              <w:t>Evaluar la equivalencia agronómica y fenotípica de la tecnología GlyTol® TwinLink™ Plus en</w:t>
            </w:r>
            <w:r w:rsidR="00972453" w:rsidRPr="003F4DD7">
              <w:rPr>
                <w:b w:val="0"/>
                <w:lang w:val="es-ES"/>
              </w:rPr>
              <w:t xml:space="preserve"> </w:t>
            </w:r>
            <w:r w:rsidRPr="003F4DD7">
              <w:rPr>
                <w:b w:val="0"/>
                <w:lang w:val="es-ES"/>
              </w:rPr>
              <w:t>relación con el algodón convencional.</w:t>
            </w:r>
          </w:p>
          <w:p w:rsidR="00972453" w:rsidRPr="003F4DD7" w:rsidRDefault="00CF6065" w:rsidP="003F4DD7">
            <w:pPr>
              <w:pStyle w:val="Prrafodelista"/>
              <w:numPr>
                <w:ilvl w:val="0"/>
                <w:numId w:val="25"/>
              </w:numPr>
              <w:tabs>
                <w:tab w:val="left" w:pos="1318"/>
              </w:tabs>
              <w:spacing w:line="276" w:lineRule="auto"/>
              <w:jc w:val="both"/>
              <w:rPr>
                <w:b w:val="0"/>
                <w:lang w:val="es-ES"/>
              </w:rPr>
            </w:pPr>
            <w:r w:rsidRPr="003F4DD7">
              <w:rPr>
                <w:b w:val="0"/>
                <w:lang w:val="es-ES"/>
              </w:rPr>
              <w:t>Evaluar la efectividad biológica de las tecnologías GlyTol® TwinLink™ Plus para tolerar</w:t>
            </w:r>
            <w:r w:rsidR="00972453" w:rsidRPr="003F4DD7">
              <w:rPr>
                <w:b w:val="0"/>
                <w:lang w:val="es-ES"/>
              </w:rPr>
              <w:t xml:space="preserve"> </w:t>
            </w:r>
            <w:r w:rsidRPr="003F4DD7">
              <w:rPr>
                <w:b w:val="0"/>
                <w:lang w:val="es-ES"/>
              </w:rPr>
              <w:t>aplicaciones totales de los herbicidas glifosato y glufosinato de amonio, así como el control de</w:t>
            </w:r>
            <w:r w:rsidR="00972453" w:rsidRPr="003F4DD7">
              <w:rPr>
                <w:b w:val="0"/>
                <w:lang w:val="es-ES"/>
              </w:rPr>
              <w:t xml:space="preserve"> </w:t>
            </w:r>
            <w:r w:rsidRPr="003F4DD7">
              <w:rPr>
                <w:b w:val="0"/>
                <w:lang w:val="es-ES"/>
              </w:rPr>
              <w:t>maleza y fitotóxidad al cultivo del algodón.</w:t>
            </w:r>
          </w:p>
          <w:p w:rsidR="00CF6065" w:rsidRPr="003F4DD7" w:rsidRDefault="00CF6065" w:rsidP="003F4DD7">
            <w:pPr>
              <w:pStyle w:val="Prrafodelista"/>
              <w:numPr>
                <w:ilvl w:val="0"/>
                <w:numId w:val="25"/>
              </w:numPr>
              <w:tabs>
                <w:tab w:val="left" w:pos="1318"/>
              </w:tabs>
              <w:spacing w:line="276" w:lineRule="auto"/>
              <w:jc w:val="both"/>
              <w:rPr>
                <w:b w:val="0"/>
                <w:lang w:val="es-ES"/>
              </w:rPr>
            </w:pPr>
            <w:r w:rsidRPr="003F4DD7">
              <w:rPr>
                <w:b w:val="0"/>
                <w:lang w:val="es-ES"/>
              </w:rPr>
              <w:t>Evaluar la dinámica poblacional de maleza en el sitio de liberación (abundancia, frecuencia y</w:t>
            </w:r>
            <w:r w:rsidR="00972453" w:rsidRPr="003F4DD7">
              <w:rPr>
                <w:b w:val="0"/>
                <w:lang w:val="es-ES"/>
              </w:rPr>
              <w:t xml:space="preserve"> </w:t>
            </w:r>
            <w:r w:rsidRPr="003F4DD7">
              <w:rPr>
                <w:b w:val="0"/>
                <w:lang w:val="es-ES"/>
              </w:rPr>
              <w:t>diversidad y descripción de especies).</w:t>
            </w:r>
          </w:p>
          <w:p w:rsidR="00CF6065" w:rsidRPr="003F4DD7" w:rsidRDefault="00CF6065" w:rsidP="003F4DD7">
            <w:pPr>
              <w:pStyle w:val="Prrafodelista"/>
              <w:numPr>
                <w:ilvl w:val="0"/>
                <w:numId w:val="25"/>
              </w:numPr>
              <w:tabs>
                <w:tab w:val="left" w:pos="1318"/>
              </w:tabs>
              <w:spacing w:line="276" w:lineRule="auto"/>
              <w:jc w:val="both"/>
              <w:rPr>
                <w:b w:val="0"/>
                <w:lang w:val="es-ES"/>
              </w:rPr>
            </w:pPr>
            <w:r w:rsidRPr="003F4DD7">
              <w:rPr>
                <w:b w:val="0"/>
                <w:lang w:val="es-ES"/>
              </w:rPr>
              <w:t>Evaluar la presencia y comportamiento de insectos plagas sobre el algodón GlyTol® TwinLink™Plus con relación al algodón convencional.</w:t>
            </w:r>
          </w:p>
          <w:p w:rsidR="00362E2B" w:rsidRPr="00972453" w:rsidRDefault="00CF6065" w:rsidP="003F4DD7">
            <w:pPr>
              <w:pStyle w:val="Prrafodelista"/>
              <w:numPr>
                <w:ilvl w:val="0"/>
                <w:numId w:val="25"/>
              </w:numPr>
              <w:tabs>
                <w:tab w:val="left" w:pos="1318"/>
              </w:tabs>
              <w:spacing w:line="276" w:lineRule="auto"/>
              <w:jc w:val="both"/>
              <w:rPr>
                <w:lang w:val="es-ES"/>
              </w:rPr>
            </w:pPr>
            <w:r w:rsidRPr="003F4DD7">
              <w:rPr>
                <w:b w:val="0"/>
                <w:lang w:val="es-ES"/>
              </w:rPr>
              <w:t>Generar información sobre la presencia y abundancia de especies o grupos de los artrópodos</w:t>
            </w:r>
            <w:r w:rsidR="00972453" w:rsidRPr="003F4DD7">
              <w:rPr>
                <w:b w:val="0"/>
                <w:lang w:val="es-ES"/>
              </w:rPr>
              <w:t xml:space="preserve"> </w:t>
            </w:r>
            <w:r w:rsidRPr="003F4DD7">
              <w:rPr>
                <w:b w:val="0"/>
                <w:lang w:val="es-ES"/>
              </w:rPr>
              <w:t>no blanco asociados al algodón biotecnológico y convencional.</w:t>
            </w:r>
          </w:p>
        </w:tc>
      </w:tr>
    </w:tbl>
    <w:p w:rsidR="00F91B20" w:rsidRDefault="00F91B20" w:rsidP="001B7EF2"/>
    <w:p w:rsidR="003F4DD7" w:rsidRDefault="003F4DD7"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lastRenderedPageBreak/>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F51091" w:rsidRPr="00C81BBD" w:rsidRDefault="00F51091" w:rsidP="00F51091">
            <w:pPr>
              <w:jc w:val="center"/>
              <w:cnfStyle w:val="000000100000" w:firstRow="0" w:lastRow="0" w:firstColumn="0" w:lastColumn="0" w:oddVBand="0" w:evenVBand="0" w:oddHBand="1" w:evenHBand="0" w:firstRowFirstColumn="0" w:firstRowLastColumn="0" w:lastRowFirstColumn="0" w:lastRowLastColumn="0"/>
              <w:rPr>
                <w:bCs/>
                <w:i/>
                <w:color w:val="000000" w:themeColor="text1"/>
                <w:lang w:val="en-US"/>
              </w:rPr>
            </w:pPr>
            <w:r w:rsidRPr="00C81BBD">
              <w:rPr>
                <w:bCs/>
                <w:i/>
                <w:color w:val="000000" w:themeColor="text1"/>
                <w:lang w:val="en-US"/>
              </w:rPr>
              <w:t xml:space="preserve">Zea mays, </w:t>
            </w:r>
            <w:r w:rsidR="00970365" w:rsidRPr="00C81BBD">
              <w:rPr>
                <w:bCs/>
                <w:i/>
                <w:color w:val="000000" w:themeColor="text1"/>
                <w:lang w:val="en-US"/>
              </w:rPr>
              <w:t xml:space="preserve">Bacillus thuringiensis </w:t>
            </w:r>
            <w:r w:rsidR="00970365" w:rsidRPr="00C81BBD">
              <w:rPr>
                <w:bCs/>
                <w:color w:val="000000" w:themeColor="text1"/>
                <w:lang w:val="en-US"/>
              </w:rPr>
              <w:t>subsp.</w:t>
            </w:r>
            <w:r w:rsidR="00970365" w:rsidRPr="00C81BBD">
              <w:rPr>
                <w:bCs/>
                <w:i/>
                <w:color w:val="000000" w:themeColor="text1"/>
                <w:lang w:val="en-US"/>
              </w:rPr>
              <w:t xml:space="preserve"> </w:t>
            </w:r>
            <w:r w:rsidRPr="00C81BBD">
              <w:rPr>
                <w:bCs/>
                <w:color w:val="000000" w:themeColor="text1"/>
                <w:lang w:val="en-US"/>
              </w:rPr>
              <w:t xml:space="preserve">Kurstaki, </w:t>
            </w:r>
            <w:r w:rsidRPr="00C81BBD">
              <w:rPr>
                <w:bCs/>
                <w:i/>
                <w:color w:val="000000" w:themeColor="text1"/>
                <w:lang w:val="en-US"/>
              </w:rPr>
              <w:t>Streptomyces</w:t>
            </w:r>
          </w:p>
          <w:p w:rsidR="000C6122" w:rsidRPr="00C81BBD" w:rsidRDefault="000C6122" w:rsidP="00F51091">
            <w:pPr>
              <w:jc w:val="center"/>
              <w:cnfStyle w:val="000000100000" w:firstRow="0" w:lastRow="0" w:firstColumn="0" w:lastColumn="0" w:oddVBand="0" w:evenVBand="0" w:oddHBand="1" w:evenHBand="0" w:firstRowFirstColumn="0" w:firstRowLastColumn="0" w:lastRowFirstColumn="0" w:lastRowLastColumn="0"/>
              <w:rPr>
                <w:bCs/>
                <w:i/>
                <w:color w:val="000000" w:themeColor="text1"/>
                <w:lang w:val="en-US"/>
              </w:rPr>
            </w:pPr>
            <w:r w:rsidRPr="00C81BBD">
              <w:rPr>
                <w:bCs/>
                <w:i/>
                <w:color w:val="000000" w:themeColor="text1"/>
                <w:lang w:val="en-US"/>
              </w:rPr>
              <w:t>H</w:t>
            </w:r>
            <w:r w:rsidR="00F51091" w:rsidRPr="00C81BBD">
              <w:rPr>
                <w:bCs/>
                <w:i/>
                <w:color w:val="000000" w:themeColor="text1"/>
                <w:lang w:val="en-US"/>
              </w:rPr>
              <w:t>ygroscopicus</w:t>
            </w:r>
            <w:r w:rsidRPr="00C81BBD">
              <w:rPr>
                <w:bCs/>
                <w:i/>
                <w:color w:val="000000" w:themeColor="text1"/>
                <w:lang w:val="en-US"/>
              </w:rPr>
              <w:t xml:space="preserve">, Bacillus thuringiensis </w:t>
            </w:r>
            <w:r w:rsidRPr="00C81BBD">
              <w:rPr>
                <w:bCs/>
                <w:color w:val="000000" w:themeColor="text1"/>
                <w:lang w:val="en-US"/>
              </w:rPr>
              <w:t xml:space="preserve">subsp. </w:t>
            </w:r>
            <w:proofErr w:type="spellStart"/>
            <w:r w:rsidRPr="00C81BBD">
              <w:rPr>
                <w:bCs/>
                <w:color w:val="000000" w:themeColor="text1"/>
                <w:lang w:val="en-US"/>
              </w:rPr>
              <w:t>dakota</w:t>
            </w:r>
            <w:proofErr w:type="spellEnd"/>
            <w:r w:rsidRPr="00C81BBD">
              <w:rPr>
                <w:bCs/>
                <w:color w:val="000000" w:themeColor="text1"/>
                <w:lang w:val="en-US"/>
              </w:rPr>
              <w:t xml:space="preserve">, </w:t>
            </w:r>
          </w:p>
          <w:p w:rsidR="000C6122" w:rsidRPr="00C81BBD" w:rsidRDefault="000C6122" w:rsidP="000C612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C81BBD">
              <w:rPr>
                <w:rFonts w:asciiTheme="minorHAnsi" w:hAnsiTheme="minorHAnsi"/>
                <w:i/>
                <w:iCs/>
                <w:sz w:val="22"/>
                <w:szCs w:val="22"/>
                <w:lang w:val="en-US"/>
              </w:rPr>
              <w:t xml:space="preserve">Bacillus thuringiensis </w:t>
            </w:r>
            <w:proofErr w:type="spellStart"/>
            <w:r w:rsidRPr="00C81BBD">
              <w:rPr>
                <w:rFonts w:asciiTheme="minorHAnsi" w:hAnsiTheme="minorHAnsi"/>
                <w:sz w:val="22"/>
                <w:szCs w:val="22"/>
                <w:lang w:val="en-US"/>
              </w:rPr>
              <w:t>cepa</w:t>
            </w:r>
            <w:proofErr w:type="spellEnd"/>
            <w:r w:rsidRPr="00C81BBD">
              <w:rPr>
                <w:rFonts w:asciiTheme="minorHAnsi" w:hAnsiTheme="minorHAnsi"/>
                <w:sz w:val="22"/>
                <w:szCs w:val="22"/>
                <w:lang w:val="en-US"/>
              </w:rPr>
              <w:t xml:space="preserve"> AB88, </w:t>
            </w:r>
          </w:p>
          <w:p w:rsidR="00543515" w:rsidRPr="00C81BBD" w:rsidRDefault="000C6122" w:rsidP="000C6122">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i/>
                <w:color w:val="000000" w:themeColor="text1"/>
                <w:sz w:val="22"/>
                <w:szCs w:val="22"/>
                <w:lang w:val="en-US"/>
              </w:rPr>
            </w:pPr>
            <w:r w:rsidRPr="00C81BBD">
              <w:rPr>
                <w:rFonts w:asciiTheme="minorHAnsi" w:hAnsiTheme="minorHAnsi"/>
                <w:i/>
                <w:iCs/>
                <w:sz w:val="22"/>
                <w:szCs w:val="22"/>
                <w:lang w:val="en-US"/>
              </w:rPr>
              <w:t>Escherichia coli.</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F661B7"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cs="Calibri"/>
                <w:i/>
              </w:rPr>
              <w:t xml:space="preserve">Gossypium hirsutum </w:t>
            </w:r>
            <w:r w:rsidRPr="00A720A0">
              <w:rPr>
                <w:rFonts w:cs="Calibri"/>
              </w:rPr>
              <w:t>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0" w:name="Casilla67"/>
            <w:r w:rsidR="00BC282F" w:rsidRPr="00E273DD">
              <w:rPr>
                <w:color w:val="000000" w:themeColor="text1"/>
              </w:rPr>
              <w:instrText xml:space="preserve"> FORMCHECKBOX </w:instrText>
            </w:r>
            <w:r w:rsidR="00CB68B1">
              <w:rPr>
                <w:color w:val="000000" w:themeColor="text1"/>
                <w:lang w:val="en-US"/>
              </w:rPr>
            </w:r>
            <w:r w:rsidR="00CB68B1">
              <w:rPr>
                <w:color w:val="000000" w:themeColor="text1"/>
                <w:lang w:val="en-US"/>
              </w:rPr>
              <w:fldChar w:fldCharType="separate"/>
            </w:r>
            <w:r w:rsidRPr="00E273DD">
              <w:rPr>
                <w:color w:val="000000" w:themeColor="text1"/>
                <w:lang w:val="en-US"/>
              </w:rPr>
              <w:fldChar w:fldCharType="end"/>
            </w:r>
            <w:bookmarkEnd w:id="0"/>
            <w:r w:rsidR="00BC282F" w:rsidRPr="00E273DD">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1"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CB68B1">
              <w:rPr>
                <w:color w:val="000000" w:themeColor="text1"/>
                <w:lang w:val="en-US"/>
              </w:rPr>
            </w:r>
            <w:r w:rsidR="00CB68B1">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929" w:rsidRPr="00F661B7" w:rsidRDefault="00C81BBD" w:rsidP="00C81BBD">
            <w:pPr>
              <w:tabs>
                <w:tab w:val="left" w:pos="1087"/>
              </w:tabs>
              <w:spacing w:line="276" w:lineRule="auto"/>
              <w:jc w:val="both"/>
              <w:cnfStyle w:val="000000000000" w:firstRow="0" w:lastRow="0" w:firstColumn="0" w:lastColumn="0" w:oddVBand="0" w:evenVBand="0" w:oddHBand="0" w:evenHBand="0" w:firstRowFirstColumn="0" w:firstRowLastColumn="0" w:lastRowFirstColumn="0" w:lastRowLastColumn="0"/>
            </w:pPr>
            <w:r>
              <w:t xml:space="preserve">La caracterización extensiva de </w:t>
            </w:r>
            <w:r w:rsidR="00972453" w:rsidRPr="00972453">
              <w:t>GHB614 x</w:t>
            </w:r>
            <w:r>
              <w:t xml:space="preserve"> T304-40 x GHB119 x COT102 (la cual, en parte, incluye datos moleculares, de expresión  de proteína y los datos</w:t>
            </w:r>
            <w:r w:rsidR="00972453" w:rsidRPr="00972453">
              <w:t xml:space="preserve"> agronómico-fenotípicos) demostró que la única diferencia significativa entre GHB614 x T304-40 x GHB119 x COT102 y el algodón convencional son los rasgos de resistencia a insectos lepidópteros y tolerancia a los herbicidas glufosinato de amonio y glifosato, conferido por las proteínas Cry1Ab, Cry2Ae, Vip3Aa19, 2mEPSPS y PAT/bar.</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372F2B" w:rsidRDefault="00C81BBD" w:rsidP="00C81BB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cs="Helvetica"/>
                <w:lang w:val="es-ES"/>
              </w:rPr>
            </w:pPr>
            <w:r>
              <w:rPr>
                <w:rFonts w:cs="Helvetica"/>
                <w:lang w:val="es-ES"/>
              </w:rPr>
              <w:t>A diferencia de otros</w:t>
            </w:r>
            <w:r w:rsidR="00972453" w:rsidRPr="00972453">
              <w:rPr>
                <w:rFonts w:cs="Helvetica"/>
                <w:lang w:val="es-ES"/>
              </w:rPr>
              <w:t xml:space="preserve"> </w:t>
            </w:r>
            <w:r>
              <w:rPr>
                <w:rFonts w:cs="Helvetica"/>
                <w:lang w:val="es-ES"/>
              </w:rPr>
              <w:t>cultivos,</w:t>
            </w:r>
            <w:r w:rsidR="00972453" w:rsidRPr="00972453">
              <w:rPr>
                <w:rFonts w:cs="Helvetica"/>
                <w:lang w:val="es-ES"/>
              </w:rPr>
              <w:t xml:space="preserve"> existe tres formas diferentes de semilla de algodón: la semilla negra (deshilada mediante ácido) al momento de la plantación, la semilla velluda (desmotada) y la semilla de algodón (sin procesar) después del cultivo. Las semillas de algodón han mejorado la germinación mediante</w:t>
            </w:r>
            <w:r>
              <w:rPr>
                <w:rFonts w:cs="Helvetica"/>
                <w:lang w:val="es-ES"/>
              </w:rPr>
              <w:t xml:space="preserve"> el desmote y aún más mediante el deshilado posterior</w:t>
            </w:r>
            <w:r w:rsidR="00972453" w:rsidRPr="00972453">
              <w:rPr>
                <w:rFonts w:cs="Helvetica"/>
                <w:lang w:val="es-ES"/>
              </w:rPr>
              <w:t xml:space="preserve"> mediante </w:t>
            </w:r>
            <w:r>
              <w:rPr>
                <w:rFonts w:cs="Helvetica"/>
                <w:lang w:val="es-ES"/>
              </w:rPr>
              <w:t>ácido, se ha demostrado también que la germinación,</w:t>
            </w:r>
            <w:r w:rsidR="00972453" w:rsidRPr="00972453">
              <w:rPr>
                <w:rFonts w:cs="Helvetica"/>
                <w:lang w:val="es-ES"/>
              </w:rPr>
              <w:t xml:space="preserve"> el establecimiento y la supervivencia del algodón son más altos para la semilla negra, intermedio para la semilla velluda y más bajo para la semilla de algodón. Sin</w:t>
            </w:r>
            <w:r>
              <w:rPr>
                <w:rFonts w:cs="Helvetica"/>
                <w:lang w:val="es-ES"/>
              </w:rPr>
              <w:t xml:space="preserve"> embargo, es improbable que los medios de dispersión  o distancia de dispersión varíen entre el algodón derivado</w:t>
            </w:r>
            <w:r w:rsidR="00972453" w:rsidRPr="00972453">
              <w:rPr>
                <w:rFonts w:cs="Helvetica"/>
                <w:lang w:val="es-ES"/>
              </w:rPr>
              <w:t xml:space="preserve"> de biotecnología y el algodón convencional. Aunque las semillas que se pierden inicialmente en el medio ambiente por transporte natural o h</w:t>
            </w:r>
            <w:r>
              <w:rPr>
                <w:rFonts w:cs="Helvetica"/>
                <w:lang w:val="es-ES"/>
              </w:rPr>
              <w:t>umano pueden ser de cualquiera de las tres formas (semilla  negra, velluda o semillas de algodón), cualquier</w:t>
            </w:r>
            <w:r w:rsidR="00972453" w:rsidRPr="00972453">
              <w:rPr>
                <w:rFonts w:cs="Helvetica"/>
                <w:lang w:val="es-ES"/>
              </w:rPr>
              <w:t xml:space="preserve"> producción posterior de semillas de las plantas que sobreviven serí</w:t>
            </w:r>
            <w:r>
              <w:rPr>
                <w:rFonts w:cs="Helvetica"/>
                <w:lang w:val="es-ES"/>
              </w:rPr>
              <w:t>a de semilla de algodón. Se ha demostrado que el algodón de semilla ha reducido una germinación exitosa, porque los cotiledones son obstruidos por las fibras circundantes, lo</w:t>
            </w:r>
            <w:r w:rsidR="00972453" w:rsidRPr="00972453">
              <w:rPr>
                <w:rFonts w:cs="Helvetica"/>
                <w:lang w:val="es-ES"/>
              </w:rPr>
              <w:t xml:space="preserve"> cual limitaría el establecimiento del algodón cultivado fuera del cultivo. En las variedades modernas de algodón cultivado se ha limitado la </w:t>
            </w:r>
            <w:proofErr w:type="spellStart"/>
            <w:r w:rsidR="00972453" w:rsidRPr="00972453">
              <w:rPr>
                <w:rFonts w:cs="Helvetica"/>
                <w:lang w:val="es-ES"/>
              </w:rPr>
              <w:t>dormancia</w:t>
            </w:r>
            <w:proofErr w:type="spellEnd"/>
            <w:r w:rsidR="00972453" w:rsidRPr="00972453">
              <w:rPr>
                <w:rFonts w:cs="Helvetica"/>
                <w:lang w:val="es-ES"/>
              </w:rPr>
              <w:t xml:space="preserve"> de la semilla, porque esta característica es indeseable para la producción del cultivo. Las semillas del algodón pueden dispersarse en entornos naturales a través del agua y las aves. Las actividades humanas que pueden llevar a la dispersión</w:t>
            </w:r>
            <w:r>
              <w:rPr>
                <w:rFonts w:cs="Helvetica"/>
                <w:lang w:val="es-ES"/>
              </w:rPr>
              <w:t xml:space="preserve"> de semilla incluyen el derrame al momento de la siembra, el transporte de</w:t>
            </w:r>
            <w:r w:rsidR="00972453" w:rsidRPr="00972453">
              <w:rPr>
                <w:rFonts w:cs="Helvetica"/>
                <w:lang w:val="es-ES"/>
              </w:rPr>
              <w:t xml:space="preserve"> </w:t>
            </w:r>
            <w:r>
              <w:rPr>
                <w:rFonts w:cs="Helvetica"/>
                <w:lang w:val="es-ES"/>
              </w:rPr>
              <w:lastRenderedPageBreak/>
              <w:t>semillas,</w:t>
            </w:r>
            <w:r w:rsidR="00972453" w:rsidRPr="00972453">
              <w:rPr>
                <w:rFonts w:cs="Helvetica"/>
                <w:lang w:val="es-ES"/>
              </w:rPr>
              <w:t xml:space="preserve"> así </w:t>
            </w:r>
            <w:r>
              <w:rPr>
                <w:rFonts w:cs="Helvetica"/>
                <w:lang w:val="es-ES"/>
              </w:rPr>
              <w:t>como la alimentación del ganado con subproductos de semilla de</w:t>
            </w:r>
            <w:r w:rsidR="00972453" w:rsidRPr="00972453">
              <w:rPr>
                <w:rFonts w:cs="Helvetica"/>
                <w:lang w:val="es-ES"/>
              </w:rPr>
              <w:t xml:space="preserve"> algodón o condiciones adversas del tiempo y raramente a través de los animales.</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lastRenderedPageBreak/>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F1B" w:rsidRPr="00264E67" w:rsidRDefault="00972453" w:rsidP="00C81BBD">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rsidRPr="00972453">
              <w:rPr>
                <w:lang w:val="es-ES"/>
              </w:rPr>
              <w:t>Con respecto a los rasgos genéticos int</w:t>
            </w:r>
            <w:r w:rsidR="00C81BBD">
              <w:rPr>
                <w:lang w:val="es-ES"/>
              </w:rPr>
              <w:t xml:space="preserve">roducidos al algodón cultivado </w:t>
            </w:r>
            <w:r w:rsidRPr="001772EF">
              <w:rPr>
                <w:i/>
                <w:lang w:val="es-ES"/>
              </w:rPr>
              <w:t>G. hirsutum,</w:t>
            </w:r>
            <w:r w:rsidRPr="00972453">
              <w:rPr>
                <w:lang w:val="es-ES"/>
              </w:rPr>
              <w:t xml:space="preserve"> ni la resistencia a insectos por las proteínas Cry1Ac o Cry2Ab, ni la tolerancia a glifosato por la CP4 EPSPS confieren ninguna ventaja competitiva en ambi</w:t>
            </w:r>
            <w:r w:rsidR="00C81BBD">
              <w:rPr>
                <w:lang w:val="es-ES"/>
              </w:rPr>
              <w:t xml:space="preserve">entes no agrícolas. Un híbrido </w:t>
            </w:r>
            <w:proofErr w:type="spellStart"/>
            <w:r w:rsidRPr="00972453">
              <w:rPr>
                <w:lang w:val="es-ES"/>
              </w:rPr>
              <w:t>interespecífico</w:t>
            </w:r>
            <w:proofErr w:type="spellEnd"/>
            <w:r w:rsidRPr="00972453">
              <w:rPr>
                <w:lang w:val="es-ES"/>
              </w:rPr>
              <w:t xml:space="preserve"> conteniendo uno o más de estos rasgos no tendría ventaja</w:t>
            </w:r>
            <w:r w:rsidR="001772EF">
              <w:rPr>
                <w:lang w:val="es-ES"/>
              </w:rPr>
              <w:t xml:space="preserve">s en términos de </w:t>
            </w:r>
            <w:r w:rsidR="00C81BBD">
              <w:rPr>
                <w:lang w:val="es-ES"/>
              </w:rPr>
              <w:t>supervivencia comparado</w:t>
            </w:r>
            <w:r w:rsidRPr="00972453">
              <w:rPr>
                <w:lang w:val="es-ES"/>
              </w:rPr>
              <w:t xml:space="preserve"> con</w:t>
            </w:r>
            <w:r w:rsidR="00C81BBD">
              <w:rPr>
                <w:lang w:val="es-ES"/>
              </w:rPr>
              <w:t xml:space="preserve"> las</w:t>
            </w:r>
            <w:r w:rsidRPr="00972453">
              <w:rPr>
                <w:lang w:val="es-ES"/>
              </w:rPr>
              <w:t xml:space="preserve"> mismas</w:t>
            </w:r>
            <w:r w:rsidR="00C81BBD">
              <w:rPr>
                <w:lang w:val="es-ES"/>
              </w:rPr>
              <w:t xml:space="preserve"> plantas sin estos rasgos. Muchas </w:t>
            </w:r>
            <w:r w:rsidRPr="00972453">
              <w:rPr>
                <w:lang w:val="es-ES"/>
              </w:rPr>
              <w:t>características que permiten que una especie silvestre prospere en la naturaleza han sido eliminadas de las variedades comerciales, ya sea intencionalmente o no, para mejorar su desempeño como especie cultivada. Es poco probable que una es</w:t>
            </w:r>
            <w:r w:rsidR="00C81BBD">
              <w:rPr>
                <w:lang w:val="es-ES"/>
              </w:rPr>
              <w:t>pecie cultivada posea material genético capaz de aumentar las ventajas competitivas de un</w:t>
            </w:r>
            <w:r w:rsidRPr="00972453">
              <w:rPr>
                <w:lang w:val="es-ES"/>
              </w:rPr>
              <w:t xml:space="preserve"> híbrido </w:t>
            </w:r>
            <w:proofErr w:type="spellStart"/>
            <w:r w:rsidRPr="00972453">
              <w:rPr>
                <w:lang w:val="es-ES"/>
              </w:rPr>
              <w:t>interespecí</w:t>
            </w:r>
            <w:r w:rsidR="00C81BBD">
              <w:rPr>
                <w:lang w:val="es-ES"/>
              </w:rPr>
              <w:t>fico</w:t>
            </w:r>
            <w:proofErr w:type="spellEnd"/>
            <w:r w:rsidR="00C81BBD">
              <w:rPr>
                <w:lang w:val="es-ES"/>
              </w:rPr>
              <w:t xml:space="preserve"> en un hábitat natural. Por otro lado, el desarrollo de resistencia de malezas a herbicidas es un</w:t>
            </w:r>
            <w:r w:rsidRPr="00972453">
              <w:rPr>
                <w:lang w:val="es-ES"/>
              </w:rPr>
              <w:t xml:space="preserve"> proceso relacionado con el uso del herbicida, no un proceso relacionado </w:t>
            </w:r>
            <w:r w:rsidR="008144D6">
              <w:rPr>
                <w:lang w:val="es-ES"/>
              </w:rPr>
              <w:t xml:space="preserve">con el cultivo o la tecnología </w:t>
            </w:r>
            <w:r w:rsidRPr="00972453">
              <w:rPr>
                <w:lang w:val="es-ES"/>
              </w:rPr>
              <w:t>RF. El uso de un herbicida específico con un cultivo toler</w:t>
            </w:r>
            <w:r w:rsidR="008144D6">
              <w:rPr>
                <w:lang w:val="es-ES"/>
              </w:rPr>
              <w:t>ante no es diferente del uso de</w:t>
            </w:r>
            <w:r w:rsidRPr="00972453">
              <w:rPr>
                <w:lang w:val="es-ES"/>
              </w:rPr>
              <w:t xml:space="preserve"> u</w:t>
            </w:r>
            <w:r w:rsidR="008144D6">
              <w:rPr>
                <w:lang w:val="es-ES"/>
              </w:rPr>
              <w:t>n herbicida selectivo sobre un cultivo convencional</w:t>
            </w:r>
            <w:r w:rsidRPr="00972453">
              <w:rPr>
                <w:lang w:val="es-ES"/>
              </w:rPr>
              <w:t xml:space="preserve"> </w:t>
            </w:r>
            <w:r w:rsidR="008144D6">
              <w:rPr>
                <w:lang w:val="es-ES"/>
              </w:rPr>
              <w:t>desde el punto de vista de</w:t>
            </w:r>
            <w:r w:rsidRPr="00972453">
              <w:rPr>
                <w:lang w:val="es-ES"/>
              </w:rPr>
              <w:t xml:space="preserve"> la resistencia de las malezas. Mientras que la incidencia de la resistencia de las malezas está frecuentement</w:t>
            </w:r>
            <w:r w:rsidR="001772EF">
              <w:rPr>
                <w:lang w:val="es-ES"/>
              </w:rPr>
              <w:t xml:space="preserve">e  asociada  con  aplicaciones repetidas de un herbicida y su </w:t>
            </w:r>
            <w:proofErr w:type="spellStart"/>
            <w:r w:rsidR="001772EF">
              <w:rPr>
                <w:lang w:val="es-ES"/>
              </w:rPr>
              <w:t>residualidad</w:t>
            </w:r>
            <w:proofErr w:type="spellEnd"/>
            <w:r w:rsidR="001772EF">
              <w:rPr>
                <w:lang w:val="es-ES"/>
              </w:rPr>
              <w:t>,</w:t>
            </w:r>
            <w:r w:rsidRPr="00972453">
              <w:rPr>
                <w:lang w:val="es-ES"/>
              </w:rPr>
              <w:t xml:space="preserve"> su desarrollo depende mucho del modo de acción y la química especifica del herbicida en cuestión c</w:t>
            </w:r>
            <w:r w:rsidR="001772EF">
              <w:rPr>
                <w:lang w:val="es-ES"/>
              </w:rPr>
              <w:t>omo también de la capacidad de la maleza para inactivarlo o</w:t>
            </w:r>
            <w:r w:rsidRPr="00972453">
              <w:rPr>
                <w:lang w:val="es-ES"/>
              </w:rPr>
              <w:t xml:space="preserve"> metabolizarlo.  </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543515" w:rsidTr="00E273DD">
        <w:trPr>
          <w:trHeight w:val="1073"/>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B062B6" w:rsidRDefault="00373D7A" w:rsidP="00A626F3">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rPr>
                <w:lang w:val="es-ES"/>
              </w:rPr>
              <w:t xml:space="preserve">Todas las especies de </w:t>
            </w:r>
            <w:r w:rsidRPr="00373D7A">
              <w:rPr>
                <w:i/>
                <w:lang w:val="es-ES"/>
              </w:rPr>
              <w:t>Gossypium</w:t>
            </w:r>
            <w:r>
              <w:rPr>
                <w:lang w:val="es-ES"/>
              </w:rPr>
              <w:t xml:space="preserve"> </w:t>
            </w:r>
            <w:r w:rsidR="00AB5875">
              <w:rPr>
                <w:lang w:val="es-ES"/>
              </w:rPr>
              <w:t>presentan autopolinización</w:t>
            </w:r>
            <w:r>
              <w:rPr>
                <w:lang w:val="es-ES"/>
              </w:rPr>
              <w:t xml:space="preserve"> aunque pueden presentarse</w:t>
            </w:r>
            <w:r w:rsidR="00AB5875">
              <w:rPr>
                <w:lang w:val="es-ES"/>
              </w:rPr>
              <w:t xml:space="preserve"> ciertos cruzamientos </w:t>
            </w:r>
            <w:proofErr w:type="spellStart"/>
            <w:r w:rsidR="00AB5875">
              <w:rPr>
                <w:lang w:val="es-ES"/>
              </w:rPr>
              <w:t>intra</w:t>
            </w:r>
            <w:proofErr w:type="spellEnd"/>
            <w:r>
              <w:rPr>
                <w:lang w:val="es-ES"/>
              </w:rPr>
              <w:t xml:space="preserve"> específicos y posiblemente inter específicos </w:t>
            </w:r>
            <w:r w:rsidR="00AB5875">
              <w:rPr>
                <w:lang w:val="es-ES"/>
              </w:rPr>
              <w:t xml:space="preserve">mediados por insectos. El transporte del polen por el viento nunca se ha reportado lo cual es explicado por la textura y consistencia del polen producido en la antesis </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543515" w:rsidTr="002F78F5">
        <w:trPr>
          <w:trHeight w:val="273"/>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972453" w:rsidRDefault="003044D0" w:rsidP="00035347">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La ausencia de rasgos derivados de</w:t>
            </w:r>
            <w:r w:rsidR="00972453" w:rsidRPr="00972453">
              <w:rPr>
                <w:rFonts w:ascii="Calibri" w:eastAsia="Times New Roman" w:hAnsi="Calibri" w:cstheme="minorHAnsi"/>
                <w:sz w:val="22"/>
                <w:szCs w:val="22"/>
              </w:rPr>
              <w:t xml:space="preserve"> la biotecnología en</w:t>
            </w:r>
            <w:r>
              <w:rPr>
                <w:rFonts w:ascii="Calibri" w:eastAsia="Times New Roman" w:hAnsi="Calibri" w:cstheme="minorHAnsi"/>
                <w:sz w:val="22"/>
                <w:szCs w:val="22"/>
              </w:rPr>
              <w:t xml:space="preserve"> las poblaciones silvestres de </w:t>
            </w:r>
            <w:r w:rsidRPr="003044D0">
              <w:rPr>
                <w:rFonts w:ascii="Calibri" w:eastAsia="Times New Roman" w:hAnsi="Calibri" w:cstheme="minorHAnsi"/>
                <w:i/>
                <w:sz w:val="22"/>
                <w:szCs w:val="22"/>
              </w:rPr>
              <w:t>G. hirs</w:t>
            </w:r>
            <w:bookmarkStart w:id="2" w:name="_GoBack"/>
            <w:bookmarkEnd w:id="2"/>
            <w:r w:rsidRPr="003044D0">
              <w:rPr>
                <w:rFonts w:ascii="Calibri" w:eastAsia="Times New Roman" w:hAnsi="Calibri" w:cstheme="minorHAnsi"/>
                <w:i/>
                <w:sz w:val="22"/>
                <w:szCs w:val="22"/>
              </w:rPr>
              <w:t xml:space="preserve">utum </w:t>
            </w:r>
            <w:r w:rsidR="00972453" w:rsidRPr="00972453">
              <w:rPr>
                <w:rFonts w:ascii="Calibri" w:eastAsia="Times New Roman" w:hAnsi="Calibri" w:cstheme="minorHAnsi"/>
                <w:sz w:val="22"/>
                <w:szCs w:val="22"/>
              </w:rPr>
              <w:t>se debe probablemente a que éste se presenta en hábitats costeros, los que no se encuentran cerca de la producción de algodón y a que el algodón feral no comparte este nicho ecológico. Esta limitante geográ</w:t>
            </w:r>
            <w:r>
              <w:rPr>
                <w:rFonts w:ascii="Calibri" w:eastAsia="Times New Roman" w:hAnsi="Calibri" w:cstheme="minorHAnsi"/>
                <w:sz w:val="22"/>
                <w:szCs w:val="22"/>
              </w:rPr>
              <w:t xml:space="preserve">fica reduciría la probabilidad de que ocurra el flujo génico del algodón cultivado (convencional y </w:t>
            </w:r>
            <w:r w:rsidR="00972453" w:rsidRPr="00972453">
              <w:rPr>
                <w:rFonts w:ascii="Calibri" w:eastAsia="Times New Roman" w:hAnsi="Calibri" w:cstheme="minorHAnsi"/>
                <w:sz w:val="22"/>
                <w:szCs w:val="22"/>
              </w:rPr>
              <w:t>algodó</w:t>
            </w:r>
            <w:r>
              <w:rPr>
                <w:rFonts w:ascii="Calibri" w:eastAsia="Times New Roman" w:hAnsi="Calibri" w:cstheme="minorHAnsi"/>
                <w:sz w:val="22"/>
                <w:szCs w:val="22"/>
              </w:rPr>
              <w:t>n derivado de biotecnología) al algodón</w:t>
            </w:r>
            <w:r w:rsidR="00972453" w:rsidRPr="00972453">
              <w:rPr>
                <w:rFonts w:ascii="Calibri" w:eastAsia="Times New Roman" w:hAnsi="Calibri" w:cstheme="minorHAnsi"/>
                <w:sz w:val="22"/>
                <w:szCs w:val="22"/>
              </w:rPr>
              <w:t xml:space="preserve"> silvestre.</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lastRenderedPageBreak/>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C11DA0" w:rsidDel="00CA0E1A" w:rsidRDefault="00972453" w:rsidP="00754CE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lang w:val="es-ES"/>
              </w:rPr>
            </w:pPr>
            <w:r w:rsidRPr="00972453">
              <w:rPr>
                <w:lang w:val="es-ES"/>
              </w:rPr>
              <w:t xml:space="preserve">Las proteínas Cry1Ab y Cry2Ae, derivadas de la bacteria </w:t>
            </w:r>
            <w:r w:rsidRPr="002F78F5">
              <w:rPr>
                <w:i/>
                <w:lang w:val="es-ES"/>
              </w:rPr>
              <w:t>Bacillus thuringiensis</w:t>
            </w:r>
            <w:r w:rsidRPr="00972453">
              <w:rPr>
                <w:lang w:val="es-ES"/>
              </w:rPr>
              <w:t xml:space="preserve"> subsp. </w:t>
            </w:r>
            <w:proofErr w:type="spellStart"/>
            <w:r w:rsidRPr="00972453">
              <w:rPr>
                <w:lang w:val="es-ES"/>
              </w:rPr>
              <w:t>berliner</w:t>
            </w:r>
            <w:proofErr w:type="spellEnd"/>
            <w:r w:rsidRPr="00972453">
              <w:rPr>
                <w:lang w:val="es-ES"/>
              </w:rPr>
              <w:t xml:space="preserve"> (</w:t>
            </w:r>
            <w:proofErr w:type="spellStart"/>
            <w:r w:rsidRPr="00972453">
              <w:rPr>
                <w:lang w:val="es-ES"/>
              </w:rPr>
              <w:t>Bt</w:t>
            </w:r>
            <w:proofErr w:type="spellEnd"/>
            <w:r w:rsidRPr="00972453">
              <w:rPr>
                <w:lang w:val="es-ES"/>
              </w:rPr>
              <w:t xml:space="preserve">), la cual presenta un largo historial de uso seguro y de impacto en organismos blanco específicos, debido a que los mamíferos y otros insectos no blanco no pueden solubilizar los cristales de </w:t>
            </w:r>
            <w:proofErr w:type="spellStart"/>
            <w:r w:rsidRPr="00972453">
              <w:rPr>
                <w:lang w:val="es-ES"/>
              </w:rPr>
              <w:t>Bt</w:t>
            </w:r>
            <w:proofErr w:type="spellEnd"/>
            <w:r w:rsidRPr="00972453">
              <w:rPr>
                <w:lang w:val="es-ES"/>
              </w:rPr>
              <w:t xml:space="preserve">, estos pasan a través del sistema digestivo de los organismos no blanco en su forma inalterada y por lo tanto no tóxica. En cuanto a las proteínas Vip, producidas por </w:t>
            </w:r>
            <w:r w:rsidRPr="002F78F5">
              <w:rPr>
                <w:i/>
                <w:lang w:val="es-ES"/>
              </w:rPr>
              <w:t>Bacillus thuringensis</w:t>
            </w:r>
            <w:r w:rsidRPr="00972453">
              <w:rPr>
                <w:lang w:val="es-ES"/>
              </w:rPr>
              <w:t xml:space="preserve"> se encuentran en distintos </w:t>
            </w:r>
            <w:proofErr w:type="spellStart"/>
            <w:r w:rsidRPr="00972453">
              <w:rPr>
                <w:lang w:val="es-ES"/>
              </w:rPr>
              <w:t>bioinsecticidas</w:t>
            </w:r>
            <w:proofErr w:type="spellEnd"/>
            <w:r w:rsidRPr="00972453">
              <w:rPr>
                <w:lang w:val="es-ES"/>
              </w:rPr>
              <w:t xml:space="preserve"> comerciales formulados en base a esta bacteria, por lo tanto estas proteínas tienen también un historial de uso seguro. El mecanismo de acción de esta proteína también asegura la no toxicidad para otros organismos que no sean insectos. Esta proteína requiere unirse a un receptor específico para que actúe como toxina y éste se encuentra sólo en algunas especies de insectos lepidópteros.</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E3145A" w:rsidRDefault="00E3145A" w:rsidP="00E3145A">
      <w:pPr>
        <w:spacing w:after="0" w:line="240" w:lineRule="auto"/>
        <w:rPr>
          <w:rFonts w:eastAsia="Times New Roman" w:cstheme="minorHAnsi"/>
          <w:sz w:val="20"/>
          <w:szCs w:val="20"/>
          <w:lang w:val="es-ES"/>
        </w:rPr>
      </w:pPr>
    </w:p>
    <w:p w:rsidR="0017351B" w:rsidRDefault="0017351B" w:rsidP="00BF2462">
      <w:pPr>
        <w:spacing w:after="0" w:line="240" w:lineRule="auto"/>
        <w:jc w:val="right"/>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33684F" w:rsidRDefault="0033684F" w:rsidP="00266A15">
      <w:pPr>
        <w:spacing w:after="0" w:line="240" w:lineRule="auto"/>
        <w:jc w:val="right"/>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162474" w:rsidRPr="00C265F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162474" w:rsidRPr="00C265F8" w:rsidRDefault="00162474" w:rsidP="00667DA0">
            <w:pPr>
              <w:rPr>
                <w:rFonts w:eastAsia="Times New Roman" w:cstheme="minorHAnsi"/>
                <w:lang w:val="es-ES"/>
              </w:rPr>
            </w:pPr>
            <w:r w:rsidRPr="00C265F8">
              <w:rPr>
                <w:rFonts w:eastAsia="Times New Roman" w:cstheme="minorHAnsi"/>
                <w:lang w:val="es-ES"/>
              </w:rPr>
              <w:t>Preliberación</w:t>
            </w:r>
          </w:p>
        </w:tc>
      </w:tr>
      <w:tr w:rsidR="00972453"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972453" w:rsidRPr="00202B0F" w:rsidRDefault="00972453" w:rsidP="00972453">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69" w:type="dxa"/>
          </w:tcPr>
          <w:p w:rsidR="00972453" w:rsidRPr="004F18A6" w:rsidRDefault="00972453" w:rsidP="00F03CF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rPr>
              <w:t>Proporcionar</w:t>
            </w:r>
            <w:r>
              <w:rPr>
                <w:rFonts w:eastAsia="Times New Roman" w:cstheme="minorHAnsi"/>
              </w:rPr>
              <w:t xml:space="preserve"> capacitación a todo el personal involucrado en la liberación en temas de biotecnología vegetal, acciones en materia de bioseguridad, las implicaciones y responsabilidades legales que contrae la utilización de OGM.</w:t>
            </w:r>
          </w:p>
        </w:tc>
      </w:tr>
      <w:tr w:rsidR="00972453"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972453" w:rsidRPr="004F18A6" w:rsidRDefault="00D82521" w:rsidP="0097245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69" w:type="dxa"/>
          </w:tcPr>
          <w:p w:rsidR="00972453" w:rsidRPr="004F18A6" w:rsidRDefault="00D82521" w:rsidP="00972453">
            <w:pPr>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entregar a la SAGARPA el material de referencia del evento.</w:t>
            </w:r>
          </w:p>
        </w:tc>
      </w:tr>
      <w:tr w:rsidR="00972453"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972453" w:rsidRPr="004F18A6" w:rsidRDefault="00FD3065" w:rsidP="00972453">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69" w:type="dxa"/>
          </w:tcPr>
          <w:p w:rsidR="00972453" w:rsidRPr="004F18A6" w:rsidRDefault="00FD3065" w:rsidP="00FD306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Deberá asegurarse que los empaques y sacos que contienen semilla de algodón estén debidamente identificados con etiquetas, deben ser de un material resistente a rupturas</w:t>
            </w:r>
          </w:p>
        </w:tc>
      </w:tr>
      <w:tr w:rsidR="00972453"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972453" w:rsidRPr="0076772D" w:rsidRDefault="00972453" w:rsidP="00972453">
            <w:pPr>
              <w:rPr>
                <w:rFonts w:eastAsia="Times New Roman" w:cstheme="minorHAnsi"/>
                <w:lang w:val="es-ES"/>
              </w:rPr>
            </w:pPr>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CB68B1">
              <w:rPr>
                <w:rFonts w:cstheme="minorHAnsi"/>
                <w:lang w:val="es-ES"/>
              </w:rPr>
            </w:r>
            <w:r w:rsidR="00CB68B1">
              <w:rPr>
                <w:rFonts w:cstheme="minorHAnsi"/>
                <w:lang w:val="es-ES"/>
              </w:rPr>
              <w:fldChar w:fldCharType="separate"/>
            </w:r>
            <w:r w:rsidRPr="00202B0F">
              <w:rPr>
                <w:rFonts w:cstheme="minorHAnsi"/>
                <w:lang w:val="es-ES"/>
              </w:rPr>
              <w:fldChar w:fldCharType="end"/>
            </w:r>
          </w:p>
        </w:tc>
        <w:tc>
          <w:tcPr>
            <w:tcW w:w="8569" w:type="dxa"/>
          </w:tcPr>
          <w:p w:rsidR="00972453" w:rsidRPr="004F18A6" w:rsidRDefault="00972453" w:rsidP="00941B5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 xml:space="preserve">Entregar el listado de medidas preventivas en caso de movilización de semilla o material propagativo de algodón GM dentro del país, </w:t>
            </w:r>
            <w:r w:rsidR="00AB5875">
              <w:rPr>
                <w:rFonts w:eastAsia="Times New Roman" w:cstheme="minorHAnsi"/>
                <w:lang w:val="es-ES"/>
              </w:rPr>
              <w:t>así</w:t>
            </w:r>
            <w:r>
              <w:rPr>
                <w:rFonts w:eastAsia="Times New Roman" w:cstheme="minorHAnsi"/>
                <w:lang w:val="es-ES"/>
              </w:rPr>
              <w:t xml:space="preserve"> como un plan de acción en caso de existir alguna liberación accidental, incluyendo la justificación de las mismas.</w:t>
            </w:r>
          </w:p>
        </w:tc>
      </w:tr>
    </w:tbl>
    <w:p w:rsidR="00973AEF" w:rsidRDefault="00973AEF" w:rsidP="00973AEF">
      <w:pPr>
        <w:spacing w:after="0" w:line="240" w:lineRule="auto"/>
        <w:rPr>
          <w:rFonts w:eastAsia="Times New Roman" w:cstheme="minorHAnsi"/>
          <w:sz w:val="20"/>
          <w:szCs w:val="20"/>
        </w:rPr>
      </w:pPr>
    </w:p>
    <w:p w:rsidR="00162474" w:rsidRPr="00162474" w:rsidRDefault="00162474" w:rsidP="00973AEF">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162474" w:rsidRPr="002C740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162474" w:rsidRPr="002C7408" w:rsidRDefault="00162474" w:rsidP="00667DA0">
            <w:pPr>
              <w:rPr>
                <w:rFonts w:eastAsia="Times New Roman" w:cstheme="minorHAnsi"/>
                <w:lang w:val="es-ES"/>
              </w:rPr>
            </w:pPr>
            <w:r w:rsidRPr="002C7408">
              <w:rPr>
                <w:rFonts w:eastAsia="Times New Roman" w:cstheme="minorHAnsi"/>
                <w:lang w:val="es-ES"/>
              </w:rPr>
              <w:t>Liberación</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972453"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20" w:type="dxa"/>
          </w:tcPr>
          <w:p w:rsidR="00162474" w:rsidRPr="002C7408" w:rsidRDefault="00162474" w:rsidP="00B032FB">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Georreferencia y</w:t>
            </w:r>
            <w:r w:rsidR="00B032FB">
              <w:rPr>
                <w:rFonts w:eastAsia="Times New Roman" w:cstheme="minorHAnsi"/>
              </w:rPr>
              <w:t xml:space="preserve"> notificación de cada sitio de liberación, así como fecha de siembra, cantidad de semilla y croquis final de diseño experimental</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162474" w:rsidRDefault="00FD3065"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20" w:type="dxa"/>
          </w:tcPr>
          <w:p w:rsidR="00162474" w:rsidRPr="002C7408" w:rsidRDefault="00FD3065" w:rsidP="00941B5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Deberá implementar un plan de manejo para prevenir el desarrollo de resistencia de malezas a herbicidas.</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FD3065"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20" w:type="dxa"/>
          </w:tcPr>
          <w:p w:rsidR="00162474" w:rsidRPr="007E58A4" w:rsidRDefault="00FD3065" w:rsidP="00941B5B">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rPr>
            </w:pPr>
            <w:r>
              <w:rPr>
                <w:rFonts w:eastAsia="Times New Roman" w:cstheme="minorHAnsi"/>
              </w:rPr>
              <w:t>Asegurarse de que se lleve a cabo la implementación de prácticas de manejo agronómico de la región</w:t>
            </w:r>
          </w:p>
        </w:tc>
      </w:tr>
      <w:tr w:rsidR="00696DF0"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696DF0" w:rsidRPr="0076772D" w:rsidRDefault="00972453" w:rsidP="00667DA0">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20" w:type="dxa"/>
          </w:tcPr>
          <w:p w:rsidR="00696DF0" w:rsidRPr="004F18A6" w:rsidRDefault="00696DF0" w:rsidP="00941B5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CB68B1">
              <w:rPr>
                <w:rFonts w:cstheme="minorHAnsi"/>
                <w:lang w:val="es-ES"/>
              </w:rPr>
            </w:r>
            <w:r w:rsidR="00CB68B1">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941B5B">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lang w:val="es-ES"/>
              </w:rPr>
              <w:t>Entregar un</w:t>
            </w:r>
            <w:r w:rsidRPr="007E58A4">
              <w:rPr>
                <w:rFonts w:eastAsia="Times New Roman" w:cstheme="minorHAnsi"/>
                <w:lang w:val="es-ES"/>
              </w:rPr>
              <w:t xml:space="preserve"> informe de costo beneficio ambiental. </w:t>
            </w:r>
          </w:p>
        </w:tc>
      </w:tr>
      <w:tr w:rsidR="00162474" w:rsidRPr="002C7408" w:rsidTr="00667DA0">
        <w:tc>
          <w:tcPr>
            <w:cnfStyle w:val="001000000000" w:firstRow="0" w:lastRow="0" w:firstColumn="1" w:lastColumn="0" w:oddVBand="0" w:evenVBand="0" w:oddHBand="0" w:evenHBand="0" w:firstRowFirstColumn="0" w:firstRowLastColumn="0" w:lastRowFirstColumn="0" w:lastRowLastColumn="0"/>
            <w:tcW w:w="534" w:type="dxa"/>
          </w:tcPr>
          <w:p w:rsidR="00162474" w:rsidRDefault="00972453" w:rsidP="00B032FB">
            <w:pPr>
              <w:jc w:val="both"/>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20" w:type="dxa"/>
          </w:tcPr>
          <w:p w:rsidR="00162474" w:rsidRPr="007E58A4" w:rsidRDefault="00162474" w:rsidP="00B032F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F18A6">
              <w:rPr>
                <w:rFonts w:eastAsia="Times New Roman" w:cstheme="minorHAnsi"/>
              </w:rPr>
              <w:t xml:space="preserve">Sembrar a una distancia específica de cualquier convencional (100), pariente silvestre </w:t>
            </w:r>
            <w:r w:rsidRPr="004F18A6">
              <w:rPr>
                <w:rFonts w:eastAsia="Times New Roman" w:cstheme="minorHAnsi"/>
              </w:rPr>
              <w:lastRenderedPageBreak/>
              <w:t>(100m) o Áreas</w:t>
            </w:r>
            <w:r>
              <w:rPr>
                <w:rFonts w:eastAsia="Times New Roman" w:cstheme="minorHAnsi"/>
              </w:rPr>
              <w:t xml:space="preserve"> Naturales Protegidas (1Km), a una distancia no menor de 1km de distancia de los sitios RAMSAR. </w:t>
            </w:r>
          </w:p>
        </w:tc>
      </w:tr>
      <w:tr w:rsidR="00162474" w:rsidRPr="002C7408" w:rsidTr="00667DA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Pr>
          <w:p w:rsidR="00162474" w:rsidRDefault="00F46154" w:rsidP="00667DA0">
            <w:r w:rsidRPr="00202B0F">
              <w:rPr>
                <w:rFonts w:cstheme="minorHAnsi"/>
                <w:lang w:val="es-ES"/>
              </w:rPr>
              <w:lastRenderedPageBreak/>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CB68B1">
              <w:rPr>
                <w:rFonts w:cstheme="minorHAnsi"/>
                <w:lang w:val="es-ES"/>
              </w:rPr>
            </w:r>
            <w:r w:rsidR="00CB68B1">
              <w:rPr>
                <w:rFonts w:cstheme="minorHAnsi"/>
                <w:lang w:val="es-ES"/>
              </w:rPr>
              <w:fldChar w:fldCharType="separate"/>
            </w:r>
            <w:r w:rsidRPr="00202B0F">
              <w:rPr>
                <w:rFonts w:cstheme="minorHAnsi"/>
                <w:lang w:val="es-ES"/>
              </w:rPr>
              <w:fldChar w:fldCharType="end"/>
            </w:r>
          </w:p>
        </w:tc>
        <w:tc>
          <w:tcPr>
            <w:tcW w:w="8520" w:type="dxa"/>
          </w:tcPr>
          <w:p w:rsidR="00162474" w:rsidRPr="007E58A4" w:rsidRDefault="00162474" w:rsidP="00941B5B">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F18A6">
              <w:rPr>
                <w:rFonts w:eastAsia="Times New Roman" w:cstheme="minorHAnsi"/>
              </w:rPr>
              <w:t>Búsqueda e</w:t>
            </w:r>
            <w:r w:rsidRPr="007E58A4">
              <w:rPr>
                <w:rFonts w:eastAsia="Times New Roman" w:cstheme="minorHAnsi"/>
              </w:rPr>
              <w:t xml:space="preserve"> identificación de malezas en la zona de liberación.</w:t>
            </w:r>
          </w:p>
        </w:tc>
      </w:tr>
      <w:tr w:rsidR="00F21A56" w:rsidRPr="002C7408" w:rsidTr="00667DA0">
        <w:trPr>
          <w:trHeight w:val="190"/>
        </w:trPr>
        <w:tc>
          <w:tcPr>
            <w:cnfStyle w:val="001000000000" w:firstRow="0" w:lastRow="0" w:firstColumn="1" w:lastColumn="0" w:oddVBand="0" w:evenVBand="0" w:oddHBand="0" w:evenHBand="0" w:firstRowFirstColumn="0" w:firstRowLastColumn="0" w:lastRowFirstColumn="0" w:lastRowLastColumn="0"/>
            <w:tcW w:w="534" w:type="dxa"/>
          </w:tcPr>
          <w:p w:rsidR="00F21A56" w:rsidRPr="00202B0F" w:rsidRDefault="00F21A56" w:rsidP="00667DA0">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20" w:type="dxa"/>
          </w:tcPr>
          <w:p w:rsidR="00F21A56" w:rsidRDefault="00F21A56" w:rsidP="00B032F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D</w:t>
            </w:r>
            <w:r w:rsidRPr="00F21A56">
              <w:rPr>
                <w:rFonts w:eastAsia="Times New Roman" w:cstheme="minorHAnsi"/>
              </w:rPr>
              <w:t>estruir el material vegetal producto de la cosecha mediante métodos físicos, químicos, mecánicos o combinación de estas, dentro del predio de liberación</w:t>
            </w:r>
            <w:r>
              <w:rPr>
                <w:rFonts w:eastAsia="Times New Roman" w:cstheme="minorHAnsi"/>
              </w:rPr>
              <w:t xml:space="preserve"> y </w:t>
            </w:r>
            <w:r w:rsidR="00B032FB">
              <w:rPr>
                <w:rFonts w:eastAsia="Times New Roman" w:cstheme="minorHAnsi"/>
              </w:rPr>
              <w:t>e</w:t>
            </w:r>
            <w:r>
              <w:rPr>
                <w:rFonts w:eastAsia="Times New Roman" w:cstheme="minorHAnsi"/>
              </w:rPr>
              <w:t xml:space="preserve">videnciar fotográficamente la destrucción </w:t>
            </w:r>
            <w:r w:rsidRPr="00F21A56">
              <w:rPr>
                <w:rFonts w:eastAsia="Times New Roman" w:cstheme="minorHAnsi"/>
              </w:rPr>
              <w:t xml:space="preserve"> </w:t>
            </w:r>
            <w:r>
              <w:rPr>
                <w:rFonts w:eastAsia="Times New Roman" w:cstheme="minorHAnsi"/>
              </w:rPr>
              <w:t>de dicho material.</w:t>
            </w:r>
          </w:p>
        </w:tc>
      </w:tr>
    </w:tbl>
    <w:p w:rsidR="00C75679" w:rsidRDefault="00C75679" w:rsidP="00973AEF">
      <w:pPr>
        <w:spacing w:after="0" w:line="240" w:lineRule="auto"/>
        <w:rPr>
          <w:rFonts w:eastAsia="Times New Roman" w:cstheme="minorHAnsi"/>
          <w:sz w:val="20"/>
          <w:szCs w:val="20"/>
        </w:rPr>
      </w:pPr>
    </w:p>
    <w:p w:rsidR="00C75679" w:rsidRPr="00162474" w:rsidRDefault="00C75679" w:rsidP="00973AEF">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696DF0" w:rsidRPr="002C7408" w:rsidTr="00667D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Pr>
          <w:p w:rsidR="00696DF0" w:rsidRPr="002C7408" w:rsidRDefault="00696DF0" w:rsidP="00667DA0">
            <w:pPr>
              <w:rPr>
                <w:rFonts w:eastAsia="Times New Roman" w:cstheme="minorHAnsi"/>
                <w:lang w:val="es-ES"/>
              </w:rPr>
            </w:pPr>
            <w:proofErr w:type="spellStart"/>
            <w:r w:rsidRPr="002C7408">
              <w:rPr>
                <w:rFonts w:eastAsia="Times New Roman" w:cstheme="minorHAnsi"/>
                <w:lang w:val="es-ES"/>
              </w:rPr>
              <w:t>Pos</w:t>
            </w:r>
            <w:proofErr w:type="spellEnd"/>
            <w:r w:rsidRPr="002C7408">
              <w:rPr>
                <w:rFonts w:eastAsia="Times New Roman" w:cstheme="minorHAnsi"/>
                <w:lang w:val="es-ES"/>
              </w:rPr>
              <w:t xml:space="preserve"> liberación</w:t>
            </w:r>
          </w:p>
        </w:tc>
      </w:tr>
      <w:tr w:rsidR="00696DF0"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696DF0" w:rsidRDefault="00D82521" w:rsidP="00667DA0">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69" w:type="dxa"/>
          </w:tcPr>
          <w:p w:rsidR="00696DF0" w:rsidRPr="007E58A4" w:rsidRDefault="00B032FB" w:rsidP="00941B5B">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Establecer monitoreo de planta</w:t>
            </w:r>
            <w:r w:rsidR="00F376BE">
              <w:rPr>
                <w:rFonts w:eastAsia="Times New Roman" w:cstheme="minorHAnsi"/>
                <w:lang w:val="es-ES"/>
              </w:rPr>
              <w:t>s</w:t>
            </w:r>
            <w:r>
              <w:rPr>
                <w:rFonts w:eastAsia="Times New Roman" w:cstheme="minorHAnsi"/>
                <w:lang w:val="es-ES"/>
              </w:rPr>
              <w:t xml:space="preserve"> voluntarias durante un periodo de seis meses</w:t>
            </w:r>
            <w:r w:rsidR="00D82521">
              <w:rPr>
                <w:rFonts w:eastAsia="Times New Roman" w:cstheme="minorHAnsi"/>
                <w:lang w:val="es-ES"/>
              </w:rPr>
              <w:t xml:space="preserve"> en los sitios de liberación y en los predios vecinos y zonas aledañas a los sitios de liberación.</w:t>
            </w:r>
          </w:p>
        </w:tc>
      </w:tr>
      <w:tr w:rsidR="00E074C8"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E074C8" w:rsidRDefault="000B34DE" w:rsidP="00667DA0">
            <w:r w:rsidRPr="00202B0F">
              <w:rPr>
                <w:rFonts w:cstheme="minorHAnsi"/>
                <w:lang w:val="es-ES"/>
              </w:rPr>
              <w:fldChar w:fldCharType="begin">
                <w:ffData>
                  <w:name w:val="Casilla48"/>
                  <w:enabled/>
                  <w:calcOnExit w:val="0"/>
                  <w:checkBox>
                    <w:sizeAuto/>
                    <w:default w:val="0"/>
                  </w:checkBox>
                </w:ffData>
              </w:fldChar>
            </w:r>
            <w:r w:rsidRPr="00202B0F">
              <w:rPr>
                <w:rFonts w:cstheme="minorHAnsi"/>
                <w:b w:val="0"/>
                <w:lang w:val="es-ES"/>
              </w:rPr>
              <w:instrText xml:space="preserve"> FORMCHECKBOX </w:instrText>
            </w:r>
            <w:r w:rsidR="00CB68B1">
              <w:rPr>
                <w:rFonts w:cstheme="minorHAnsi"/>
                <w:lang w:val="es-ES"/>
              </w:rPr>
            </w:r>
            <w:r w:rsidR="00CB68B1">
              <w:rPr>
                <w:rFonts w:cstheme="minorHAnsi"/>
                <w:lang w:val="es-ES"/>
              </w:rPr>
              <w:fldChar w:fldCharType="separate"/>
            </w:r>
            <w:r w:rsidRPr="00202B0F">
              <w:rPr>
                <w:rFonts w:cstheme="minorHAnsi"/>
                <w:lang w:val="es-ES"/>
              </w:rPr>
              <w:fldChar w:fldCharType="end"/>
            </w:r>
          </w:p>
        </w:tc>
        <w:tc>
          <w:tcPr>
            <w:tcW w:w="8569" w:type="dxa"/>
          </w:tcPr>
          <w:p w:rsidR="00E074C8" w:rsidRPr="004F18A6" w:rsidRDefault="00E074C8" w:rsidP="00941B5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Entregar en original y copia, todas las notificaciones, avisos, reportes trimestrales y otros documentos generados, foliados y rubricados por el representa</w:t>
            </w:r>
            <w:r w:rsidR="008A0D20">
              <w:rPr>
                <w:rFonts w:eastAsia="Times New Roman" w:cstheme="minorHAnsi"/>
                <w:lang w:val="es-ES"/>
              </w:rPr>
              <w:t>n</w:t>
            </w:r>
            <w:r>
              <w:rPr>
                <w:rFonts w:eastAsia="Times New Roman" w:cstheme="minorHAnsi"/>
                <w:lang w:val="es-ES"/>
              </w:rPr>
              <w:t>te legal de la empresa.</w:t>
            </w:r>
          </w:p>
        </w:tc>
      </w:tr>
      <w:tr w:rsidR="00E074C8" w:rsidRPr="002C7408" w:rsidTr="00667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rsidR="00E074C8" w:rsidRPr="0076772D" w:rsidRDefault="00F376BE" w:rsidP="00667DA0">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69" w:type="dxa"/>
          </w:tcPr>
          <w:p w:rsidR="00E074C8" w:rsidRDefault="00E074C8" w:rsidP="00941B5B">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sidRPr="004F18A6">
              <w:rPr>
                <w:rFonts w:eastAsia="Times New Roman" w:cstheme="minorHAnsi"/>
                <w:lang w:val="es-ES"/>
              </w:rPr>
              <w:t>Entrega de</w:t>
            </w:r>
            <w:r w:rsidRPr="007E58A4">
              <w:rPr>
                <w:rFonts w:eastAsia="Times New Roman" w:cstheme="minorHAnsi"/>
                <w:lang w:val="es-ES"/>
              </w:rPr>
              <w:t xml:space="preserve"> reporte con los resultados de los protocolos de experimentación planteados.</w:t>
            </w:r>
          </w:p>
        </w:tc>
      </w:tr>
      <w:tr w:rsidR="00F21A56" w:rsidRPr="002C7408" w:rsidTr="00667DA0">
        <w:tc>
          <w:tcPr>
            <w:cnfStyle w:val="001000000000" w:firstRow="0" w:lastRow="0" w:firstColumn="1" w:lastColumn="0" w:oddVBand="0" w:evenVBand="0" w:oddHBand="0" w:evenHBand="0" w:firstRowFirstColumn="0" w:firstRowLastColumn="0" w:lastRowFirstColumn="0" w:lastRowLastColumn="0"/>
            <w:tcW w:w="485" w:type="dxa"/>
          </w:tcPr>
          <w:p w:rsidR="00F21A56" w:rsidRPr="00202B0F" w:rsidRDefault="00F21A56" w:rsidP="00667DA0">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p>
        </w:tc>
        <w:tc>
          <w:tcPr>
            <w:tcW w:w="8569" w:type="dxa"/>
          </w:tcPr>
          <w:p w:rsidR="00F21A56" w:rsidRPr="004F18A6" w:rsidRDefault="00D82521" w:rsidP="00941B5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Llevar a cabo d</w:t>
            </w:r>
            <w:r w:rsidR="00F21A56" w:rsidRPr="00F21A56">
              <w:rPr>
                <w:rFonts w:eastAsia="Times New Roman" w:cstheme="minorHAnsi"/>
                <w:lang w:val="es-ES"/>
              </w:rPr>
              <w:t>esarraigo de plantas o Barbecho como prácticas culturales dentro de los sitios permitidos.</w:t>
            </w:r>
          </w:p>
        </w:tc>
      </w:tr>
    </w:tbl>
    <w:p w:rsidR="00C141CB" w:rsidRDefault="00C141CB" w:rsidP="004D46FB">
      <w:pPr>
        <w:rPr>
          <w:sz w:val="20"/>
          <w:szCs w:val="20"/>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Pr="00F376BE" w:rsidRDefault="004D46FB">
            <w:pPr>
              <w:jc w:val="center"/>
              <w:rPr>
                <w:rFonts w:cstheme="minorHAnsi"/>
                <w:lang w:val="es-ES"/>
              </w:rPr>
            </w:pPr>
            <w:r w:rsidRPr="00F376BE">
              <w:rPr>
                <w:rFonts w:cstheme="minorHAnsi"/>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Pr="00F376BE"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lang w:val="es-ES"/>
              </w:rPr>
            </w:pPr>
            <w:r w:rsidRPr="00F376BE">
              <w:rPr>
                <w:rFonts w:cstheme="minorHAnsi"/>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F21A56">
              <w:rPr>
                <w:rFonts w:cstheme="minorHAnsi"/>
                <w:lang w:val="es-ES"/>
              </w:rPr>
              <w:fldChar w:fldCharType="begin">
                <w:ffData>
                  <w:name w:val=""/>
                  <w:enabled/>
                  <w:calcOnExit w:val="0"/>
                  <w:checkBox>
                    <w:sizeAuto/>
                    <w:default w:val="1"/>
                  </w:checkBox>
                </w:ffData>
              </w:fldChar>
            </w:r>
            <w:r w:rsidR="00F21A56">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sidR="00F21A56">
              <w:rPr>
                <w:rFonts w:cstheme="minorHAnsi"/>
                <w:lang w:val="es-ES"/>
              </w:rPr>
              <w:fldChar w:fldCharType="end"/>
            </w:r>
            <w:r>
              <w:rPr>
                <w:rFonts w:cstheme="minorHAnsi"/>
                <w:b w:val="0"/>
                <w:lang w:val="es-ES"/>
              </w:rPr>
              <w:t xml:space="preserve"> para la liberación intencional en etapa experimental </w:t>
            </w:r>
            <w:r w:rsidR="008577DA">
              <w:rPr>
                <w:rFonts w:cstheme="minorHAnsi"/>
                <w:lang w:val="es-ES"/>
              </w:rPr>
              <w:fldChar w:fldCharType="begin">
                <w:ffData>
                  <w:name w:val=""/>
                  <w:enabled/>
                  <w:calcOnExit w:val="0"/>
                  <w:checkBox>
                    <w:sizeAuto/>
                    <w:default w:val="1"/>
                  </w:checkBox>
                </w:ffData>
              </w:fldChar>
            </w:r>
            <w:r w:rsidR="008577DA">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sidR="008577DA">
              <w:rPr>
                <w:rFonts w:cstheme="minorHAnsi"/>
                <w:lang w:val="es-ES"/>
              </w:rPr>
              <w:fldChar w:fldCharType="end"/>
            </w:r>
            <w:r>
              <w:rPr>
                <w:rFonts w:cstheme="minorHAnsi"/>
                <w:b w:val="0"/>
                <w:lang w:val="es-ES"/>
              </w:rPr>
              <w:t xml:space="preserve">, </w:t>
            </w:r>
          </w:p>
          <w:p w:rsidR="004D46FB" w:rsidRDefault="004D46FB" w:rsidP="00F21A56">
            <w:pPr>
              <w:rPr>
                <w:rFonts w:cstheme="minorHAnsi"/>
                <w:b w:val="0"/>
                <w:lang w:val="es-ES"/>
              </w:rPr>
            </w:pPr>
            <w:r>
              <w:rPr>
                <w:rFonts w:cstheme="minorHAnsi"/>
                <w:b w:val="0"/>
                <w:lang w:val="es-ES"/>
              </w:rPr>
              <w:t xml:space="preserve">Piloto </w:t>
            </w:r>
            <w:r>
              <w:rPr>
                <w:rFonts w:cstheme="minorHAnsi"/>
                <w:lang w:val="es-ES"/>
              </w:rPr>
              <w:fldChar w:fldCharType="begin">
                <w:ffData>
                  <w:name w:val="Casilla48"/>
                  <w:enabled/>
                  <w:calcOnExit w:val="0"/>
                  <w:checkBox>
                    <w:sizeAuto/>
                    <w:default w:val="0"/>
                  </w:checkBox>
                </w:ffData>
              </w:fldChar>
            </w:r>
            <w:r>
              <w:rPr>
                <w:rFonts w:cstheme="minorHAnsi"/>
                <w:b w:val="0"/>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r w:rsidR="00941B5B">
              <w:rPr>
                <w:rFonts w:cstheme="minorHAnsi"/>
                <w:b w:val="0"/>
                <w:lang w:val="es-ES"/>
              </w:rPr>
              <w:t>,</w:t>
            </w:r>
            <w:r>
              <w:rPr>
                <w:rFonts w:cstheme="minorHAnsi"/>
                <w:b w:val="0"/>
                <w:lang w:val="es-ES"/>
              </w:rPr>
              <w:t xml:space="preserve"> o comercial </w:t>
            </w:r>
            <w:r w:rsidR="008577DA">
              <w:rPr>
                <w:rFonts w:cstheme="minorHAnsi"/>
                <w:lang w:val="es-ES"/>
              </w:rPr>
              <w:fldChar w:fldCharType="begin">
                <w:ffData>
                  <w:name w:val="Casilla48"/>
                  <w:enabled/>
                  <w:calcOnExit w:val="0"/>
                  <w:checkBox>
                    <w:sizeAuto/>
                    <w:default w:val="0"/>
                  </w:checkBox>
                </w:ffData>
              </w:fldChar>
            </w:r>
            <w:bookmarkStart w:id="3" w:name="Casilla48"/>
            <w:r w:rsidR="008577DA">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sidR="008577DA">
              <w:rPr>
                <w:rFonts w:cstheme="minorHAnsi"/>
                <w:lang w:val="es-ES"/>
              </w:rPr>
              <w:fldChar w:fldCharType="end"/>
            </w:r>
            <w:bookmarkEnd w:id="3"/>
            <w:r>
              <w:rPr>
                <w:rFonts w:cstheme="minorHAnsi"/>
                <w:b w:val="0"/>
                <w:lang w:val="es-ES"/>
              </w:rPr>
              <w:t xml:space="preserve">, con condiciones, para la Solicitud </w:t>
            </w:r>
            <w:r w:rsidR="00F21A56">
              <w:rPr>
                <w:rFonts w:cstheme="minorHAnsi"/>
                <w:b w:val="0"/>
                <w:lang w:val="es-ES"/>
              </w:rPr>
              <w:t>013</w:t>
            </w:r>
            <w:r>
              <w:rPr>
                <w:rFonts w:cstheme="minorHAnsi"/>
                <w:b w:val="0"/>
                <w:lang w:val="es-ES"/>
              </w:rPr>
              <w:t>_201</w:t>
            </w:r>
            <w:r w:rsidR="0012455A">
              <w:rPr>
                <w:rFonts w:cstheme="minorHAnsi"/>
                <w:b w:val="0"/>
                <w:lang w:val="es-ES"/>
              </w:rPr>
              <w:t>6</w:t>
            </w:r>
            <w:r>
              <w:rPr>
                <w:rFonts w:cstheme="minorHAnsi"/>
                <w:b w:val="0"/>
                <w:lang w:val="es-ES"/>
              </w:rPr>
              <w:t>.</w:t>
            </w:r>
          </w:p>
        </w:tc>
        <w:tc>
          <w:tcPr>
            <w:tcW w:w="1338" w:type="dxa"/>
            <w:tcBorders>
              <w:left w:val="nil"/>
            </w:tcBorders>
            <w:hideMark/>
          </w:tcPr>
          <w:p w:rsidR="004D46FB" w:rsidRDefault="00C92491" w:rsidP="00F21A56">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w:t>
            </w:r>
            <w:r w:rsidR="00F21A56">
              <w:rPr>
                <w:rFonts w:cstheme="minorHAnsi"/>
                <w:lang w:val="es-ES"/>
              </w:rPr>
              <w:t>3</w:t>
            </w:r>
            <w:r>
              <w:rPr>
                <w:rFonts w:cstheme="minorHAnsi"/>
                <w:lang w:val="es-ES"/>
              </w:rPr>
              <w:t>/0</w:t>
            </w:r>
            <w:r w:rsidR="00F21A56">
              <w:rPr>
                <w:rFonts w:cstheme="minorHAnsi"/>
                <w:lang w:val="es-ES"/>
              </w:rPr>
              <w:t>3</w:t>
            </w:r>
            <w:r>
              <w:rPr>
                <w:rFonts w:cstheme="minorHAnsi"/>
                <w:lang w:val="es-ES"/>
              </w:rPr>
              <w:t>/201</w:t>
            </w:r>
            <w:r w:rsidR="00F21A56">
              <w:rPr>
                <w:rFonts w:cstheme="minorHAnsi"/>
                <w:lang w:val="es-ES"/>
              </w:rPr>
              <w:t>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1449BA">
            <w:pPr>
              <w:rPr>
                <w:rFonts w:cstheme="minorHAnsi"/>
                <w:b w:val="0"/>
                <w:lang w:val="es-ES"/>
              </w:rPr>
            </w:pPr>
            <w:r>
              <w:rPr>
                <w:rFonts w:cstheme="minorHAnsi"/>
                <w:b w:val="0"/>
                <w:lang w:val="es-ES"/>
              </w:rPr>
              <w:t xml:space="preserve">Se trata de un decisión unánime </w:t>
            </w:r>
            <w:r w:rsidR="00941B5B">
              <w:rPr>
                <w:rFonts w:cstheme="minorHAnsi"/>
                <w:lang w:val="es-ES"/>
              </w:rPr>
              <w:fldChar w:fldCharType="begin">
                <w:ffData>
                  <w:name w:val="Casilla48"/>
                  <w:enabled/>
                  <w:calcOnExit w:val="0"/>
                  <w:checkBox>
                    <w:sizeAuto/>
                    <w:default w:val="0"/>
                  </w:checkBox>
                </w:ffData>
              </w:fldChar>
            </w:r>
            <w:r w:rsidR="00941B5B">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sidR="00941B5B">
              <w:rPr>
                <w:rFonts w:cstheme="minorHAnsi"/>
                <w:lang w:val="es-ES"/>
              </w:rPr>
              <w:fldChar w:fldCharType="end"/>
            </w:r>
            <w:proofErr w:type="spellStart"/>
            <w:r>
              <w:rPr>
                <w:rFonts w:cstheme="minorHAnsi"/>
                <w:b w:val="0"/>
                <w:lang w:val="es-ES"/>
              </w:rPr>
              <w:t>Si</w:t>
            </w:r>
            <w:proofErr w:type="spellEnd"/>
            <w:r>
              <w:rPr>
                <w:rFonts w:cstheme="minorHAnsi"/>
                <w:b w:val="0"/>
                <w:lang w:val="es-ES"/>
              </w:rPr>
              <w:t xml:space="preserve">   </w:t>
            </w:r>
            <w:r w:rsidR="00941B5B">
              <w:rPr>
                <w:rFonts w:cstheme="minorHAnsi"/>
                <w:lang w:val="es-ES"/>
              </w:rPr>
              <w:fldChar w:fldCharType="begin">
                <w:ffData>
                  <w:name w:val="Casilla70"/>
                  <w:enabled/>
                  <w:calcOnExit w:val="0"/>
                  <w:checkBox>
                    <w:sizeAuto/>
                    <w:default w:val="1"/>
                  </w:checkBox>
                </w:ffData>
              </w:fldChar>
            </w:r>
            <w:r w:rsidR="00941B5B">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sidR="00941B5B">
              <w:rPr>
                <w:rFonts w:cstheme="minorHAnsi"/>
                <w:lang w:val="es-ES"/>
              </w:rPr>
              <w:fldChar w:fldCharType="end"/>
            </w:r>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8577DA">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4" w:name="Casilla69"/>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bookmarkEnd w:id="4"/>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F21A56" w:rsidP="00F21A56">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08</w:t>
            </w:r>
            <w:r w:rsidR="00C92491">
              <w:rPr>
                <w:rFonts w:cstheme="minorHAnsi"/>
                <w:lang w:val="es-ES"/>
              </w:rPr>
              <w:t>/</w:t>
            </w:r>
            <w:r>
              <w:rPr>
                <w:rFonts w:cstheme="minorHAnsi"/>
                <w:lang w:val="es-ES"/>
              </w:rPr>
              <w:t>09/2016</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5" w:name="Casilla57"/>
            <w:r>
              <w:rPr>
                <w:rFonts w:cstheme="minorHAnsi"/>
                <w:lang w:val="es-ES"/>
              </w:rPr>
              <w:instrText xml:space="preserve"> FORMCHECKBOX </w:instrText>
            </w:r>
            <w:r w:rsidR="00CB68B1">
              <w:rPr>
                <w:rFonts w:cstheme="minorHAnsi"/>
                <w:lang w:val="es-ES"/>
              </w:rPr>
            </w:r>
            <w:r w:rsidR="00CB68B1">
              <w:rPr>
                <w:rFonts w:cstheme="minorHAnsi"/>
                <w:lang w:val="es-ES"/>
              </w:rPr>
              <w:fldChar w:fldCharType="separate"/>
            </w:r>
            <w:r>
              <w:rPr>
                <w:rFonts w:cstheme="minorHAnsi"/>
                <w:lang w:val="es-ES"/>
              </w:rPr>
              <w:fldChar w:fldCharType="end"/>
            </w:r>
            <w:bookmarkEnd w:id="5"/>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6" w:name="Casilla53"/>
            <w:r>
              <w:rPr>
                <w:rFonts w:cstheme="minorHAnsi"/>
                <w:b w:val="0"/>
                <w:lang w:val="es-ES"/>
              </w:rPr>
              <w:instrText xml:space="preserve"> FORMCHECKBOX </w:instrText>
            </w:r>
            <w:r w:rsidR="00CB68B1">
              <w:rPr>
                <w:rFonts w:cstheme="minorHAnsi"/>
                <w:lang w:val="es-ES"/>
              </w:rPr>
            </w:r>
            <w:r w:rsidR="00CB68B1">
              <w:rPr>
                <w:rFonts w:cstheme="minorHAnsi"/>
                <w:lang w:val="es-ES"/>
              </w:rPr>
              <w:fldChar w:fldCharType="separate"/>
            </w:r>
            <w:r>
              <w:fldChar w:fldCharType="end"/>
            </w:r>
            <w:bookmarkEnd w:id="6"/>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7" w:name="Casilla54"/>
            <w:r>
              <w:rPr>
                <w:rFonts w:cstheme="minorHAnsi"/>
                <w:b w:val="0"/>
                <w:lang w:val="es-ES"/>
              </w:rPr>
              <w:instrText xml:space="preserve"> FORMCHECKBOX </w:instrText>
            </w:r>
            <w:r w:rsidR="00CB68B1">
              <w:rPr>
                <w:rFonts w:cstheme="minorHAnsi"/>
                <w:lang w:val="es-ES"/>
              </w:rPr>
            </w:r>
            <w:r w:rsidR="00CB68B1">
              <w:rPr>
                <w:rFonts w:cstheme="minorHAnsi"/>
                <w:lang w:val="es-ES"/>
              </w:rPr>
              <w:fldChar w:fldCharType="separate"/>
            </w:r>
            <w:r>
              <w:fldChar w:fldCharType="end"/>
            </w:r>
            <w:bookmarkEnd w:id="7"/>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2E1D3E" w:rsidRDefault="004D46FB" w:rsidP="004D46FB">
      <w:pPr>
        <w:rPr>
          <w:sz w:val="20"/>
          <w:szCs w:val="20"/>
        </w:rPr>
      </w:pPr>
    </w:p>
    <w:sectPr w:rsidR="004D46FB" w:rsidRPr="002E1D3E"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55" w:rsidRDefault="005F0855" w:rsidP="00A74F34">
      <w:pPr>
        <w:spacing w:after="0" w:line="240" w:lineRule="auto"/>
      </w:pPr>
      <w:r>
        <w:separator/>
      </w:r>
    </w:p>
  </w:endnote>
  <w:endnote w:type="continuationSeparator" w:id="0">
    <w:p w:rsidR="005F0855" w:rsidRDefault="005F0855"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55" w:rsidRDefault="005F0855" w:rsidP="00A74F34">
      <w:pPr>
        <w:spacing w:after="0" w:line="240" w:lineRule="auto"/>
      </w:pPr>
      <w:r>
        <w:separator/>
      </w:r>
    </w:p>
  </w:footnote>
  <w:footnote w:type="continuationSeparator" w:id="0">
    <w:p w:rsidR="005F0855" w:rsidRDefault="005F0855"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82648"/>
    <w:multiLevelType w:val="multilevel"/>
    <w:tmpl w:val="8D186D5A"/>
    <w:numStyleLink w:val="ChecklistItem"/>
  </w:abstractNum>
  <w:abstractNum w:abstractNumId="3">
    <w:nsid w:val="11785E6F"/>
    <w:multiLevelType w:val="multilevel"/>
    <w:tmpl w:val="8D186D5A"/>
    <w:numStyleLink w:val="ChecklistItem"/>
  </w:abstractNum>
  <w:abstractNum w:abstractNumId="4">
    <w:nsid w:val="13140998"/>
    <w:multiLevelType w:val="multilevel"/>
    <w:tmpl w:val="8D186D5A"/>
    <w:numStyleLink w:val="ChecklistItem"/>
  </w:abstractNum>
  <w:abstractNum w:abstractNumId="5">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83F1F"/>
    <w:multiLevelType w:val="multilevel"/>
    <w:tmpl w:val="8D186D5A"/>
    <w:numStyleLink w:val="ChecklistItem"/>
  </w:abstractNum>
  <w:abstractNum w:abstractNumId="9">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117522"/>
    <w:multiLevelType w:val="hybridMultilevel"/>
    <w:tmpl w:val="BA6C5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69400E"/>
    <w:multiLevelType w:val="multilevel"/>
    <w:tmpl w:val="8D186D5A"/>
    <w:numStyleLink w:val="ChecklistItem"/>
  </w:abstractNum>
  <w:abstractNum w:abstractNumId="19">
    <w:nsid w:val="4C5C1DA1"/>
    <w:multiLevelType w:val="multilevel"/>
    <w:tmpl w:val="8D186D5A"/>
    <w:numStyleLink w:val="ChecklistItem"/>
  </w:abstractNum>
  <w:abstractNum w:abstractNumId="20">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5943D5"/>
    <w:multiLevelType w:val="multilevel"/>
    <w:tmpl w:val="8D186D5A"/>
    <w:numStyleLink w:val="ChecklistItem"/>
  </w:abstractNum>
  <w:abstractNum w:abstractNumId="22">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AAE5BDB"/>
    <w:multiLevelType w:val="hybridMultilevel"/>
    <w:tmpl w:val="38A0C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641000"/>
    <w:multiLevelType w:val="multilevel"/>
    <w:tmpl w:val="8D186D5A"/>
    <w:numStyleLink w:val="ChecklistItem"/>
  </w:abstractNum>
  <w:abstractNum w:abstractNumId="25">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8"/>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2"/>
  </w:num>
  <w:num w:numId="4">
    <w:abstractNumId w:val="19"/>
  </w:num>
  <w:num w:numId="5">
    <w:abstractNumId w:val="24"/>
  </w:num>
  <w:num w:numId="6">
    <w:abstractNumId w:val="3"/>
  </w:num>
  <w:num w:numId="7">
    <w:abstractNumId w:val="4"/>
  </w:num>
  <w:num w:numId="8">
    <w:abstractNumId w:val="8"/>
  </w:num>
  <w:num w:numId="9">
    <w:abstractNumId w:val="21"/>
  </w:num>
  <w:num w:numId="10">
    <w:abstractNumId w:val="0"/>
  </w:num>
  <w:num w:numId="11">
    <w:abstractNumId w:val="6"/>
  </w:num>
  <w:num w:numId="12">
    <w:abstractNumId w:val="15"/>
  </w:num>
  <w:num w:numId="13">
    <w:abstractNumId w:val="12"/>
  </w:num>
  <w:num w:numId="14">
    <w:abstractNumId w:val="16"/>
  </w:num>
  <w:num w:numId="15">
    <w:abstractNumId w:val="25"/>
  </w:num>
  <w:num w:numId="16">
    <w:abstractNumId w:val="10"/>
  </w:num>
  <w:num w:numId="17">
    <w:abstractNumId w:val="13"/>
  </w:num>
  <w:num w:numId="18">
    <w:abstractNumId w:val="7"/>
  </w:num>
  <w:num w:numId="19">
    <w:abstractNumId w:val="11"/>
  </w:num>
  <w:num w:numId="20">
    <w:abstractNumId w:val="9"/>
  </w:num>
  <w:num w:numId="21">
    <w:abstractNumId w:val="17"/>
  </w:num>
  <w:num w:numId="22">
    <w:abstractNumId w:val="22"/>
  </w:num>
  <w:num w:numId="23">
    <w:abstractNumId w:val="5"/>
  </w:num>
  <w:num w:numId="24">
    <w:abstractNumId w:val="20"/>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C6122"/>
    <w:rsid w:val="000E362E"/>
    <w:rsid w:val="000F417C"/>
    <w:rsid w:val="000F55A1"/>
    <w:rsid w:val="000F5CE1"/>
    <w:rsid w:val="0011017D"/>
    <w:rsid w:val="00110E46"/>
    <w:rsid w:val="00115A7F"/>
    <w:rsid w:val="001163F3"/>
    <w:rsid w:val="0012455A"/>
    <w:rsid w:val="0013094A"/>
    <w:rsid w:val="001449BA"/>
    <w:rsid w:val="001456D1"/>
    <w:rsid w:val="00161743"/>
    <w:rsid w:val="00162474"/>
    <w:rsid w:val="001666AD"/>
    <w:rsid w:val="0017351B"/>
    <w:rsid w:val="001745B0"/>
    <w:rsid w:val="001772EF"/>
    <w:rsid w:val="00183DBD"/>
    <w:rsid w:val="00186780"/>
    <w:rsid w:val="0019106A"/>
    <w:rsid w:val="001B14CC"/>
    <w:rsid w:val="001B1952"/>
    <w:rsid w:val="001B7EF2"/>
    <w:rsid w:val="001D314D"/>
    <w:rsid w:val="001E7B5C"/>
    <w:rsid w:val="001F1953"/>
    <w:rsid w:val="00206438"/>
    <w:rsid w:val="00207BEE"/>
    <w:rsid w:val="00226214"/>
    <w:rsid w:val="002359CA"/>
    <w:rsid w:val="00241EC1"/>
    <w:rsid w:val="00247B1C"/>
    <w:rsid w:val="0026345A"/>
    <w:rsid w:val="00264E67"/>
    <w:rsid w:val="00266A15"/>
    <w:rsid w:val="002774CF"/>
    <w:rsid w:val="002A7302"/>
    <w:rsid w:val="002B0025"/>
    <w:rsid w:val="002C16DB"/>
    <w:rsid w:val="002C2C64"/>
    <w:rsid w:val="002D6EB2"/>
    <w:rsid w:val="002E15ED"/>
    <w:rsid w:val="002E1D3E"/>
    <w:rsid w:val="002E2650"/>
    <w:rsid w:val="002E2DA3"/>
    <w:rsid w:val="002E74F7"/>
    <w:rsid w:val="002F36A1"/>
    <w:rsid w:val="002F3A06"/>
    <w:rsid w:val="002F576E"/>
    <w:rsid w:val="002F78F5"/>
    <w:rsid w:val="003044D0"/>
    <w:rsid w:val="00306B87"/>
    <w:rsid w:val="00307D31"/>
    <w:rsid w:val="003174FB"/>
    <w:rsid w:val="00320B73"/>
    <w:rsid w:val="00323A96"/>
    <w:rsid w:val="00326E68"/>
    <w:rsid w:val="00334D42"/>
    <w:rsid w:val="0033684F"/>
    <w:rsid w:val="00346BB1"/>
    <w:rsid w:val="003543B7"/>
    <w:rsid w:val="00362E2B"/>
    <w:rsid w:val="00364FEE"/>
    <w:rsid w:val="00372F2B"/>
    <w:rsid w:val="00373D7A"/>
    <w:rsid w:val="0037481F"/>
    <w:rsid w:val="003755D8"/>
    <w:rsid w:val="00383ACD"/>
    <w:rsid w:val="0039745A"/>
    <w:rsid w:val="0039764C"/>
    <w:rsid w:val="003A4732"/>
    <w:rsid w:val="003B1A1F"/>
    <w:rsid w:val="003B746B"/>
    <w:rsid w:val="003D4DEB"/>
    <w:rsid w:val="003D4E06"/>
    <w:rsid w:val="003D5A3B"/>
    <w:rsid w:val="003E7E90"/>
    <w:rsid w:val="003F31BC"/>
    <w:rsid w:val="003F4DD7"/>
    <w:rsid w:val="003F73C5"/>
    <w:rsid w:val="004067BF"/>
    <w:rsid w:val="00406E37"/>
    <w:rsid w:val="00412454"/>
    <w:rsid w:val="00424835"/>
    <w:rsid w:val="00427E16"/>
    <w:rsid w:val="00431B3F"/>
    <w:rsid w:val="004328C3"/>
    <w:rsid w:val="00445837"/>
    <w:rsid w:val="00446ACA"/>
    <w:rsid w:val="00455422"/>
    <w:rsid w:val="00460061"/>
    <w:rsid w:val="0047472B"/>
    <w:rsid w:val="00475535"/>
    <w:rsid w:val="004A5EE8"/>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4226"/>
    <w:rsid w:val="00526083"/>
    <w:rsid w:val="00527369"/>
    <w:rsid w:val="005304D1"/>
    <w:rsid w:val="005414AC"/>
    <w:rsid w:val="00542D22"/>
    <w:rsid w:val="00543515"/>
    <w:rsid w:val="005557BB"/>
    <w:rsid w:val="00556B9E"/>
    <w:rsid w:val="005577D6"/>
    <w:rsid w:val="0057243A"/>
    <w:rsid w:val="00573330"/>
    <w:rsid w:val="00581716"/>
    <w:rsid w:val="00581926"/>
    <w:rsid w:val="00586228"/>
    <w:rsid w:val="005A6A86"/>
    <w:rsid w:val="005A7FE2"/>
    <w:rsid w:val="005B512F"/>
    <w:rsid w:val="005D64D3"/>
    <w:rsid w:val="005F0855"/>
    <w:rsid w:val="005F5B8B"/>
    <w:rsid w:val="00611C6E"/>
    <w:rsid w:val="00615BF0"/>
    <w:rsid w:val="00616322"/>
    <w:rsid w:val="00630A86"/>
    <w:rsid w:val="00634D55"/>
    <w:rsid w:val="0064712D"/>
    <w:rsid w:val="00657D2D"/>
    <w:rsid w:val="00670EB1"/>
    <w:rsid w:val="00692CE9"/>
    <w:rsid w:val="00696DF0"/>
    <w:rsid w:val="006A5956"/>
    <w:rsid w:val="006B0A7E"/>
    <w:rsid w:val="006C00A7"/>
    <w:rsid w:val="006D0267"/>
    <w:rsid w:val="006E696D"/>
    <w:rsid w:val="00700285"/>
    <w:rsid w:val="007033CB"/>
    <w:rsid w:val="007045A4"/>
    <w:rsid w:val="007078F8"/>
    <w:rsid w:val="00712E20"/>
    <w:rsid w:val="00724AF3"/>
    <w:rsid w:val="0072541D"/>
    <w:rsid w:val="00731130"/>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4140"/>
    <w:rsid w:val="007D512B"/>
    <w:rsid w:val="007D6968"/>
    <w:rsid w:val="007E4810"/>
    <w:rsid w:val="007F5EDA"/>
    <w:rsid w:val="00801CE2"/>
    <w:rsid w:val="00807C6C"/>
    <w:rsid w:val="008144D6"/>
    <w:rsid w:val="0082472B"/>
    <w:rsid w:val="008317D3"/>
    <w:rsid w:val="0083746B"/>
    <w:rsid w:val="00845B01"/>
    <w:rsid w:val="008500B4"/>
    <w:rsid w:val="00850C12"/>
    <w:rsid w:val="00852F43"/>
    <w:rsid w:val="008577DA"/>
    <w:rsid w:val="0086600C"/>
    <w:rsid w:val="00877516"/>
    <w:rsid w:val="00887E1F"/>
    <w:rsid w:val="00896607"/>
    <w:rsid w:val="0089733F"/>
    <w:rsid w:val="008A0D20"/>
    <w:rsid w:val="008B1AE3"/>
    <w:rsid w:val="008B45F9"/>
    <w:rsid w:val="008D48C1"/>
    <w:rsid w:val="008E0CF8"/>
    <w:rsid w:val="008E23D0"/>
    <w:rsid w:val="008E5C2D"/>
    <w:rsid w:val="008F54FB"/>
    <w:rsid w:val="009005D7"/>
    <w:rsid w:val="00905214"/>
    <w:rsid w:val="0090640A"/>
    <w:rsid w:val="009076DC"/>
    <w:rsid w:val="0091406D"/>
    <w:rsid w:val="00925376"/>
    <w:rsid w:val="009275D4"/>
    <w:rsid w:val="00934723"/>
    <w:rsid w:val="00941B5B"/>
    <w:rsid w:val="00942E06"/>
    <w:rsid w:val="00946B3A"/>
    <w:rsid w:val="0095750A"/>
    <w:rsid w:val="00964DCF"/>
    <w:rsid w:val="00970365"/>
    <w:rsid w:val="00972453"/>
    <w:rsid w:val="00973AEF"/>
    <w:rsid w:val="0098261F"/>
    <w:rsid w:val="00983AFC"/>
    <w:rsid w:val="00986F8F"/>
    <w:rsid w:val="009A44ED"/>
    <w:rsid w:val="009C4C61"/>
    <w:rsid w:val="009C6344"/>
    <w:rsid w:val="009C6B39"/>
    <w:rsid w:val="009D4C0B"/>
    <w:rsid w:val="009E2F7A"/>
    <w:rsid w:val="009F33E5"/>
    <w:rsid w:val="009F4548"/>
    <w:rsid w:val="00A02E30"/>
    <w:rsid w:val="00A16ED5"/>
    <w:rsid w:val="00A23E18"/>
    <w:rsid w:val="00A333E9"/>
    <w:rsid w:val="00A42DDD"/>
    <w:rsid w:val="00A43FDE"/>
    <w:rsid w:val="00A466AD"/>
    <w:rsid w:val="00A60294"/>
    <w:rsid w:val="00A6054B"/>
    <w:rsid w:val="00A626F3"/>
    <w:rsid w:val="00A6602C"/>
    <w:rsid w:val="00A66C68"/>
    <w:rsid w:val="00A720A0"/>
    <w:rsid w:val="00A74F34"/>
    <w:rsid w:val="00A81182"/>
    <w:rsid w:val="00A8693E"/>
    <w:rsid w:val="00A86B3B"/>
    <w:rsid w:val="00A87747"/>
    <w:rsid w:val="00A941A1"/>
    <w:rsid w:val="00A95AEA"/>
    <w:rsid w:val="00AA0E1B"/>
    <w:rsid w:val="00AA0E96"/>
    <w:rsid w:val="00AA1DBD"/>
    <w:rsid w:val="00AA34D6"/>
    <w:rsid w:val="00AA4BFC"/>
    <w:rsid w:val="00AB31B6"/>
    <w:rsid w:val="00AB3A20"/>
    <w:rsid w:val="00AB5875"/>
    <w:rsid w:val="00AB7E77"/>
    <w:rsid w:val="00AC57B3"/>
    <w:rsid w:val="00AC6AD0"/>
    <w:rsid w:val="00AE47BE"/>
    <w:rsid w:val="00AE5553"/>
    <w:rsid w:val="00AE5929"/>
    <w:rsid w:val="00AE5C27"/>
    <w:rsid w:val="00AF3609"/>
    <w:rsid w:val="00B032FB"/>
    <w:rsid w:val="00B062B6"/>
    <w:rsid w:val="00B21489"/>
    <w:rsid w:val="00B22CA0"/>
    <w:rsid w:val="00B2747F"/>
    <w:rsid w:val="00B30060"/>
    <w:rsid w:val="00B30AD3"/>
    <w:rsid w:val="00B33DC5"/>
    <w:rsid w:val="00B35713"/>
    <w:rsid w:val="00B36C7E"/>
    <w:rsid w:val="00B435EE"/>
    <w:rsid w:val="00B6696E"/>
    <w:rsid w:val="00B669F8"/>
    <w:rsid w:val="00B8048E"/>
    <w:rsid w:val="00B85F1B"/>
    <w:rsid w:val="00B864D2"/>
    <w:rsid w:val="00B868E6"/>
    <w:rsid w:val="00B96086"/>
    <w:rsid w:val="00BA026C"/>
    <w:rsid w:val="00BA16A2"/>
    <w:rsid w:val="00BC282F"/>
    <w:rsid w:val="00BD1F97"/>
    <w:rsid w:val="00BD38ED"/>
    <w:rsid w:val="00BF2462"/>
    <w:rsid w:val="00C101E4"/>
    <w:rsid w:val="00C11DA0"/>
    <w:rsid w:val="00C141CB"/>
    <w:rsid w:val="00C1421E"/>
    <w:rsid w:val="00C2289C"/>
    <w:rsid w:val="00C2304A"/>
    <w:rsid w:val="00C3054F"/>
    <w:rsid w:val="00C325D9"/>
    <w:rsid w:val="00C34984"/>
    <w:rsid w:val="00C36242"/>
    <w:rsid w:val="00C449DE"/>
    <w:rsid w:val="00C46544"/>
    <w:rsid w:val="00C46F55"/>
    <w:rsid w:val="00C53A86"/>
    <w:rsid w:val="00C56C06"/>
    <w:rsid w:val="00C63423"/>
    <w:rsid w:val="00C63A94"/>
    <w:rsid w:val="00C75679"/>
    <w:rsid w:val="00C81BBD"/>
    <w:rsid w:val="00C83C6D"/>
    <w:rsid w:val="00C92491"/>
    <w:rsid w:val="00C94C38"/>
    <w:rsid w:val="00CA0D83"/>
    <w:rsid w:val="00CA0E1A"/>
    <w:rsid w:val="00CA2573"/>
    <w:rsid w:val="00CA2BE3"/>
    <w:rsid w:val="00CA6459"/>
    <w:rsid w:val="00CA68FA"/>
    <w:rsid w:val="00CA693C"/>
    <w:rsid w:val="00CB0208"/>
    <w:rsid w:val="00CB0BA8"/>
    <w:rsid w:val="00CB279E"/>
    <w:rsid w:val="00CB68B1"/>
    <w:rsid w:val="00CB6AD1"/>
    <w:rsid w:val="00CC2359"/>
    <w:rsid w:val="00CD6447"/>
    <w:rsid w:val="00CE2A26"/>
    <w:rsid w:val="00CF6065"/>
    <w:rsid w:val="00D250AB"/>
    <w:rsid w:val="00D32C9E"/>
    <w:rsid w:val="00D4186F"/>
    <w:rsid w:val="00D549B0"/>
    <w:rsid w:val="00D64E04"/>
    <w:rsid w:val="00D73917"/>
    <w:rsid w:val="00D82521"/>
    <w:rsid w:val="00D9423F"/>
    <w:rsid w:val="00DA2C81"/>
    <w:rsid w:val="00DA5611"/>
    <w:rsid w:val="00DB17A5"/>
    <w:rsid w:val="00DC0F60"/>
    <w:rsid w:val="00DC22B0"/>
    <w:rsid w:val="00DC4A66"/>
    <w:rsid w:val="00DD0BED"/>
    <w:rsid w:val="00DD5DB4"/>
    <w:rsid w:val="00DE0DE4"/>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503EA"/>
    <w:rsid w:val="00E540C8"/>
    <w:rsid w:val="00E5658B"/>
    <w:rsid w:val="00E61B8E"/>
    <w:rsid w:val="00E71873"/>
    <w:rsid w:val="00E800AD"/>
    <w:rsid w:val="00E8450C"/>
    <w:rsid w:val="00E876EA"/>
    <w:rsid w:val="00E93405"/>
    <w:rsid w:val="00E9441F"/>
    <w:rsid w:val="00EA526A"/>
    <w:rsid w:val="00EB1AAC"/>
    <w:rsid w:val="00EC557E"/>
    <w:rsid w:val="00EE4D48"/>
    <w:rsid w:val="00EF6A27"/>
    <w:rsid w:val="00F0366D"/>
    <w:rsid w:val="00F03CF2"/>
    <w:rsid w:val="00F059F7"/>
    <w:rsid w:val="00F10A87"/>
    <w:rsid w:val="00F153C0"/>
    <w:rsid w:val="00F16898"/>
    <w:rsid w:val="00F21A56"/>
    <w:rsid w:val="00F22658"/>
    <w:rsid w:val="00F22EDD"/>
    <w:rsid w:val="00F2641F"/>
    <w:rsid w:val="00F33318"/>
    <w:rsid w:val="00F33E3F"/>
    <w:rsid w:val="00F376BE"/>
    <w:rsid w:val="00F46154"/>
    <w:rsid w:val="00F470CB"/>
    <w:rsid w:val="00F51091"/>
    <w:rsid w:val="00F661B7"/>
    <w:rsid w:val="00F7250F"/>
    <w:rsid w:val="00F765D5"/>
    <w:rsid w:val="00F815D1"/>
    <w:rsid w:val="00F91B20"/>
    <w:rsid w:val="00F94534"/>
    <w:rsid w:val="00FA718E"/>
    <w:rsid w:val="00FB1428"/>
    <w:rsid w:val="00FC22FF"/>
    <w:rsid w:val="00FD121E"/>
    <w:rsid w:val="00FD3065"/>
    <w:rsid w:val="00FD3A11"/>
    <w:rsid w:val="00FD52E6"/>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685">
      <w:bodyDiv w:val="1"/>
      <w:marLeft w:val="0"/>
      <w:marRight w:val="0"/>
      <w:marTop w:val="0"/>
      <w:marBottom w:val="0"/>
      <w:divBdr>
        <w:top w:val="none" w:sz="0" w:space="0" w:color="auto"/>
        <w:left w:val="none" w:sz="0" w:space="0" w:color="auto"/>
        <w:bottom w:val="none" w:sz="0" w:space="0" w:color="auto"/>
        <w:right w:val="none" w:sz="0" w:space="0" w:color="auto"/>
      </w:divBdr>
    </w:div>
    <w:div w:id="716854839">
      <w:bodyDiv w:val="1"/>
      <w:marLeft w:val="0"/>
      <w:marRight w:val="0"/>
      <w:marTop w:val="0"/>
      <w:marBottom w:val="0"/>
      <w:divBdr>
        <w:top w:val="none" w:sz="0" w:space="0" w:color="auto"/>
        <w:left w:val="none" w:sz="0" w:space="0" w:color="auto"/>
        <w:bottom w:val="none" w:sz="0" w:space="0" w:color="auto"/>
        <w:right w:val="none" w:sz="0" w:space="0" w:color="auto"/>
      </w:divBdr>
      <w:divsChild>
        <w:div w:id="2060546674">
          <w:marLeft w:val="0"/>
          <w:marRight w:val="0"/>
          <w:marTop w:val="0"/>
          <w:marBottom w:val="0"/>
          <w:divBdr>
            <w:top w:val="none" w:sz="0" w:space="0" w:color="auto"/>
            <w:left w:val="none" w:sz="0" w:space="0" w:color="auto"/>
            <w:bottom w:val="none" w:sz="0" w:space="0" w:color="auto"/>
            <w:right w:val="none" w:sz="0" w:space="0" w:color="auto"/>
          </w:divBdr>
          <w:divsChild>
            <w:div w:id="1708291107">
              <w:marLeft w:val="0"/>
              <w:marRight w:val="0"/>
              <w:marTop w:val="0"/>
              <w:marBottom w:val="0"/>
              <w:divBdr>
                <w:top w:val="none" w:sz="0" w:space="0" w:color="auto"/>
                <w:left w:val="none" w:sz="0" w:space="0" w:color="auto"/>
                <w:bottom w:val="none" w:sz="0" w:space="0" w:color="auto"/>
                <w:right w:val="none" w:sz="0" w:space="0" w:color="auto"/>
              </w:divBdr>
              <w:divsChild>
                <w:div w:id="74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4F9D-3715-4AFC-88AF-60AC503E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1897</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12</cp:revision>
  <cp:lastPrinted>2014-06-23T16:05:00Z</cp:lastPrinted>
  <dcterms:created xsi:type="dcterms:W3CDTF">2017-04-05T17:52:00Z</dcterms:created>
  <dcterms:modified xsi:type="dcterms:W3CDTF">2017-05-22T18:49:00Z</dcterms:modified>
</cp:coreProperties>
</file>