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tbl>
      <w:tblPr>
        <w:tblW w:w="0" w:type="auto"/>
        <w:jc w:val="center"/>
        <w:tblInd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4"/>
      </w:tblGrid>
      <w:tr w:rsidR="003C4F75" w:rsidRPr="003C4F75" w:rsidTr="003C4F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3C4F75" w:rsidRPr="003C4F75" w:rsidRDefault="003C4F75" w:rsidP="003C4F75">
            <w:pPr>
              <w:widowControl/>
              <w:wordWrap/>
              <w:autoSpaceDE/>
              <w:autoSpaceDN/>
              <w:spacing w:line="312" w:lineRule="auto"/>
              <w:ind w:left="22" w:hanging="22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52"/>
                <w:szCs w:val="52"/>
              </w:rPr>
            </w:pPr>
            <w:bookmarkStart w:id="0" w:name="#4a05d54d"/>
            <w:bookmarkEnd w:id="0"/>
            <w:r w:rsidRPr="003C4F75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49"/>
                <w:szCs w:val="49"/>
              </w:rPr>
              <w:t>유전자재조합 옥수수(Bt176</w:t>
            </w:r>
            <w:r w:rsidRPr="003C4F75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52"/>
                <w:szCs w:val="52"/>
              </w:rPr>
              <w:t>)</w:t>
            </w:r>
          </w:p>
          <w:p w:rsidR="003C4F75" w:rsidRPr="003C4F75" w:rsidRDefault="003C4F75" w:rsidP="003C4F75">
            <w:pPr>
              <w:widowControl/>
              <w:wordWrap/>
              <w:autoSpaceDE/>
              <w:autoSpaceDN/>
              <w:spacing w:line="144" w:lineRule="auto"/>
              <w:ind w:left="22" w:hanging="22"/>
              <w:jc w:val="center"/>
              <w:rPr>
                <w:rFonts w:ascii="한양신명조" w:eastAsia="한양신명조" w:hAnsi="굴림" w:cs="굴림" w:hint="eastAsia"/>
                <w:color w:val="000000"/>
                <w:kern w:val="0"/>
                <w:sz w:val="52"/>
                <w:szCs w:val="52"/>
              </w:rPr>
            </w:pPr>
            <w:r w:rsidRPr="003C4F75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52"/>
                <w:szCs w:val="52"/>
              </w:rPr>
              <w:t> </w:t>
            </w:r>
            <w:r w:rsidRPr="003C4F75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52"/>
                <w:szCs w:val="52"/>
              </w:rPr>
              <w:t xml:space="preserve"> </w:t>
            </w:r>
          </w:p>
          <w:p w:rsidR="003C4F75" w:rsidRPr="003C4F75" w:rsidRDefault="003C4F75" w:rsidP="003C4F75">
            <w:pPr>
              <w:widowControl/>
              <w:wordWrap/>
              <w:autoSpaceDE/>
              <w:autoSpaceDN/>
              <w:spacing w:line="432" w:lineRule="auto"/>
              <w:ind w:left="22" w:hanging="22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52"/>
                <w:szCs w:val="52"/>
              </w:rPr>
            </w:pPr>
            <w:r w:rsidRPr="003C4F75">
              <w:rPr>
                <w:rFonts w:ascii="한양신명조,한컴돋움" w:eastAsia="한양신명조,한컴돋움" w:hAnsi="굴림" w:cs="굴림" w:hint="eastAsia"/>
                <w:b/>
                <w:bCs/>
                <w:color w:val="000000"/>
                <w:kern w:val="0"/>
                <w:sz w:val="52"/>
                <w:szCs w:val="52"/>
              </w:rPr>
              <w:t>안전성평가자료 심사결과</w:t>
            </w:r>
          </w:p>
        </w:tc>
      </w:tr>
    </w:tbl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spacing w:val="40"/>
          <w:kern w:val="0"/>
          <w:sz w:val="40"/>
          <w:szCs w:val="40"/>
        </w:rPr>
      </w:pPr>
      <w:r w:rsidRPr="003C4F75">
        <w:rPr>
          <w:rFonts w:ascii="한양신명조,한컴돋움" w:eastAsia="한양신명조,한컴돋움" w:hAnsi="굴림" w:cs="굴림" w:hint="eastAsia"/>
          <w:b/>
          <w:bCs/>
          <w:i/>
          <w:iCs/>
          <w:color w:val="000000"/>
          <w:spacing w:val="40"/>
          <w:kern w:val="0"/>
          <w:sz w:val="40"/>
          <w:szCs w:val="40"/>
        </w:rPr>
        <w:t>2003. 12.</w:t>
      </w:r>
      <w:r w:rsidRPr="003C4F75">
        <w:rPr>
          <w:rFonts w:ascii="한양신명조" w:eastAsia="한양신명조" w:hAnsi="굴림" w:cs="굴림" w:hint="eastAsia"/>
          <w:color w:val="000000"/>
          <w:spacing w:val="40"/>
          <w:kern w:val="0"/>
          <w:sz w:val="40"/>
          <w:szCs w:val="40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</w:pPr>
      <w:r w:rsidRPr="003C4F75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40"/>
          <w:szCs w:val="40"/>
        </w:rPr>
        <w:t>식 품 의 약 품 안 전 청</w:t>
      </w:r>
      <w:r w:rsidRPr="003C4F75"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</w:pPr>
      <w:r w:rsidRPr="003C4F75">
        <w:rPr>
          <w:rFonts w:ascii="한양신명조,한컴돋움" w:eastAsia="한양신명조,한컴돋움" w:hAnsi="굴림" w:cs="굴림" w:hint="eastAsia"/>
          <w:b/>
          <w:bCs/>
          <w:color w:val="000000"/>
          <w:kern w:val="0"/>
          <w:sz w:val="38"/>
          <w:szCs w:val="38"/>
        </w:rPr>
        <w:lastRenderedPageBreak/>
        <w:t>유전자재조합식품안전성평가자료심사위원회</w:t>
      </w:r>
      <w:r w:rsidRPr="003C4F75">
        <w:rPr>
          <w:rFonts w:ascii="한양신명조" w:eastAsia="한양신명조" w:hAnsi="굴림" w:cs="굴림" w:hint="eastAsia"/>
          <w:color w:val="000000"/>
          <w:kern w:val="0"/>
          <w:sz w:val="40"/>
          <w:szCs w:val="40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432" w:lineRule="auto"/>
        <w:ind w:left="22" w:hanging="22"/>
        <w:jc w:val="center"/>
        <w:rPr>
          <w:rFonts w:ascii="굴림" w:eastAsia="굴림" w:hAnsi="굴림" w:cs="굴림" w:hint="eastAsia"/>
          <w:color w:val="000000"/>
          <w:kern w:val="0"/>
          <w:sz w:val="40"/>
          <w:szCs w:val="40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2" w:hanging="22"/>
        <w:jc w:val="center"/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30"/>
          <w:szCs w:val="30"/>
        </w:rPr>
        <w:t>병충해 저항성 옥수수 Bt 176 안전성평가자료 심사결과</w:t>
      </w:r>
      <w:r w:rsidRPr="003C4F75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6"/>
          <w:szCs w:val="26"/>
        </w:rPr>
        <w:t>1. 심사경위</w:t>
      </w:r>
      <w:r w:rsidRPr="003C4F7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0" w:hanging="45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○ </w:t>
      </w:r>
      <w:r w:rsidRPr="003C4F75">
        <w:rPr>
          <w:rFonts w:ascii="휴먼명조,한컴돋움" w:eastAsia="휴먼명조,한컴돋움" w:hAnsi="굴림" w:cs="굴림" w:hint="eastAsia"/>
          <w:color w:val="000000"/>
          <w:spacing w:val="-11"/>
          <w:kern w:val="0"/>
          <w:sz w:val="22"/>
        </w:rPr>
        <w:t>신젠타종묘(주)는 인시류 해충인 옥수수 조명충(Corn borer)에 의한 피해를 줄이기 위하여 유전자재조합 기술을 이용하여 개발한 병충해 저항성(cryⅠAb) 옥수수 event Bt176에 대하여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「유전자재조합식품</w:t>
      </w:r>
      <w:r w:rsidRPr="003C4F75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3C4F75">
        <w:rPr>
          <w:rFonts w:ascii="궁서" w:eastAsia="궁서" w:hAnsi="궁서" w:cs="궁서" w:hint="eastAsia"/>
          <w:color w:val="000000"/>
          <w:kern w:val="0"/>
          <w:sz w:val="22"/>
        </w:rPr>
        <w:t>식품첨가물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안전성평가자료 심사지침」에 따라 안전성 평가가 이루어졌음을 확인 받기 위하여 2003년 3월 28일 식품의약품안전청장에게 관련 자료를 첨부하여 심사 의뢰하였다.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46" w:hanging="44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○ 이에 식품의약품안전청장은 본 제품이 심사지침에 따라 안전성 평가가 이루어졌는지 여부에 대하여 '유전자재조합식품 안전성평가자료 심사위원회'(이하 심사위원회라고 함)에 검토 의뢰하고,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5" w:hanging="455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○ 심사위원회는 신청인이 제출한 자료에 근거하여 아래와 같이 심사지침에 따라 안전성 평가가 이루어졌음을 확인하였다.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61" w:hanging="261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6"/>
          <w:szCs w:val="26"/>
        </w:rPr>
        <w:t>2. 심사경과</w:t>
      </w:r>
      <w:r w:rsidRPr="003C4F7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○ 심사대상품목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bookmarkStart w:id="1" w:name="#4a05d54e"/>
      <w:bookmarkEnd w:id="1"/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tbl>
      <w:tblPr>
        <w:tblW w:w="0" w:type="auto"/>
        <w:tblInd w:w="4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1282"/>
        <w:gridCol w:w="1253"/>
        <w:gridCol w:w="4619"/>
      </w:tblGrid>
      <w:tr w:rsidR="003C4F75" w:rsidRPr="003C4F75" w:rsidTr="003C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F75" w:rsidRPr="003C4F75" w:rsidRDefault="003C4F75" w:rsidP="003C4F7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3C4F75">
              <w:rPr>
                <w:rFonts w:ascii="휴먼명조,한컴돋움" w:eastAsia="휴먼명조,한컴돋움" w:hAnsi="굴림" w:cs="굴림" w:hint="eastAsia"/>
                <w:color w:val="000000"/>
                <w:kern w:val="0"/>
                <w:sz w:val="22"/>
              </w:rPr>
              <w:t>대상품목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F75" w:rsidRPr="003C4F75" w:rsidRDefault="003C4F75" w:rsidP="003C4F7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3C4F75">
              <w:rPr>
                <w:rFonts w:ascii="휴먼명조,한컴돋움" w:eastAsia="휴먼명조,한컴돋움" w:hAnsi="굴림" w:cs="굴림" w:hint="eastAsia"/>
                <w:color w:val="000000"/>
                <w:kern w:val="0"/>
                <w:sz w:val="22"/>
              </w:rPr>
              <w:t>신청자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F75" w:rsidRPr="003C4F75" w:rsidRDefault="003C4F75" w:rsidP="003C4F7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3C4F75">
              <w:rPr>
                <w:rFonts w:ascii="휴먼명조,한컴돋움" w:eastAsia="휴먼명조,한컴돋움" w:hAnsi="굴림" w:cs="굴림" w:hint="eastAsia"/>
                <w:color w:val="000000"/>
                <w:kern w:val="0"/>
                <w:sz w:val="22"/>
              </w:rPr>
              <w:t>개발자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F75" w:rsidRPr="003C4F75" w:rsidRDefault="003C4F75" w:rsidP="003C4F75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3C4F75">
              <w:rPr>
                <w:rFonts w:ascii="휴먼명조,한컴돋움" w:eastAsia="휴먼명조,한컴돋움" w:hAnsi="굴림" w:cs="굴림" w:hint="eastAsia"/>
                <w:color w:val="000000"/>
                <w:kern w:val="0"/>
                <w:sz w:val="22"/>
              </w:rPr>
              <w:t>제외국의 안전성 확인(승인) 현황</w:t>
            </w:r>
          </w:p>
        </w:tc>
      </w:tr>
      <w:tr w:rsidR="003C4F75" w:rsidRPr="003C4F75" w:rsidTr="003C4F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F75" w:rsidRPr="003C4F75" w:rsidRDefault="003C4F75" w:rsidP="003C4F75">
            <w:pPr>
              <w:widowControl/>
              <w:wordWrap/>
              <w:autoSpaceDE/>
              <w:autoSpaceDN/>
              <w:spacing w:line="312" w:lineRule="auto"/>
              <w:jc w:val="center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 w:rsidRPr="003C4F75">
              <w:rPr>
                <w:rFonts w:ascii="휴먼명조,한컴돋움" w:eastAsia="휴먼명조,한컴돋움" w:hAnsi="굴림" w:cs="굴림" w:hint="eastAsia"/>
                <w:color w:val="000000"/>
                <w:kern w:val="0"/>
                <w:sz w:val="22"/>
              </w:rPr>
              <w:t>병충해 저항성 옥수수</w:t>
            </w:r>
            <w:r w:rsidRPr="003C4F75">
              <w:rPr>
                <w:rFonts w:ascii="명조,한컴돋움" w:eastAsia="명조,한컴돋움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C4F75">
              <w:rPr>
                <w:rFonts w:ascii="명조,한컴돋움" w:eastAsia="명조,한컴돋움" w:hAnsi="굴림" w:cs="굴림" w:hint="eastAsia"/>
                <w:color w:val="000000"/>
                <w:kern w:val="0"/>
                <w:sz w:val="22"/>
              </w:rPr>
              <w:t>Bt176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F75" w:rsidRPr="003C4F75" w:rsidRDefault="003C4F75" w:rsidP="003C4F75">
            <w:pPr>
              <w:widowControl/>
              <w:wordWrap/>
              <w:autoSpaceDE/>
              <w:autoSpaceDN/>
              <w:spacing w:line="384" w:lineRule="auto"/>
              <w:jc w:val="center"/>
              <w:rPr>
                <w:rFonts w:ascii="한양신명조" w:eastAsia="한양신명조" w:hAnsi="굴림" w:cs="굴림"/>
                <w:color w:val="000000"/>
                <w:spacing w:val="-18"/>
                <w:kern w:val="0"/>
                <w:sz w:val="22"/>
              </w:rPr>
            </w:pPr>
            <w:r w:rsidRPr="003C4F75">
              <w:rPr>
                <w:rFonts w:ascii="한양신명조,한컴돋움" w:eastAsia="한양신명조,한컴돋움" w:hAnsi="굴림" w:cs="굴림" w:hint="eastAsia"/>
                <w:color w:val="000000"/>
                <w:spacing w:val="-18"/>
                <w:kern w:val="0"/>
                <w:sz w:val="22"/>
              </w:rPr>
              <w:t>신젠타종묘(주)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F75" w:rsidRPr="003C4F75" w:rsidRDefault="003C4F75" w:rsidP="003C4F75">
            <w:pPr>
              <w:widowControl/>
              <w:wordWrap/>
              <w:autoSpaceDE/>
              <w:autoSpaceDN/>
              <w:spacing w:line="384" w:lineRule="auto"/>
              <w:ind w:left="499" w:hanging="499"/>
              <w:jc w:val="center"/>
              <w:rPr>
                <w:rFonts w:ascii="휴먼명조" w:eastAsia="휴먼명조" w:hAnsi="굴림" w:cs="굴림"/>
                <w:color w:val="000000"/>
                <w:spacing w:val="-18"/>
                <w:kern w:val="0"/>
                <w:sz w:val="22"/>
              </w:rPr>
            </w:pPr>
            <w:r w:rsidRPr="003C4F75">
              <w:rPr>
                <w:rFonts w:ascii="휴먼명조,한컴돋움" w:eastAsia="휴먼명조,한컴돋움" w:hAnsi="굴림" w:cs="굴림" w:hint="eastAsia"/>
                <w:color w:val="000000"/>
                <w:spacing w:val="-18"/>
                <w:kern w:val="0"/>
                <w:sz w:val="22"/>
              </w:rPr>
              <w:t>Syngenta Seeds 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F75" w:rsidRPr="003C4F75" w:rsidRDefault="003C4F75" w:rsidP="003C4F75">
            <w:pPr>
              <w:widowControl/>
              <w:wordWrap/>
              <w:autoSpaceDE/>
              <w:autoSpaceDN/>
              <w:spacing w:line="384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  <w:r w:rsidRPr="003C4F75">
              <w:rPr>
                <w:rFonts w:ascii="한양신명조,한컴돋움" w:eastAsia="한양신명조,한컴돋움" w:hAnsi="굴림" w:cs="굴림" w:hint="eastAsia"/>
                <w:color w:val="000000"/>
                <w:kern w:val="0"/>
                <w:sz w:val="22"/>
              </w:rPr>
              <w:t>미국(1995), 캐나다(1995), 일본(1996), EU(1997), 호주/뉴질랜드(2001), 남아프리카공화국(2001)</w:t>
            </w:r>
          </w:p>
        </w:tc>
      </w:tr>
    </w:tbl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○ 심사경과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939" w:hanging="193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- 2003년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3월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28일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안전성 평가자료심사의뢰 접수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596" w:hanging="259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- 2003년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4월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03일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유전자재조합식품 안전성평가자료 심사위원회에 전문분야별 평가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042" w:hanging="204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      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자료의 타당성 검토의뢰 (1차 서면심사)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939" w:hanging="165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- 2003년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9 월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30일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심사위원회 (2차 심사)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939" w:hanging="165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- 2003년 10 월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21일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보완요청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939" w:hanging="165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- 2003년 12 월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18일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보완자료 제출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939" w:hanging="1661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- 2003년 12 월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23일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심사위원회 (3차 심사)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939" w:hanging="1661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- 2003년 12 월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30일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최종보고서 작성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6"/>
          <w:szCs w:val="26"/>
        </w:rPr>
        <w:t>3. 심사방법</w:t>
      </w:r>
      <w:r w:rsidRPr="003C4F7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500" w:hanging="500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5" w:hanging="455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○ 본 제품과 관련하여 심사 의뢰된 유전자재조합체가 심사지침의 적용대상인지를 검토하고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557" w:hanging="55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○ 제출된 안전성 평가자료가 심사지침에서 요구하는 자료를 갖추었는지를 확인하여 미비한 부분에 대해서는 보완하도록 한 후 자료의 내용을 토대로 안전성 평가자료를 심사하였다.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73" w:hanging="473"/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6"/>
          <w:szCs w:val="26"/>
        </w:rPr>
        <w:t>4. 심사의뢰 자료 검토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4-1. 심사 의뢰된 식품의 개요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588" w:hanging="58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심사 의뢰된 BT176옥수수는 유전자재조합기술에 의하여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Bacillus thuringiensis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subsp.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Kurstaki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종에서 유래된 CryIAb 단백질의 일부분 (1,156개의 아미노산중 648개의 아미노산)을 발현 생산하여 인시류 (Lepidopterous) 곤충에 대한 저항성을 갖도록 개발되었다.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60" w:lineRule="auto"/>
        <w:ind w:left="526" w:hanging="52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color w:val="000000"/>
          <w:spacing w:val="-11"/>
          <w:kern w:val="0"/>
          <w:sz w:val="22"/>
        </w:rPr>
        <w:t xml:space="preserve">변형된 CryIAb 단백질은 인시류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같은 해충에 대한 저항성을 갖도록 하며, PAT 단백질은 Bt 176 옥수수의 선발표지인자로 사용되었다.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524" w:hanging="52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제출된 자료는 도입된 유전자와 그 발현 단백질인 CryIAb와 PAT 단백질의 안전성을 설명하고 있으며, Bt176은 도입된 유전자에 의한 변형이외에는 현재 판매되고 있는 일반적인 옥수수와 비교하여 유의적 차이가 없고, 안전성이나 영양적으로 유사하다는 것을 증명하고 있다.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4-2. 식품으로의 적합성 검토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5" w:hanging="455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○ 본 제품과 관련하여 제출된 안전성 평가자료가 「유전자재조합식품</w:t>
      </w:r>
      <w:r w:rsidRPr="003C4F75">
        <w:rPr>
          <w:rFonts w:ascii="MS Mincho" w:eastAsia="MS Mincho" w:hAnsi="MS Mincho" w:cs="MS Mincho" w:hint="eastAsia"/>
          <w:color w:val="000000"/>
          <w:kern w:val="0"/>
          <w:sz w:val="22"/>
        </w:rPr>
        <w:t>・</w:t>
      </w:r>
      <w:r w:rsidRPr="003C4F75">
        <w:rPr>
          <w:rFonts w:ascii="궁서" w:eastAsia="궁서" w:hAnsi="궁서" w:cs="궁서" w:hint="eastAsia"/>
          <w:color w:val="000000"/>
          <w:kern w:val="0"/>
          <w:sz w:val="22"/>
        </w:rPr>
        <w:t>식품첨가물안전성평가자료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심사지침」심사지침 제8조 ②항 및 ③항의 규정에서 요구하는 자료를 만족시키는지 여부를 검토하였으며,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5" w:hanging="455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○ 규정에 따라 제출된 자료가 유전자재조합식품 안전성연구회 보고서(2000) 세부지침 ‘안전성 평가 흐름도’에 따라 심사가 가능한지를 확인하여 미비한 부분에 대해서는 보완하도록 한 후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45" w:hanging="445"/>
        <w:rPr>
          <w:rFonts w:ascii="한양신명조" w:eastAsia="한양신명조" w:hAnsi="굴림" w:cs="굴림" w:hint="eastAsia"/>
          <w:color w:val="000000"/>
          <w:kern w:val="0"/>
          <w:sz w:val="22"/>
        </w:rPr>
      </w:pPr>
      <w:r w:rsidRPr="003C4F75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○ 일부 제출되지 않은 자료는 제8조 ④항에 의한 충분한 사유가 인정되거나 제9조 ④항 5호의 적용이 가능하여,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564" w:hanging="56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○ 자료의 내용을 토대로 식품으로서의 안전성이 확보되어 있는 지를 심사하였다.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4-2-1 유전자재조합체의 안전성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가. 유전자재조합체의 이용목적 및 이용방법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873" w:hanging="873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재배방법, 이용목적, 이용방법은 기존의 옥수수와 동일하다.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38" w:hanging="63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Bt176옥수수는 유전자재조합기술에 의하여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Bacillus thuringiensis subsp. Kurstaki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종에서 유래된 CryI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A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b 단백질의 일부분 (1,156개의 아미노산중 648개의 아미노산)을 발현 생산하도록 개발하여 인시류 (lepidopterous) 곤충에 대한 저항성을 갖도록 하여, 재배과정에서 이들의 방제를 위한 약제사용을 줄일 수 있도록 하였다.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나. 숙주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(1) 분류학적 특성(학명, 일반명, 품종, 계통명 등)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firstLine="13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학명 :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Zea mays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L.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firstLine="13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일반명 : 옥수수(corn(미국), maize(그 외 지역)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firstLine="13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품종명 :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Zea mays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L. CG00526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(2) 식품에 이용된 역사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887" w:hanging="40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숙주인 옥수수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Zea mays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L.은 광범위한 사람의 안전한 식경험이 있으며,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842" w:hanging="84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전분이나 식용유(옥수수기름)로 제빵, 유제품, 주류, 제과 및 육류의 구성요소로 광범위하게 사용되고 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(3) 유해생리활성물질 생산성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907" w:hanging="4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옥수수의 유해 생리 활성 물질의 생성 등은 알려지지 않았다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(4) 알레르기 유발성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10" w:hanging="62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옥수수에 기인하여 알려진 알레르기 발생은 지금까지 없다.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(5) 병원성 및 외래인자(바이러스 등)에 오염여부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10" w:hanging="62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해당사항 없음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(6) 생존 및 증식능력과 이를 제한하는 조건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10" w:hanging="62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일반 옥수수 농작물의 생존</w:t>
      </w:r>
      <w:r w:rsidRPr="003C4F75">
        <w:rPr>
          <w:rFonts w:ascii="MS Mincho" w:eastAsia="MS Mincho" w:hAnsi="MS Mincho" w:cs="MS Mincho" w:hint="eastAsia"/>
          <w:color w:val="000000"/>
          <w:kern w:val="0"/>
          <w:sz w:val="22"/>
        </w:rPr>
        <w:t>・</w:t>
      </w:r>
      <w:r w:rsidRPr="003C4F75">
        <w:rPr>
          <w:rFonts w:ascii="궁서" w:eastAsia="궁서" w:hAnsi="궁서" w:cs="궁서" w:hint="eastAsia"/>
          <w:color w:val="000000"/>
          <w:kern w:val="0"/>
          <w:sz w:val="22"/>
        </w:rPr>
        <w:t>증식능력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및 그 제한과 같다.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54" w:hanging="4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다. 벡터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(1) 명칭 및 유래(공여체)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630" w:hanging="114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명칭 : 두 개의 플라스미드가 벡터로 사용되었다.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 </w:t>
      </w:r>
      <w:r w:rsidRPr="003C4F75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pCIB3064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 </w:t>
      </w:r>
      <w:r w:rsidRPr="003C4F75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pCIB4431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630" w:hanging="114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유래 : 두 플라스미드는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E.coli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유래의 pUC18의 유도체이다.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630" w:hanging="1144"/>
        <w:rPr>
          <w:rFonts w:ascii="휴먼명조" w:eastAsia="휴먼명조" w:hAnsi="굴림" w:cs="굴림" w:hint="eastAsia"/>
          <w:color w:val="000000"/>
          <w:kern w:val="0"/>
          <w:szCs w:val="20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Cs w:val="20"/>
        </w:rPr>
        <w:t>   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Cs w:val="20"/>
        </w:rPr>
        <w:t>플라스미드에 삽입된 유전자의 유래는 다음과 같다.</w:t>
      </w:r>
      <w:r w:rsidRPr="003C4F75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349" w:hanging="155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pCIB3064 : phosphinothricine acetyltransferase(PAT)를 코딩하는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bar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유전자의 유래는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Streptomyces hygroscopicus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이며, 이 유전자는 CaMV (cauliflower 모자이크 바이러스)에서 유래된 35S 전사개시인자와 35S 전사종결인자에 의해 조절된다.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2416" w:hanging="162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pCIB4431 :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 xml:space="preserve">Bacillus thuringiensis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subsp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. kurstaki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균주 유래의 합성 절단된 2개의 cryI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Ab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유전자를 포함한다. 두 유전자는 옥수수 phosphoenolpyruvate carboxylase 유전자에서 유래된 인트론 #9을 갖는다. 첫 번째 cryI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Ab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유전자는 옥수수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phosphoenolpyruvate carboxylase 유전자에서 유래된 전사개시인자(PEPC promoter)와 CaMV35S 전사종결인자의 조절을 받으며, 두 번째 cryI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 xml:space="preserve">Ab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유전자는 옥수수의 calcium-dependent protein kinase 유전자에서 유래된 전사개시인자 (pollen promoter)와 CaMV35S 전사종결인자의 조절을 받는다.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(2) 성질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27" w:hanging="283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(가) DNA의 분자량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27" w:hanging="283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pCIB3064 : 3,986 bp(구조유전자 포함)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pCIB4431 : 11,043 bp(구조유전자 포함)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27" w:hanging="283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(나) 제한효소에 의한 절단지도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27" w:hanging="283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제시되었다.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04" w:hanging="106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(다) </w:t>
      </w:r>
      <w:r w:rsidRPr="003C4F75">
        <w:rPr>
          <w:rFonts w:ascii="휴먼명조,한컴돋움" w:eastAsia="휴먼명조,한컴돋움" w:hAnsi="굴림" w:cs="굴림" w:hint="eastAsia"/>
          <w:color w:val="000000"/>
          <w:spacing w:val="-11"/>
          <w:kern w:val="0"/>
          <w:sz w:val="22"/>
        </w:rPr>
        <w:t>유해염기배열 등의 유무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26" w:hanging="1426"/>
        <w:rPr>
          <w:rFonts w:ascii="휴먼명조" w:eastAsia="휴먼명조" w:hAnsi="굴림" w:cs="굴림" w:hint="eastAsia"/>
          <w:color w:val="000000"/>
          <w:spacing w:val="-11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spacing w:val="-11"/>
          <w:kern w:val="0"/>
          <w:sz w:val="22"/>
        </w:rPr>
        <w:t>  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spacing w:val="-11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pUC18 플라스미드에서는 어떤 유해염기서열도 일어났다는 보고가 없으며, pUC18 플라스미드로부터 유래한 pCIB3064/pCIB4431 역시 유해염기서열을 포함하고 있지 않다</w:t>
      </w:r>
      <w:r w:rsidRPr="003C4F75">
        <w:rPr>
          <w:rFonts w:ascii="휴먼명조" w:eastAsia="휴먼명조" w:hAnsi="굴림" w:cs="굴림" w:hint="eastAsia"/>
          <w:color w:val="000000"/>
          <w:spacing w:val="-11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(3) 숙주에서의 복제수 및 안정성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897" w:hanging="411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복제기점 (Ori)이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E. coli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플라스미드인 pBR322로부터 유래한 것이므로 일반 식물체에서는 독립적으로 생존</w:t>
      </w:r>
      <w:r w:rsidRPr="003C4F75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3C4F75">
        <w:rPr>
          <w:rFonts w:ascii="궁서" w:eastAsia="궁서" w:hAnsi="궁서" w:cs="궁서" w:hint="eastAsia"/>
          <w:color w:val="000000"/>
          <w:kern w:val="0"/>
          <w:sz w:val="22"/>
        </w:rPr>
        <w:t>증식하지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않고, 다른 식물체로 전달되지 않는다.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(4) 선발표지형질유전자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873" w:hanging="52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선발표지형질유전자로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bla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유전자와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bar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유전자가 사용되었다.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873" w:hanging="52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 xml:space="preserve">bla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유전자는 Ampicillin 항생제에 대한 저항성을 제공하여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pCIB3064/pCIB4431 플라스미드를 함유한 세균의 선별을 위하여 사용된다.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873" w:hanging="529"/>
        <w:rPr>
          <w:rFonts w:ascii="한양신명조" w:eastAsia="한양신명조" w:hAnsi="굴림" w:cs="굴림" w:hint="eastAsia"/>
          <w:color w:val="000000"/>
          <w:kern w:val="0"/>
          <w:szCs w:val="20"/>
        </w:rPr>
      </w:pPr>
      <w:r w:rsidRPr="003C4F75">
        <w:rPr>
          <w:rFonts w:ascii="한양신명조,한컴돋움" w:eastAsia="한양신명조,한컴돋움" w:hAnsi="굴림" w:cs="굴림" w:hint="eastAsia"/>
          <w:color w:val="000000"/>
          <w:kern w:val="0"/>
          <w:szCs w:val="20"/>
        </w:rPr>
        <w:t>   </w:t>
      </w:r>
      <w:r w:rsidRPr="003C4F75">
        <w:rPr>
          <w:rFonts w:ascii="한양신명조,한컴돋움" w:eastAsia="한양신명조,한컴돋움" w:hAnsi="굴림" w:cs="굴림" w:hint="eastAsia"/>
          <w:color w:val="000000"/>
          <w:kern w:val="0"/>
          <w:szCs w:val="20"/>
        </w:rPr>
        <w:t xml:space="preserve">- </w:t>
      </w:r>
      <w:r w:rsidRPr="003C4F75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Cs w:val="20"/>
        </w:rPr>
        <w:t xml:space="preserve">bar </w:t>
      </w:r>
      <w:r w:rsidRPr="003C4F75">
        <w:rPr>
          <w:rFonts w:ascii="한양신명조,한컴돋움" w:eastAsia="한양신명조,한컴돋움" w:hAnsi="굴림" w:cs="굴림" w:hint="eastAsia"/>
          <w:color w:val="000000"/>
          <w:kern w:val="0"/>
          <w:szCs w:val="20"/>
        </w:rPr>
        <w:t xml:space="preserve">유전자는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glufosinate 제초제에 저항성을 제공하여 pCIB3064 플라스미드를 함유한 식물세포의 선별을 위하여 사용된다</w:t>
      </w:r>
      <w:r w:rsidRPr="003C4F75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(5) 전달성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914" w:hanging="42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세균간의 전달성은 전달에 관여하는 유전자인 tra 유전자와 이동에 관여하는 유전자인mob 유전자에 의해 일어나지만, pUC18 플라스미드는 이들 유전자를 포함하지 않기 때문에 전달성이 없다.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(6) 숙주의존성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933" w:hanging="44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pUC 플라스미드로부터 유도된 플라스미드인 pCIB3064와 pCIB4431는 대장균에서만 증식이 가능한 ori배열이 포함되고 있어, 다른 식물 등에서는 증식 할 수 없다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(7) 벡터의 제작방법 및 구조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제시되었다.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(8) 숙주에 발현 벡터의 삽입방법</w:t>
      </w:r>
      <w:r w:rsidRPr="003C4F75">
        <w:rPr>
          <w:rFonts w:ascii="MS Mincho" w:eastAsia="MS Mincho" w:hAnsi="MS Mincho" w:cs="MS Mincho" w:hint="eastAsia"/>
          <w:color w:val="000000"/>
          <w:kern w:val="0"/>
          <w:sz w:val="22"/>
        </w:rPr>
        <w:t>・</w:t>
      </w:r>
      <w:r w:rsidRPr="003C4F75">
        <w:rPr>
          <w:rFonts w:ascii="궁서" w:eastAsia="궁서" w:hAnsi="궁서" w:cs="궁서" w:hint="eastAsia"/>
          <w:color w:val="000000"/>
          <w:kern w:val="0"/>
          <w:sz w:val="22"/>
        </w:rPr>
        <w:t>위치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14" w:hanging="52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입자총법으로 삽입되었으며, 옥수수의 염색체에 삽입되었다.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라. 삽입 DNA 관련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(1) 공여체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98" w:hanging="11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(가) 명칭 및 분류학적 특성 (학명, 품종명, 계통명 등)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83" w:hanging="11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 xml:space="preserve">cryIAb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유전자는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 xml:space="preserve">Bacillus thuringiensis var. Kurstaki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부터 유래되었다.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83" w:hanging="11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 xml:space="preserve">bar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유전자는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Streptomyces hygroscopicus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로부터 기원한다.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98" w:hanging="11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(나) 식품에 이용된 역사 및 섭취현황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25" w:hanging="73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B. thuringiensi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s 및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S. hygroscopicus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는 식품으로 직접 사용된 역사는 없지만, 토양에 상존하는 미생물로 식품오염을 통한 섭취의 경험이 있다. 그러나 이들이 인체에 유해성을 나타낸다는 보고는 없다.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firstLine="98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B. thuringiensis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제제는 생물학적 살충제(미생물 농약)로 30년 이상 사용되어 왔다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98" w:hanging="11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(다) 공여체 및 근연종의 병원성 및 유해생리활성물질 생산성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31" w:hanging="74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B. thurigiensis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와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S. hygroscopicus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는 인체에 유해성을 나타내는 유해생리활성 물질의 생산은 보고된 바 없다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98" w:hanging="11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(라) 알레르기 유발성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26" w:hanging="74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B. thurigiensis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와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S. hygroscopicus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가 알레르기를 유발한다고 보고된 바는 없다.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26" w:hanging="74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(마) 병원성 외래인자(바이러스 등)에 오염여부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26" w:hanging="74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해당사항이 없다.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26" w:hanging="740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(2) 삽입 DNA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98" w:hanging="11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(가) 구조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41" w:hanging="106"/>
        <w:rPr>
          <w:rFonts w:ascii="휴먼명조" w:eastAsia="휴먼명조" w:hAnsi="굴림" w:cs="굴림" w:hint="eastAsia"/>
          <w:color w:val="000000"/>
          <w:kern w:val="0"/>
          <w:szCs w:val="20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Cs w:val="20"/>
        </w:rPr>
        <w:t>1) 전사개시인자(Promotor)</w:t>
      </w:r>
      <w:r w:rsidRPr="003C4F75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firstLine="125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pCIB3064 : CaMV의 35S 프로모터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3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pCIB4431 : 옥수수의 PEPC 프로모터, 옥수수의 화분 promoter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41" w:hanging="117"/>
        <w:rPr>
          <w:rFonts w:ascii="휴먼명조" w:eastAsia="휴먼명조" w:hAnsi="굴림" w:cs="굴림" w:hint="eastAsia"/>
          <w:color w:val="000000"/>
          <w:kern w:val="0"/>
          <w:szCs w:val="20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Cs w:val="20"/>
        </w:rPr>
        <w:t>2) 전사종결인자(Terminator)</w:t>
      </w:r>
      <w:r w:rsidRPr="003C4F75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firstLine="123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pCIB3064 : CaMV의 35S 전사종결인자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firstLine="121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pCIB4431 : CaMV의 35S 전사종결인자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41" w:hanging="147"/>
        <w:rPr>
          <w:rFonts w:ascii="휴먼명조" w:eastAsia="휴먼명조" w:hAnsi="굴림" w:cs="굴림" w:hint="eastAsia"/>
          <w:color w:val="000000"/>
          <w:kern w:val="0"/>
          <w:szCs w:val="20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Cs w:val="20"/>
        </w:rPr>
        <w:t>3) 삽입염기서열 및 주변유전자 배열</w:t>
      </w:r>
      <w:r w:rsidRPr="003C4F75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firstLine="120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pCIB3064 : 0.6kb의 bar 유전자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firstLine="118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pCIB4431 : 1.94kb의 cryIAb 유전자, 0.11kb의 PEPC intron#9,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98" w:hanging="11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(나) 성질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82" w:hanging="47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1) 삽입 DNA의 기능에 관한 자료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392" w:hanging="139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부분적인 cryIAb 유전자는 CryIAB 단백질을 합성하며 이 단백질은 인시류 (lepidopterous) 곤충에 대한 저항성을 갖도록 한다.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54" w:hanging="31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 xml:space="preserve">bar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유전자는 glufosinate 제초제에 저항성을 제공하는 phosphinothricin acetyltransferase (PAT)를 합성하며, 형질 전환된 식물체에 대한 선별에 사용되었다.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82" w:hanging="47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2) 제한효소에 의한 절단지도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82" w:hanging="47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제시되었다.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82" w:hanging="47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3) 분자량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522" w:hanging="103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두 개의 플라스미드가 삽입되었으며 pCIB3064는 3,986bp(구조유전자 포함), pCIB4431은 11,043bp(구조유전자 포함)이다.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20" w:hanging="31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4) 유해염기서열의 유무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590" w:hanging="1105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유해 염기서열을 포함하고 있지 않음.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98" w:hanging="11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(다) 안정성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27" w:hanging="74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RFLP (restriction fragment length polymorphism) mapping 및 southern blot으로 안정함을 확인하였으며, 4 세대에 걸쳐서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삽입유전자의 안정성이 있었다.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98" w:hanging="11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(마) 발현부위, 발현시기, 발현량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60" w:lineRule="auto"/>
        <w:ind w:left="1193" w:hanging="18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CryIAb 단백질은 잎과 화분, 전체 식물체에서 검출되었다. 종자에서는 CryIAb의 양이 일관되게 정량한계 (&lt;5ng CryIAb/g fr. wt.;&lt;8ppb) 이하로 발현되었다.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60" w:lineRule="auto"/>
        <w:ind w:left="1188" w:hanging="19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PAT는 잎, 줄기, 옥수수심 등 전체 식물체에 미량으로 존재하지만, 어떤 조직에서도 정량할 수 있는 양에는 못 미쳤다. 종자와 화분에서는 검출할 수 없었다.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60" w:lineRule="auto"/>
        <w:ind w:left="1168" w:hanging="19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Ampicillin 내성 활성을 부여하는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bla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유전자는 원핵생물 전사개시인자의 통제하에 있기 때문에 그 발현은 없었다.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98" w:hanging="11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(바) 외래 전사해독프레임의 유무와 그 전사 및 발현 가능성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22" w:hanging="73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CryIAb 단백질과 PAT 단백질을 생산하는 유전자 이외의 유전자는 없다.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마. 유전자재조합체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(1) 재조합에 의해 새로이 부과된 성질(유전자산물)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978" w:hanging="1493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내충성 : CryIA(b) 단백질을 합성하며 이 단백질은 인시류 (lepidopterous) 곤충에 대한 저항성을 부여하였다.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60" w:lineRule="auto"/>
        <w:ind w:left="2498" w:hanging="171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제초제 내성 : phosphinothricin acetyltransferase (PAT)를 합성하여 glufosinate 제초제에 저항성을 부여하였다.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(2) 유전자재조합체의 생존</w:t>
      </w:r>
      <w:r w:rsidRPr="003C4F75">
        <w:rPr>
          <w:rFonts w:ascii="MS Mincho" w:eastAsia="MS Mincho" w:hAnsi="MS Mincho" w:cs="MS Mincho" w:hint="eastAsia"/>
          <w:color w:val="000000"/>
          <w:kern w:val="0"/>
          <w:sz w:val="22"/>
        </w:rPr>
        <w:t>・</w:t>
      </w:r>
      <w:r w:rsidRPr="003C4F75">
        <w:rPr>
          <w:rFonts w:ascii="궁서" w:eastAsia="궁서" w:hAnsi="궁서" w:cs="궁서" w:hint="eastAsia"/>
          <w:color w:val="000000"/>
          <w:kern w:val="0"/>
          <w:sz w:val="22"/>
        </w:rPr>
        <w:t>증식에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대한 정보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13" w:hanging="52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Bt176 옥수수의 생존, 증식 능력은 기존의 옥수수 품종과 동일하여, 생존 증식력의 제한 요인에 대해서도 기존의 옥수수와 같다.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(3) 유전자산물의 독성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34" w:hanging="54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신규 삽입된 유전자에 의하여 발현되는 단백질은 CryIAb 단백질과 PAT 단백질이며, 이들에 대한 독성실험에서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946" w:hanging="183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암수 각각 5마리씩의 쥐에서 CryIAb 단백질을 3,283mg/kg의 양으로 투여한 결과는 어떤 쥐도 폐사하지 않았으며, 특이한 임상적 이상도 발견되지 않았다.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01" w:hanging="185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- 암수 각각 5마리씩의 쥐에서 PAT 단백질을 2,576mg/kg의 양으로 투여한 결과, 수컷 쥐 한 마리가 죽었으나 사인은 고체물질에 의한 식도 막힘 증상으로 독성에 의한 임상증상은 없다.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998" w:hanging="18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PAT 단백질의 안전성에 대한 확인은 ‘PAT 단백질이 인간이나 기타 동물에 유독하다는 것을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나타내는 증거를 찾을 수 없다 (OECD, 1999; EPA, 1997).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70" w:hanging="107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PAT 단백질과 Cry1Ab 단백질의 알려진 독성과의 상동성 시험 결과 어떠한 상동성도 없었다.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38" w:hanging="43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(4) 유전자 산물이 대사경로에 미치는 영향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08" w:hanging="5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기존 대사경로와 반응하지 않는 두 개의 별도 단백질(CryⅠA(b), PAT)을 생산하므로 기존의 대사경로에 영향을 미치지 않는다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912" w:hanging="91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(5) </w:t>
      </w:r>
      <w:r w:rsidRPr="003C4F75">
        <w:rPr>
          <w:rFonts w:ascii="휴먼명조,한컴돋움" w:eastAsia="휴먼명조,한컴돋움" w:hAnsi="굴림" w:cs="굴림" w:hint="eastAsia"/>
          <w:color w:val="000000"/>
          <w:spacing w:val="-4"/>
          <w:kern w:val="0"/>
          <w:sz w:val="22"/>
        </w:rPr>
        <w:t>숙주와의 차이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949" w:hanging="53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자연적인 식물 방어 화합물인 DIMBOA (2,4-diydroxy-7methoxy- 2H-1,4-benzoxazin -3(4H)-one)을 더 안정한 MBOA (6-methoxy-2(3H)-benzoxazolone)으로 전환시킨 후에 HPLC를 이용하여 분석한 Bt-176 옥수수와 비유전자재조합 옥수수와의 MBOA 수치는 각각 0.84±0.36 와 0.86±0.38 mg/g wt.이었으며 통계적인 유의성은 없는 것으로 나타났다. 이는 유전자 변형 Bt-176 옥수수가 변형되지 않은 옥수수와 실질적으로 동등하다는 것을 나타낸다.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87" w:hanging="128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(6) 알레르기성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98" w:hanging="115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(가) 공여체인 생물이 식품으로 이용된 역사에 관한 자료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69" w:hanging="116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B. thuringiensis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및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S. hygroscopicus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는 식품으로 소비되지는 않지만, 잘 씻지 않은 식품에 흔히 발견될 수 있는 미생물이다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42" w:hanging="18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B. turingiensis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제제는 생물학적 살충제로서 30년 이상 사용되었다.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(나) 유전자산물이 식품으로 이용된 역사에 관한 자료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86" w:hanging="118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본 유전자재조합 옥수수는 </w:t>
      </w:r>
      <w:r w:rsidRPr="003C4F75">
        <w:rPr>
          <w:rFonts w:ascii="한양신명조,한컴돋움" w:eastAsia="한양신명조,한컴돋움" w:hAnsi="굴림" w:cs="굴림" w:hint="eastAsia"/>
          <w:color w:val="000000"/>
          <w:kern w:val="0"/>
          <w:sz w:val="22"/>
        </w:rPr>
        <w:t xml:space="preserve">미국(1995), 캐나다(1995), 일본(1996) 등에서 1995년부터 상업화되어 먹어온 경험이 있다. 또한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유전자 산물의 공여체 미생물이 식품에 오염된 형태로 섭취된 역사는 있다.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(다) 유전자산물의 물리화학적 처리에 대한 감수성에 관한 자료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71" w:hanging="1171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CryIAb는 인공위액 실험에서 펩신 농도인 0.001X 표준농도에서는 10분 안에, 0.01X 표준농도에서 5분 안에 신속히 분해되었다.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firstLine="95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- PAT는 펩신을 0.01X 표준농도로 희석하였을 때, 2분안에 분해되었다.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35" w:hanging="1035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(라) </w:t>
      </w:r>
      <w:r w:rsidRPr="003C4F75">
        <w:rPr>
          <w:rFonts w:ascii="휴먼명조,한컴돋움" w:eastAsia="휴먼명조,한컴돋움" w:hAnsi="굴림" w:cs="굴림" w:hint="eastAsia"/>
          <w:color w:val="000000"/>
          <w:spacing w:val="-9"/>
          <w:kern w:val="0"/>
          <w:sz w:val="22"/>
        </w:rPr>
        <w:t>유전자산물 중 이미 알려져 있는 식품 알레르겐과 구조적으로 같은 성질에 관한 자료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63" w:hanging="421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Cry1Ab와 PAT 유전자의 이미 알려져 있는 알레르겐과의 상동성 비교 결과 알려진 독성단백질과의 유효한 상동성은 발견되지 않았다.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323" w:hanging="1323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(마) 유전자산물이 1일 단백질 섭취량의 유의한 양을 차지하고 있는지에 관한 자료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60" w:lineRule="auto"/>
        <w:ind w:left="1188" w:hanging="118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습식 제분된 부분에서 Cry1Ab는 어떤 부분에서도 검출되지 않았고 건식 제분된 부분에서는 5 ppb 이하만이 발견되었다. Cry1Ab 단백질과 PAT 단백질은 모두 정량화 수준 이하였다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(7) 유전자재조합체의 불활성화 방법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02" w:hanging="51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color w:val="000000"/>
          <w:spacing w:val="-11"/>
          <w:kern w:val="0"/>
          <w:sz w:val="22"/>
        </w:rPr>
        <w:t xml:space="preserve">인시류 해충인 옥수수 조명충에 저항성을 가지는 것 외에는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기존의 일반 옥수수와 불활성화 방법이 동일하다.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(8) 외국의 인가</w:t>
      </w:r>
      <w:r w:rsidRPr="003C4F75">
        <w:rPr>
          <w:rFonts w:ascii="MS Mincho" w:eastAsia="MS Mincho" w:hAnsi="MS Mincho" w:cs="MS Mincho" w:hint="eastAsia"/>
          <w:color w:val="000000"/>
          <w:kern w:val="0"/>
          <w:sz w:val="22"/>
        </w:rPr>
        <w:t>・</w:t>
      </w:r>
      <w:r w:rsidRPr="003C4F75">
        <w:rPr>
          <w:rFonts w:ascii="궁서" w:eastAsia="궁서" w:hAnsi="궁서" w:cs="궁서" w:hint="eastAsia"/>
          <w:color w:val="000000"/>
          <w:kern w:val="0"/>
          <w:sz w:val="22"/>
        </w:rPr>
        <w:t>식용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등의 현황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47" w:hanging="56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미국 (1995), 캐나다 (1996), 일본 (1996), EU (1997), 호주/뉴질랜드 (2001), 남아프리카공화국 (2001)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329" w:hanging="329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6"/>
          <w:szCs w:val="26"/>
        </w:rPr>
        <w:t>4-2-2 유전자재조합식품 등의 안전성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249" w:hanging="124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349" w:hanging="34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가. 일반자료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80" w:hanging="32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(1) 사용방법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11" w:hanging="52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식용 및 사료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11" w:hanging="52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(2) 제조과정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02" w:hanging="51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재배과정에서 Bt176 계통은 인시류해충에 대한 저항성 차이를 제외하고는 기존의 옥수수와 동일하다.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349" w:hanging="34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349" w:hanging="34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나. 실질적 동등성에 의한 안전성 평가 자료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349" w:hanging="34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(1) 식품으로 사용된 역사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62" w:hanging="106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Bt176 계통은 미국, 일본 등에서 1995년부터 식품으로 허용되어 사용되었으며, 도입된 유전자에 의한 발현단백질이외는 기존의 사용역사가 오래된 옥수수와 동일하다.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116" w:hanging="111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(2) 구성성분에 관한 자료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52" w:hanging="145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(가) 주요영양성분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23" w:hanging="1423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다양한 구성성분들(단백질, 지방, 회분, 수분, 섬유질, 아미노산, 지방산 등)을 분석한 결과 기존의 옥수수와 통계적으로 유의한 차이는 없었다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52" w:hanging="145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(나) 미량영양성분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54" w:hanging="96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미량영양성분인 Ca. Mg 등에 대한 분석결과 문헌에 보고된 성분함량의 범위내에 있었다.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52" w:hanging="145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(다) 내재성독소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52" w:hanging="145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유전자삽입에 의한 내재성 독소의 생성은 없으며 기존의 옥수수와 동일하다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52" w:hanging="145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(라) 영양억제인자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80" w:hanging="994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DIMBOA를 조사한 결과 기존 옥수수와의 유의차는 없다.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52" w:hanging="145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(마) 알레르기유발성분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448" w:hanging="96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옥수수는 알레르기 유발이 낮은 식품이며, 유전자재조합체에 의하여 생산된 두 단백질은 물리화학적 처리에서 빨리 분해되고, 알려진 알레르겐과의 서열 상동성 분석결과 유의적인 상동성이 없으므로 알레르기유발성에 대해서는 기존의 옥수수와 동일하다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20" w:hanging="102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(바) 삽입된 유전자의 산물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551" w:hanging="1551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기존 옥수수와의 차이는 유전자 삽입으로 발현된 2개의 CryIAb와 PAT 단백질로 이들 단백질이 위해성을 나타나지 않으므로 기존의 옥수수만큼 안전하다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20" w:hanging="1020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(3) 예상 섭취량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78" w:hanging="1078"/>
        <w:rPr>
          <w:rFonts w:ascii="휴먼명조" w:eastAsia="휴먼명조" w:hAnsi="굴림" w:cs="굴림" w:hint="eastAsia"/>
          <w:color w:val="FF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FF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FF0000"/>
          <w:kern w:val="0"/>
          <w:sz w:val="22"/>
        </w:rPr>
        <w:t xml:space="preserve"> </w:t>
      </w:r>
      <w:r w:rsidRPr="003C4F75">
        <w:rPr>
          <w:rFonts w:ascii="휴먼명조,한컴돋움" w:eastAsia="휴먼명조,한컴돋움" w:hAnsi="굴림" w:cs="굴림" w:hint="eastAsia"/>
          <w:color w:val="0000FF"/>
          <w:kern w:val="0"/>
          <w:sz w:val="22"/>
        </w:rPr>
        <w:t>    </w:t>
      </w:r>
      <w:r w:rsidRPr="003C4F75">
        <w:rPr>
          <w:rFonts w:ascii="휴먼명조,한컴돋움" w:eastAsia="휴먼명조,한컴돋움" w:hAnsi="굴림" w:cs="굴림" w:hint="eastAsia"/>
          <w:color w:val="0000FF"/>
          <w:kern w:val="0"/>
          <w:sz w:val="22"/>
        </w:rPr>
        <w:t xml:space="preserve">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일반적으로 옥수수를 섭취하는 형태는 제분된 형태이다. 유전자삽입에 의해 발현되는 Cry1Ab는 습식 제분된 전분에서는 어떤 부분에서도 검출되지 않았고,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건식 제분된 부분에서는 5 ppb 이하 정도이다. PAT 단백질은 모두 정량화 수준 이하이다.</w:t>
      </w:r>
      <w:r w:rsidRPr="003C4F75">
        <w:rPr>
          <w:rFonts w:ascii="휴먼명조" w:eastAsia="휴먼명조" w:hAnsi="굴림" w:cs="굴림" w:hint="eastAsia"/>
          <w:color w:val="FF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1066" w:hanging="1066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  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그러므로 유전자삽입에 의해 발현되는 2개의 단백질은 예상 섭취량은 극미량이며, 기존의 옥수수와 거의 같다.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98" w:hanging="698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98" w:hanging="69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다. 영양학적 실험 자료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794" w:hanging="308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가금류와 젖소를 이용한 동물 사료 식이 연구는 유전자재조합 옥수수와 재조합되지 않은 옥수수와의 차이가 발견되지 않았다.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349" w:hanging="34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349" w:hanging="34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라. 독성학적 실험 자료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791" w:hanging="52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유전자 삽입에 의해 발현되는 유전자산물이 물리화학적 처리에 의해 신속하게 분해되고, 알려진 독성과의 아미노산 서열유사성이 없으며, 급성독성도 없었다.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791" w:hanging="52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가금류를 이용한 14일간 64% 함유된 섭이시험 결과, 특이사항이 관찰되지 않았다.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72" w:hanging="672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72" w:hanging="67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마. 알레르기 유발성 실험 자료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791" w:hanging="52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유전자 삽입에 의해 발현되는 유전자산물이 물리화학적 처리에서 신속하게 분해되고, 알려진 알레르기 유발물질의 아미노산 서열에서 유사성이 없으며,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791" w:hanging="527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- 유전자삽입에 의해 생성되는 다른 단백질이 없으므로 기존의 옥수수와 동일하다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72" w:hanging="672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672" w:hanging="67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2"/>
        </w:rPr>
        <w:t>바. 항생제내성 유전자 및 그 산물에 관한 실험 자료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873" w:hanging="52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선발표지형질유전자로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bla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유전자와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>bar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유전자가 사용되었다.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873" w:hanging="529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- </w:t>
      </w:r>
      <w:r w:rsidRPr="003C4F75">
        <w:rPr>
          <w:rFonts w:ascii="휴먼명조,한컴돋움" w:eastAsia="휴먼명조,한컴돋움" w:hAnsi="굴림" w:cs="굴림" w:hint="eastAsia"/>
          <w:i/>
          <w:iCs/>
          <w:color w:val="000000"/>
          <w:kern w:val="0"/>
          <w:sz w:val="22"/>
        </w:rPr>
        <w:t xml:space="preserve">bla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유전자는 Ampicillin 항생제에 대한 저항성을 제공하므로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 pCIB3064/pCIB4431 플라스미드를 함유한 세균의 선별을 위하여 사용되었으나, 유전자재조합체내에서는 발현되지 않는 유전자이므로 그 산물의 없다.</w:t>
      </w:r>
      <w:r w:rsidRPr="003C4F75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873" w:hanging="529"/>
        <w:rPr>
          <w:rFonts w:ascii="한양신명조" w:eastAsia="한양신명조" w:hAnsi="굴림" w:cs="굴림" w:hint="eastAsia"/>
          <w:color w:val="000000"/>
          <w:kern w:val="0"/>
          <w:szCs w:val="20"/>
        </w:rPr>
      </w:pPr>
      <w:r w:rsidRPr="003C4F75">
        <w:rPr>
          <w:rFonts w:ascii="한양신명조,한컴돋움" w:eastAsia="한양신명조,한컴돋움" w:hAnsi="굴림" w:cs="굴림" w:hint="eastAsia"/>
          <w:color w:val="000000"/>
          <w:kern w:val="0"/>
          <w:szCs w:val="20"/>
        </w:rPr>
        <w:t>   </w:t>
      </w:r>
      <w:r w:rsidRPr="003C4F75">
        <w:rPr>
          <w:rFonts w:ascii="한양신명조,한컴돋움" w:eastAsia="한양신명조,한컴돋움" w:hAnsi="굴림" w:cs="굴림" w:hint="eastAsia"/>
          <w:color w:val="000000"/>
          <w:kern w:val="0"/>
          <w:szCs w:val="20"/>
        </w:rPr>
        <w:t xml:space="preserve">- </w:t>
      </w:r>
      <w:r w:rsidRPr="003C4F75">
        <w:rPr>
          <w:rFonts w:ascii="한양신명조,한컴돋움" w:eastAsia="한양신명조,한컴돋움" w:hAnsi="굴림" w:cs="굴림" w:hint="eastAsia"/>
          <w:i/>
          <w:iCs/>
          <w:color w:val="000000"/>
          <w:kern w:val="0"/>
          <w:szCs w:val="20"/>
        </w:rPr>
        <w:t xml:space="preserve">bar </w:t>
      </w:r>
      <w:r w:rsidRPr="003C4F75">
        <w:rPr>
          <w:rFonts w:ascii="한양신명조,한컴돋움" w:eastAsia="한양신명조,한컴돋움" w:hAnsi="굴림" w:cs="굴림" w:hint="eastAsia"/>
          <w:color w:val="000000"/>
          <w:kern w:val="0"/>
          <w:szCs w:val="20"/>
        </w:rPr>
        <w:t xml:space="preserve">유전자는 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glufosinate 제초제에 저항성을 제공하므로 pCIB3064 플라스미드를 함유한 식물세포의 선별을 위하여 사용되었다. 여기에서 안전성평가가 수행된 PAT를 발현시키는 유전자이다.</w:t>
      </w:r>
      <w:r w:rsidRPr="003C4F75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2"/>
        </w:rPr>
      </w:pP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404" w:hanging="404"/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</w:pPr>
      <w:r w:rsidRPr="003C4F75">
        <w:rPr>
          <w:rFonts w:ascii="휴먼명조,한컴돋움" w:eastAsia="휴먼명조,한컴돋움" w:hAnsi="굴림" w:cs="굴림" w:hint="eastAsia"/>
          <w:b/>
          <w:bCs/>
          <w:color w:val="000000"/>
          <w:kern w:val="0"/>
          <w:sz w:val="26"/>
          <w:szCs w:val="26"/>
        </w:rPr>
        <w:t>5. 심사의뢰 자료 검토 결과</w:t>
      </w:r>
      <w:r w:rsidRPr="003C4F75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571" w:hanging="571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>○ 이상의 검토 내용과 같이 유전자재조합식품</w:t>
      </w:r>
      <w:r w:rsidRPr="003C4F75">
        <w:rPr>
          <w:rFonts w:ascii="MS Mincho" w:eastAsia="MS Mincho" w:hAnsi="MS Mincho" w:cs="MS Mincho" w:hint="eastAsia"/>
          <w:color w:val="000000"/>
          <w:kern w:val="0"/>
          <w:sz w:val="22"/>
        </w:rPr>
        <w:t>․</w:t>
      </w:r>
      <w:r w:rsidRPr="003C4F75">
        <w:rPr>
          <w:rFonts w:ascii="궁서" w:eastAsia="궁서" w:hAnsi="궁서" w:cs="궁서" w:hint="eastAsia"/>
          <w:color w:val="000000"/>
          <w:kern w:val="0"/>
          <w:sz w:val="22"/>
        </w:rPr>
        <w:t>식품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첨가물 안전성평가자료 심사지침에 따라 제출된 자료의 안전성을 평가한 결과, 사용된 공여체, 숙주 및 삽입유전자 등이 식품으로 이용시 안전성 문제를 유발하지 않는다고 판단되었다.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ind w:left="562" w:hanging="562"/>
        <w:rPr>
          <w:rFonts w:ascii="휴먼명조" w:eastAsia="휴먼명조" w:hAnsi="굴림" w:cs="굴림" w:hint="eastAsia"/>
          <w:color w:val="000000"/>
          <w:kern w:val="0"/>
          <w:sz w:val="22"/>
        </w:rPr>
      </w:pP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lastRenderedPageBreak/>
        <w:t>  </w:t>
      </w:r>
      <w:r w:rsidRPr="003C4F75">
        <w:rPr>
          <w:rFonts w:ascii="휴먼명조,한컴돋움" w:eastAsia="휴먼명조,한컴돋움" w:hAnsi="굴림" w:cs="굴림" w:hint="eastAsia"/>
          <w:color w:val="000000"/>
          <w:kern w:val="0"/>
          <w:sz w:val="22"/>
        </w:rPr>
        <w:t xml:space="preserve">○ 유전자재조합체에 관해서도 알레르기 유발성, 독성 및 영양성 등에서 안전성 평가에 필요한 적절한 자료가 제출되었고, 이 자료를 토대로 검토한 결과 지금까지 섭취해온 옥수수와 차이가 없음을 확인하였다. </w:t>
      </w:r>
    </w:p>
    <w:p w:rsidR="003C4F75" w:rsidRPr="003C4F75" w:rsidRDefault="003C4F75" w:rsidP="003C4F75">
      <w:pPr>
        <w:widowControl/>
        <w:wordWrap/>
        <w:autoSpaceDE/>
        <w:autoSpaceDN/>
        <w:spacing w:line="384" w:lineRule="auto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6C4EA6" w:rsidRPr="003C4F75" w:rsidRDefault="003C4F75">
      <w:pPr>
        <w:rPr>
          <w:rFonts w:hint="eastAsia"/>
        </w:rPr>
      </w:pPr>
    </w:p>
    <w:sectPr w:rsidR="006C4EA6" w:rsidRPr="003C4F75" w:rsidSect="006813E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C4F75"/>
    <w:rsid w:val="003C4F75"/>
    <w:rsid w:val="006813EE"/>
    <w:rsid w:val="00A227A7"/>
    <w:rsid w:val="00B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E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F7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1627</Words>
  <Characters>9274</Characters>
  <Application>Microsoft Office Word</Application>
  <DocSecurity>0</DocSecurity>
  <Lines>77</Lines>
  <Paragraphs>21</Paragraphs>
  <ScaleCrop>false</ScaleCrop>
  <Company>KRIBB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2009-11-03T10:22:00Z</dcterms:created>
  <dcterms:modified xsi:type="dcterms:W3CDTF">2009-11-03T10:22:00Z</dcterms:modified>
</cp:coreProperties>
</file>