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A7AB3" w14:textId="77777777" w:rsidR="00D97576" w:rsidRPr="007E5673" w:rsidRDefault="00D97576" w:rsidP="00593BC6">
      <w:pPr>
        <w:pStyle w:val="Header"/>
        <w:jc w:val="center"/>
        <w:rPr>
          <w:rFonts w:ascii="Times New Roman Bold" w:hAnsi="Times New Roman Bold"/>
          <w:b/>
          <w:caps/>
          <w:sz w:val="22"/>
          <w:szCs w:val="22"/>
        </w:rPr>
      </w:pP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119"/>
        <w:gridCol w:w="102"/>
        <w:gridCol w:w="7701"/>
      </w:tblGrid>
      <w:tr w:rsidR="00593BC6" w:rsidRPr="007E5673" w14:paraId="7DBA9CF5" w14:textId="77777777" w:rsidTr="00EA105F">
        <w:trPr>
          <w:cantSplit/>
          <w:trHeight w:val="233"/>
        </w:trPr>
        <w:tc>
          <w:tcPr>
            <w:tcW w:w="10188" w:type="dxa"/>
            <w:gridSpan w:val="4"/>
            <w:shd w:val="clear" w:color="auto" w:fill="C0C0C0"/>
          </w:tcPr>
          <w:p w14:paraId="0C71E9D1" w14:textId="77777777" w:rsidR="00593BC6" w:rsidRPr="007E5673" w:rsidRDefault="00593BC6" w:rsidP="00EA105F">
            <w:pPr>
              <w:rPr>
                <w:b/>
                <w:sz w:val="22"/>
                <w:szCs w:val="22"/>
              </w:rPr>
            </w:pPr>
          </w:p>
          <w:p w14:paraId="0923A0AA" w14:textId="77777777" w:rsidR="00593BC6" w:rsidRPr="007E5673" w:rsidRDefault="00593BC6" w:rsidP="00EA105F">
            <w:pPr>
              <w:rPr>
                <w:b/>
                <w:sz w:val="22"/>
                <w:szCs w:val="22"/>
              </w:rPr>
            </w:pPr>
            <w:r w:rsidRPr="007E5673">
              <w:rPr>
                <w:b/>
                <w:sz w:val="22"/>
                <w:szCs w:val="22"/>
              </w:rPr>
              <w:t>Contact information</w:t>
            </w:r>
          </w:p>
          <w:p w14:paraId="36D753E7" w14:textId="77777777" w:rsidR="00593BC6" w:rsidRPr="007E5673" w:rsidRDefault="00593BC6" w:rsidP="00EA105F">
            <w:pPr>
              <w:rPr>
                <w:b/>
                <w:sz w:val="22"/>
                <w:szCs w:val="22"/>
              </w:rPr>
            </w:pPr>
          </w:p>
        </w:tc>
      </w:tr>
      <w:tr w:rsidR="00593BC6" w:rsidRPr="007E5673" w14:paraId="399E2057" w14:textId="77777777" w:rsidTr="00EA105F">
        <w:trPr>
          <w:cantSplit/>
          <w:trHeight w:val="270"/>
        </w:trPr>
        <w:tc>
          <w:tcPr>
            <w:tcW w:w="2150" w:type="dxa"/>
            <w:gridSpan w:val="3"/>
          </w:tcPr>
          <w:p w14:paraId="7B244D40" w14:textId="77777777" w:rsidR="00593BC6" w:rsidRPr="007E5673" w:rsidRDefault="00593BC6" w:rsidP="00EA105F">
            <w:pPr>
              <w:rPr>
                <w:b/>
                <w:sz w:val="22"/>
                <w:szCs w:val="22"/>
              </w:rPr>
            </w:pPr>
            <w:r w:rsidRPr="007E5673">
              <w:rPr>
                <w:b/>
                <w:sz w:val="22"/>
                <w:szCs w:val="22"/>
              </w:rPr>
              <w:t>Surname:</w:t>
            </w:r>
          </w:p>
        </w:tc>
        <w:tc>
          <w:tcPr>
            <w:tcW w:w="8038" w:type="dxa"/>
          </w:tcPr>
          <w:p w14:paraId="3AB47FF8" w14:textId="6A00D201" w:rsidR="00593BC6" w:rsidRPr="007E5673" w:rsidRDefault="00D46911" w:rsidP="00EA105F">
            <w:pPr>
              <w:rPr>
                <w:sz w:val="22"/>
                <w:szCs w:val="22"/>
              </w:rPr>
            </w:pPr>
            <w:r w:rsidRPr="007E5673">
              <w:rPr>
                <w:sz w:val="22"/>
                <w:szCs w:val="22"/>
              </w:rPr>
              <w:t>Wakeford</w:t>
            </w:r>
          </w:p>
        </w:tc>
      </w:tr>
      <w:tr w:rsidR="00593BC6" w:rsidRPr="007E5673" w14:paraId="2D70246E" w14:textId="77777777" w:rsidTr="00EA105F">
        <w:trPr>
          <w:cantSplit/>
          <w:trHeight w:val="280"/>
        </w:trPr>
        <w:tc>
          <w:tcPr>
            <w:tcW w:w="2150" w:type="dxa"/>
            <w:gridSpan w:val="3"/>
          </w:tcPr>
          <w:p w14:paraId="024B7BE1" w14:textId="77777777" w:rsidR="00593BC6" w:rsidRPr="007E5673" w:rsidRDefault="00593BC6" w:rsidP="00EA105F">
            <w:pPr>
              <w:rPr>
                <w:b/>
                <w:sz w:val="22"/>
                <w:szCs w:val="22"/>
              </w:rPr>
            </w:pPr>
          </w:p>
        </w:tc>
        <w:tc>
          <w:tcPr>
            <w:tcW w:w="8038" w:type="dxa"/>
          </w:tcPr>
          <w:p w14:paraId="24DC2B26" w14:textId="77777777" w:rsidR="00593BC6" w:rsidRPr="007E5673" w:rsidRDefault="00593BC6" w:rsidP="00EA105F">
            <w:pPr>
              <w:rPr>
                <w:sz w:val="22"/>
                <w:szCs w:val="22"/>
              </w:rPr>
            </w:pPr>
          </w:p>
        </w:tc>
      </w:tr>
      <w:tr w:rsidR="00593BC6" w:rsidRPr="007E5673" w14:paraId="6960F46D" w14:textId="77777777" w:rsidTr="00EA105F">
        <w:trPr>
          <w:cantSplit/>
          <w:trHeight w:val="270"/>
        </w:trPr>
        <w:tc>
          <w:tcPr>
            <w:tcW w:w="2150" w:type="dxa"/>
            <w:gridSpan w:val="3"/>
          </w:tcPr>
          <w:p w14:paraId="42324F5A" w14:textId="77777777" w:rsidR="00593BC6" w:rsidRPr="007E5673" w:rsidRDefault="00593BC6" w:rsidP="00EA105F">
            <w:pPr>
              <w:rPr>
                <w:b/>
                <w:sz w:val="22"/>
                <w:szCs w:val="22"/>
              </w:rPr>
            </w:pPr>
            <w:r w:rsidRPr="007E5673">
              <w:rPr>
                <w:b/>
                <w:sz w:val="22"/>
                <w:szCs w:val="22"/>
              </w:rPr>
              <w:t>Given Name:</w:t>
            </w:r>
          </w:p>
        </w:tc>
        <w:tc>
          <w:tcPr>
            <w:tcW w:w="8038" w:type="dxa"/>
          </w:tcPr>
          <w:p w14:paraId="1F1AFCCD" w14:textId="7B33ADD1" w:rsidR="00593BC6" w:rsidRPr="007E5673" w:rsidRDefault="00D46911" w:rsidP="00EA105F">
            <w:pPr>
              <w:rPr>
                <w:sz w:val="22"/>
                <w:szCs w:val="22"/>
              </w:rPr>
            </w:pPr>
            <w:r w:rsidRPr="007E5673">
              <w:rPr>
                <w:sz w:val="22"/>
                <w:szCs w:val="22"/>
              </w:rPr>
              <w:t>Tom</w:t>
            </w:r>
          </w:p>
        </w:tc>
      </w:tr>
      <w:tr w:rsidR="00593BC6" w:rsidRPr="007E5673" w14:paraId="4D0E31D1" w14:textId="77777777" w:rsidTr="00EA105F">
        <w:trPr>
          <w:cantSplit/>
          <w:trHeight w:val="280"/>
        </w:trPr>
        <w:tc>
          <w:tcPr>
            <w:tcW w:w="2150" w:type="dxa"/>
            <w:gridSpan w:val="3"/>
          </w:tcPr>
          <w:p w14:paraId="478DDD07" w14:textId="77777777" w:rsidR="00593BC6" w:rsidRPr="007E5673" w:rsidRDefault="00593BC6" w:rsidP="00EA105F">
            <w:pPr>
              <w:rPr>
                <w:b/>
                <w:sz w:val="22"/>
                <w:szCs w:val="22"/>
              </w:rPr>
            </w:pPr>
          </w:p>
        </w:tc>
        <w:tc>
          <w:tcPr>
            <w:tcW w:w="8038" w:type="dxa"/>
          </w:tcPr>
          <w:p w14:paraId="286530CF" w14:textId="77777777" w:rsidR="00593BC6" w:rsidRPr="007E5673" w:rsidRDefault="00593BC6" w:rsidP="00EA105F">
            <w:pPr>
              <w:rPr>
                <w:sz w:val="22"/>
                <w:szCs w:val="22"/>
              </w:rPr>
            </w:pPr>
          </w:p>
        </w:tc>
      </w:tr>
      <w:tr w:rsidR="00593BC6" w:rsidRPr="007E5673" w14:paraId="1C3067B8" w14:textId="77777777" w:rsidTr="00EA105F">
        <w:trPr>
          <w:cantSplit/>
          <w:trHeight w:val="270"/>
        </w:trPr>
        <w:tc>
          <w:tcPr>
            <w:tcW w:w="2150" w:type="dxa"/>
            <w:gridSpan w:val="3"/>
          </w:tcPr>
          <w:p w14:paraId="3499F6BE" w14:textId="77777777" w:rsidR="00593BC6" w:rsidRPr="007E5673" w:rsidRDefault="00593BC6" w:rsidP="00EA105F">
            <w:pPr>
              <w:rPr>
                <w:b/>
                <w:sz w:val="22"/>
                <w:szCs w:val="22"/>
              </w:rPr>
            </w:pPr>
            <w:r w:rsidRPr="007E5673">
              <w:rPr>
                <w:b/>
                <w:sz w:val="22"/>
                <w:szCs w:val="22"/>
              </w:rPr>
              <w:t>Government</w:t>
            </w:r>
          </w:p>
        </w:tc>
        <w:tc>
          <w:tcPr>
            <w:tcW w:w="8038" w:type="dxa"/>
          </w:tcPr>
          <w:p w14:paraId="119BAC5F" w14:textId="77777777" w:rsidR="00593BC6" w:rsidRPr="007E5673" w:rsidRDefault="00593BC6" w:rsidP="00EA105F">
            <w:pPr>
              <w:rPr>
                <w:sz w:val="22"/>
                <w:szCs w:val="22"/>
              </w:rPr>
            </w:pPr>
          </w:p>
        </w:tc>
      </w:tr>
      <w:tr w:rsidR="00593BC6" w:rsidRPr="007E5673" w14:paraId="590623FC" w14:textId="77777777" w:rsidTr="00EA105F">
        <w:trPr>
          <w:cantSplit/>
          <w:trHeight w:val="280"/>
        </w:trPr>
        <w:tc>
          <w:tcPr>
            <w:tcW w:w="2150" w:type="dxa"/>
            <w:gridSpan w:val="3"/>
          </w:tcPr>
          <w:p w14:paraId="0807C1F5" w14:textId="77777777" w:rsidR="00593BC6" w:rsidRPr="007E5673" w:rsidRDefault="00593BC6" w:rsidP="00EA105F">
            <w:pPr>
              <w:rPr>
                <w:b/>
                <w:sz w:val="22"/>
                <w:szCs w:val="22"/>
              </w:rPr>
            </w:pPr>
            <w:r w:rsidRPr="007E5673">
              <w:rPr>
                <w:b/>
                <w:sz w:val="22"/>
                <w:szCs w:val="22"/>
              </w:rPr>
              <w:t>(if applicable):</w:t>
            </w:r>
          </w:p>
        </w:tc>
        <w:tc>
          <w:tcPr>
            <w:tcW w:w="8038" w:type="dxa"/>
          </w:tcPr>
          <w:p w14:paraId="2CA88BC1" w14:textId="77777777" w:rsidR="00593BC6" w:rsidRPr="007E5673" w:rsidRDefault="00593BC6" w:rsidP="00EA105F">
            <w:pPr>
              <w:rPr>
                <w:sz w:val="22"/>
                <w:szCs w:val="22"/>
              </w:rPr>
            </w:pPr>
          </w:p>
        </w:tc>
      </w:tr>
      <w:tr w:rsidR="00593BC6" w:rsidRPr="007E5673" w14:paraId="131D5B27" w14:textId="77777777" w:rsidTr="00EA105F">
        <w:trPr>
          <w:cantSplit/>
          <w:trHeight w:val="270"/>
        </w:trPr>
        <w:tc>
          <w:tcPr>
            <w:tcW w:w="2150" w:type="dxa"/>
            <w:gridSpan w:val="3"/>
          </w:tcPr>
          <w:p w14:paraId="5B9F4F37" w14:textId="77777777" w:rsidR="00593BC6" w:rsidRPr="007E5673" w:rsidRDefault="00593BC6" w:rsidP="00EA105F">
            <w:pPr>
              <w:rPr>
                <w:b/>
                <w:sz w:val="22"/>
                <w:szCs w:val="22"/>
              </w:rPr>
            </w:pPr>
          </w:p>
        </w:tc>
        <w:tc>
          <w:tcPr>
            <w:tcW w:w="8038" w:type="dxa"/>
          </w:tcPr>
          <w:p w14:paraId="09AED490" w14:textId="77777777" w:rsidR="00593BC6" w:rsidRPr="007E5673" w:rsidRDefault="00593BC6" w:rsidP="00EA105F">
            <w:pPr>
              <w:rPr>
                <w:sz w:val="22"/>
                <w:szCs w:val="22"/>
              </w:rPr>
            </w:pPr>
          </w:p>
        </w:tc>
      </w:tr>
      <w:tr w:rsidR="00593BC6" w:rsidRPr="007E5673" w14:paraId="2C8FC01D" w14:textId="77777777" w:rsidTr="00EA105F">
        <w:trPr>
          <w:cantSplit/>
          <w:trHeight w:val="270"/>
        </w:trPr>
        <w:tc>
          <w:tcPr>
            <w:tcW w:w="2150" w:type="dxa"/>
            <w:gridSpan w:val="3"/>
          </w:tcPr>
          <w:p w14:paraId="683E9B8A" w14:textId="77777777" w:rsidR="00593BC6" w:rsidRPr="007E5673" w:rsidRDefault="00593BC6" w:rsidP="00EA105F">
            <w:pPr>
              <w:rPr>
                <w:b/>
                <w:sz w:val="22"/>
                <w:szCs w:val="22"/>
              </w:rPr>
            </w:pPr>
            <w:r w:rsidRPr="007E5673">
              <w:rPr>
                <w:b/>
                <w:sz w:val="22"/>
                <w:szCs w:val="22"/>
              </w:rPr>
              <w:t>Organization:</w:t>
            </w:r>
          </w:p>
        </w:tc>
        <w:tc>
          <w:tcPr>
            <w:tcW w:w="8038" w:type="dxa"/>
          </w:tcPr>
          <w:p w14:paraId="44E1FC10" w14:textId="743860F6" w:rsidR="00593BC6" w:rsidRPr="007E5673" w:rsidRDefault="00D46911" w:rsidP="00EA105F">
            <w:pPr>
              <w:rPr>
                <w:sz w:val="22"/>
                <w:szCs w:val="22"/>
              </w:rPr>
            </w:pPr>
            <w:r w:rsidRPr="007E5673">
              <w:rPr>
                <w:sz w:val="22"/>
                <w:szCs w:val="22"/>
              </w:rPr>
              <w:t>Action Group on Erosion, Technology and Concentration (ETC Group)</w:t>
            </w:r>
          </w:p>
        </w:tc>
      </w:tr>
      <w:tr w:rsidR="00593BC6" w:rsidRPr="007E5673" w14:paraId="3ED36EA3" w14:textId="77777777" w:rsidTr="00EA105F">
        <w:trPr>
          <w:cantSplit/>
          <w:trHeight w:val="233"/>
        </w:trPr>
        <w:tc>
          <w:tcPr>
            <w:tcW w:w="2150" w:type="dxa"/>
            <w:gridSpan w:val="3"/>
          </w:tcPr>
          <w:p w14:paraId="21C9EB42" w14:textId="77777777" w:rsidR="00593BC6" w:rsidRPr="007E5673" w:rsidRDefault="00593BC6" w:rsidP="00EA105F">
            <w:pPr>
              <w:rPr>
                <w:b/>
                <w:sz w:val="22"/>
                <w:szCs w:val="22"/>
              </w:rPr>
            </w:pPr>
          </w:p>
        </w:tc>
        <w:tc>
          <w:tcPr>
            <w:tcW w:w="8038" w:type="dxa"/>
          </w:tcPr>
          <w:p w14:paraId="5A530AD5" w14:textId="77777777" w:rsidR="00593BC6" w:rsidRPr="007E5673" w:rsidRDefault="00593BC6" w:rsidP="00EA105F">
            <w:pPr>
              <w:rPr>
                <w:sz w:val="22"/>
                <w:szCs w:val="22"/>
              </w:rPr>
            </w:pPr>
          </w:p>
        </w:tc>
      </w:tr>
      <w:tr w:rsidR="00593BC6" w:rsidRPr="007E5673" w14:paraId="329D03C5" w14:textId="77777777" w:rsidTr="00EA105F">
        <w:trPr>
          <w:cantSplit/>
          <w:trHeight w:val="233"/>
        </w:trPr>
        <w:tc>
          <w:tcPr>
            <w:tcW w:w="2150" w:type="dxa"/>
            <w:gridSpan w:val="3"/>
          </w:tcPr>
          <w:p w14:paraId="50483436" w14:textId="77777777" w:rsidR="00593BC6" w:rsidRPr="007E5673" w:rsidRDefault="00593BC6" w:rsidP="00EA105F">
            <w:pPr>
              <w:rPr>
                <w:b/>
                <w:sz w:val="22"/>
                <w:szCs w:val="22"/>
              </w:rPr>
            </w:pPr>
            <w:r w:rsidRPr="007E5673">
              <w:rPr>
                <w:b/>
                <w:sz w:val="22"/>
                <w:szCs w:val="22"/>
              </w:rPr>
              <w:t>E-mail:</w:t>
            </w:r>
          </w:p>
        </w:tc>
        <w:tc>
          <w:tcPr>
            <w:tcW w:w="8038" w:type="dxa"/>
          </w:tcPr>
          <w:p w14:paraId="7D07E304" w14:textId="474D2DAD" w:rsidR="00593BC6" w:rsidRPr="007E5673" w:rsidRDefault="001D15B6" w:rsidP="00EA105F">
            <w:pPr>
              <w:rPr>
                <w:sz w:val="22"/>
                <w:szCs w:val="22"/>
              </w:rPr>
            </w:pPr>
            <w:hyperlink r:id="rId6" w:history="1">
              <w:r w:rsidR="00D46911" w:rsidRPr="007E5673">
                <w:rPr>
                  <w:rStyle w:val="Hyperlink"/>
                  <w:sz w:val="22"/>
                  <w:szCs w:val="22"/>
                </w:rPr>
                <w:t>tom@etcgroup.org</w:t>
              </w:r>
            </w:hyperlink>
            <w:r w:rsidR="00D46911" w:rsidRPr="007E5673">
              <w:rPr>
                <w:sz w:val="22"/>
                <w:szCs w:val="22"/>
              </w:rPr>
              <w:t xml:space="preserve">, </w:t>
            </w:r>
            <w:hyperlink r:id="rId7" w:history="1">
              <w:r w:rsidR="00D46911" w:rsidRPr="007E5673">
                <w:rPr>
                  <w:rStyle w:val="Hyperlink"/>
                  <w:sz w:val="22"/>
                  <w:szCs w:val="22"/>
                </w:rPr>
                <w:t>silvia@etcgroup.org</w:t>
              </w:r>
            </w:hyperlink>
            <w:r w:rsidR="00D46911" w:rsidRPr="007E5673">
              <w:rPr>
                <w:sz w:val="22"/>
                <w:szCs w:val="22"/>
              </w:rPr>
              <w:t xml:space="preserve"> </w:t>
            </w:r>
          </w:p>
        </w:tc>
      </w:tr>
      <w:tr w:rsidR="00593BC6" w:rsidRPr="007E5673" w14:paraId="59BA55E5" w14:textId="77777777" w:rsidTr="00EA105F">
        <w:trPr>
          <w:cantSplit/>
          <w:trHeight w:val="233"/>
        </w:trPr>
        <w:tc>
          <w:tcPr>
            <w:tcW w:w="2150" w:type="dxa"/>
            <w:gridSpan w:val="3"/>
          </w:tcPr>
          <w:p w14:paraId="4CA66506" w14:textId="77777777" w:rsidR="00593BC6" w:rsidRPr="007E5673" w:rsidRDefault="00593BC6" w:rsidP="00EA105F">
            <w:pPr>
              <w:rPr>
                <w:b/>
                <w:sz w:val="22"/>
                <w:szCs w:val="22"/>
              </w:rPr>
            </w:pPr>
          </w:p>
        </w:tc>
        <w:tc>
          <w:tcPr>
            <w:tcW w:w="8038" w:type="dxa"/>
          </w:tcPr>
          <w:p w14:paraId="267E6375" w14:textId="77777777" w:rsidR="00593BC6" w:rsidRPr="007E5673" w:rsidRDefault="00593BC6" w:rsidP="00EA105F">
            <w:pPr>
              <w:rPr>
                <w:sz w:val="22"/>
                <w:szCs w:val="22"/>
              </w:rPr>
            </w:pPr>
          </w:p>
        </w:tc>
      </w:tr>
      <w:tr w:rsidR="00593BC6" w:rsidRPr="007E5673" w14:paraId="333DFC97" w14:textId="77777777" w:rsidTr="00EA105F">
        <w:trPr>
          <w:cantSplit/>
          <w:trHeight w:val="233"/>
        </w:trPr>
        <w:tc>
          <w:tcPr>
            <w:tcW w:w="10188" w:type="dxa"/>
            <w:gridSpan w:val="4"/>
            <w:shd w:val="clear" w:color="auto" w:fill="BFBFBF"/>
          </w:tcPr>
          <w:p w14:paraId="21278E85" w14:textId="77777777" w:rsidR="00593BC6" w:rsidRPr="007E5673" w:rsidRDefault="00593BC6" w:rsidP="00EA105F">
            <w:pPr>
              <w:rPr>
                <w:b/>
                <w:sz w:val="22"/>
                <w:szCs w:val="22"/>
              </w:rPr>
            </w:pPr>
          </w:p>
          <w:p w14:paraId="05933792" w14:textId="14B8E253" w:rsidR="00593BC6" w:rsidRPr="007E5673" w:rsidRDefault="00593BC6" w:rsidP="00EA105F">
            <w:pPr>
              <w:rPr>
                <w:b/>
                <w:sz w:val="22"/>
                <w:szCs w:val="22"/>
              </w:rPr>
            </w:pPr>
            <w:r w:rsidRPr="007E5673">
              <w:rPr>
                <w:b/>
                <w:sz w:val="22"/>
                <w:szCs w:val="22"/>
              </w:rPr>
              <w:t>Comments on th</w:t>
            </w:r>
            <w:r w:rsidR="00363EF2" w:rsidRPr="007E5673">
              <w:rPr>
                <w:b/>
                <w:sz w:val="22"/>
                <w:szCs w:val="22"/>
              </w:rPr>
              <w:t>e Technical Series on Synthetic Biology</w:t>
            </w:r>
          </w:p>
          <w:p w14:paraId="7BC798CD" w14:textId="77777777" w:rsidR="00593BC6" w:rsidRPr="007E5673" w:rsidRDefault="00593BC6" w:rsidP="00EA105F">
            <w:pPr>
              <w:rPr>
                <w:b/>
                <w:sz w:val="22"/>
                <w:szCs w:val="22"/>
              </w:rPr>
            </w:pPr>
          </w:p>
        </w:tc>
      </w:tr>
      <w:tr w:rsidR="00593BC6" w:rsidRPr="007E5673" w14:paraId="2A5F8AC1" w14:textId="77777777" w:rsidTr="00135D96">
        <w:trPr>
          <w:cantSplit/>
          <w:trHeight w:val="233"/>
        </w:trPr>
        <w:tc>
          <w:tcPr>
            <w:tcW w:w="918" w:type="dxa"/>
          </w:tcPr>
          <w:p w14:paraId="6C0FFA1B" w14:textId="77777777" w:rsidR="00593BC6" w:rsidRPr="007E5673" w:rsidRDefault="00593BC6" w:rsidP="00EA105F">
            <w:pPr>
              <w:rPr>
                <w:b/>
                <w:sz w:val="22"/>
                <w:szCs w:val="22"/>
              </w:rPr>
            </w:pPr>
            <w:r w:rsidRPr="007E5673">
              <w:rPr>
                <w:b/>
                <w:sz w:val="22"/>
                <w:szCs w:val="22"/>
              </w:rPr>
              <w:t>Page</w:t>
            </w:r>
            <w:r w:rsidR="00F94D0C" w:rsidRPr="007E5673">
              <w:rPr>
                <w:b/>
                <w:sz w:val="22"/>
                <w:szCs w:val="22"/>
              </w:rPr>
              <w:t xml:space="preserve"> #</w:t>
            </w:r>
          </w:p>
        </w:tc>
        <w:tc>
          <w:tcPr>
            <w:tcW w:w="1125" w:type="dxa"/>
          </w:tcPr>
          <w:p w14:paraId="3BFAC210" w14:textId="77777777" w:rsidR="00593BC6" w:rsidRPr="007E5673" w:rsidRDefault="005411E6" w:rsidP="00135D96">
            <w:pPr>
              <w:rPr>
                <w:b/>
                <w:sz w:val="22"/>
                <w:szCs w:val="22"/>
              </w:rPr>
            </w:pPr>
            <w:r w:rsidRPr="007E5673">
              <w:rPr>
                <w:b/>
                <w:sz w:val="22"/>
                <w:szCs w:val="22"/>
              </w:rPr>
              <w:t xml:space="preserve">Line </w:t>
            </w:r>
            <w:r w:rsidR="00135D96" w:rsidRPr="007E5673">
              <w:rPr>
                <w:b/>
                <w:sz w:val="22"/>
                <w:szCs w:val="22"/>
              </w:rPr>
              <w:t>#</w:t>
            </w:r>
          </w:p>
        </w:tc>
        <w:tc>
          <w:tcPr>
            <w:tcW w:w="8145" w:type="dxa"/>
            <w:gridSpan w:val="2"/>
          </w:tcPr>
          <w:p w14:paraId="1DF3BB27" w14:textId="77777777" w:rsidR="00593BC6" w:rsidRPr="007E5673" w:rsidRDefault="00593BC6" w:rsidP="00EA105F">
            <w:pPr>
              <w:rPr>
                <w:b/>
                <w:sz w:val="22"/>
                <w:szCs w:val="22"/>
              </w:rPr>
            </w:pPr>
            <w:r w:rsidRPr="007E5673">
              <w:rPr>
                <w:b/>
                <w:sz w:val="22"/>
                <w:szCs w:val="22"/>
              </w:rPr>
              <w:t>Comment</w:t>
            </w:r>
          </w:p>
        </w:tc>
      </w:tr>
      <w:tr w:rsidR="00593BC6" w:rsidRPr="007E5673" w14:paraId="52D4B2D0" w14:textId="77777777" w:rsidTr="00135D96">
        <w:trPr>
          <w:cantSplit/>
          <w:trHeight w:val="233"/>
        </w:trPr>
        <w:tc>
          <w:tcPr>
            <w:tcW w:w="918" w:type="dxa"/>
          </w:tcPr>
          <w:p w14:paraId="2E5AE1CF" w14:textId="77777777" w:rsidR="00593BC6" w:rsidRPr="007E5673" w:rsidRDefault="00593BC6" w:rsidP="00EA105F">
            <w:pPr>
              <w:rPr>
                <w:sz w:val="22"/>
                <w:szCs w:val="22"/>
              </w:rPr>
            </w:pPr>
            <w:r w:rsidRPr="007E5673">
              <w:rPr>
                <w:sz w:val="22"/>
                <w:szCs w:val="22"/>
              </w:rPr>
              <w:t>0</w:t>
            </w:r>
          </w:p>
        </w:tc>
        <w:tc>
          <w:tcPr>
            <w:tcW w:w="1125" w:type="dxa"/>
          </w:tcPr>
          <w:p w14:paraId="6F9597EA" w14:textId="5BC0572A" w:rsidR="00593BC6" w:rsidRPr="007E5673" w:rsidRDefault="007E5673" w:rsidP="00EA105F">
            <w:pPr>
              <w:rPr>
                <w:sz w:val="22"/>
                <w:szCs w:val="22"/>
              </w:rPr>
            </w:pPr>
            <w:r w:rsidRPr="007E5673">
              <w:rPr>
                <w:sz w:val="22"/>
                <w:szCs w:val="22"/>
              </w:rPr>
              <w:t>General Comment 1</w:t>
            </w:r>
          </w:p>
        </w:tc>
        <w:tc>
          <w:tcPr>
            <w:tcW w:w="8145" w:type="dxa"/>
            <w:gridSpan w:val="2"/>
          </w:tcPr>
          <w:p w14:paraId="58F1E46B" w14:textId="45401709" w:rsidR="00593BC6" w:rsidRPr="007E5673" w:rsidRDefault="00D46911" w:rsidP="00EA105F">
            <w:pPr>
              <w:rPr>
                <w:sz w:val="22"/>
                <w:szCs w:val="22"/>
              </w:rPr>
            </w:pPr>
            <w:r w:rsidRPr="007E5673">
              <w:rPr>
                <w:sz w:val="22"/>
                <w:szCs w:val="22"/>
              </w:rPr>
              <w:t>Goes beyond the available evidence of the alleged benefits of Synthetic Biology (also called Synbio) while under-emphazising the risks to an extent that is misleading when read overall. Passages are phrased in a way that implies benefits are likely, underplaying the high level of uncertainty that surround many applications of Synbio. Assumes future environments will inevitably include  Synbio applications, even though the need for  Synbio has still not been demonstrated.</w:t>
            </w:r>
          </w:p>
        </w:tc>
      </w:tr>
      <w:tr w:rsidR="00593BC6" w:rsidRPr="007E5673" w14:paraId="3E94F419" w14:textId="77777777" w:rsidTr="00135D96">
        <w:trPr>
          <w:cantSplit/>
          <w:trHeight w:val="233"/>
        </w:trPr>
        <w:tc>
          <w:tcPr>
            <w:tcW w:w="918" w:type="dxa"/>
          </w:tcPr>
          <w:p w14:paraId="44DCBC84" w14:textId="3AE5ABE6" w:rsidR="00593BC6" w:rsidRPr="007E5673" w:rsidRDefault="00D46911" w:rsidP="00EA105F">
            <w:pPr>
              <w:rPr>
                <w:sz w:val="22"/>
                <w:szCs w:val="22"/>
              </w:rPr>
            </w:pPr>
            <w:r w:rsidRPr="007E5673">
              <w:rPr>
                <w:sz w:val="22"/>
                <w:szCs w:val="22"/>
              </w:rPr>
              <w:t>0</w:t>
            </w:r>
          </w:p>
        </w:tc>
        <w:tc>
          <w:tcPr>
            <w:tcW w:w="1125" w:type="dxa"/>
          </w:tcPr>
          <w:p w14:paraId="10F3129A" w14:textId="77777777" w:rsidR="00593BC6" w:rsidRPr="007E5673" w:rsidRDefault="007E5673" w:rsidP="00EA105F">
            <w:pPr>
              <w:rPr>
                <w:sz w:val="22"/>
                <w:szCs w:val="22"/>
              </w:rPr>
            </w:pPr>
            <w:r w:rsidRPr="007E5673">
              <w:rPr>
                <w:sz w:val="22"/>
                <w:szCs w:val="22"/>
              </w:rPr>
              <w:t>General Comment</w:t>
            </w:r>
          </w:p>
          <w:p w14:paraId="6338DD75" w14:textId="581D4847" w:rsidR="007E5673" w:rsidRPr="007E5673" w:rsidRDefault="007E5673" w:rsidP="00EA105F">
            <w:pPr>
              <w:rPr>
                <w:sz w:val="22"/>
                <w:szCs w:val="22"/>
              </w:rPr>
            </w:pPr>
            <w:r w:rsidRPr="007E5673">
              <w:rPr>
                <w:sz w:val="22"/>
                <w:szCs w:val="22"/>
              </w:rPr>
              <w:t>2</w:t>
            </w:r>
          </w:p>
        </w:tc>
        <w:tc>
          <w:tcPr>
            <w:tcW w:w="8145" w:type="dxa"/>
            <w:gridSpan w:val="2"/>
          </w:tcPr>
          <w:p w14:paraId="1794B29D" w14:textId="795FC625" w:rsidR="00593BC6" w:rsidRPr="007E5673" w:rsidRDefault="00D46911" w:rsidP="00EA105F">
            <w:pPr>
              <w:rPr>
                <w:sz w:val="22"/>
                <w:szCs w:val="22"/>
              </w:rPr>
            </w:pPr>
            <w:r w:rsidRPr="007E5673">
              <w:rPr>
                <w:sz w:val="22"/>
                <w:szCs w:val="22"/>
              </w:rPr>
              <w:t>Fails to mention viable alternative solutions to the problems that are supposed to be addressed with Synthetic Biology applications, thus giving the impression that Synbio is the only option. It disregards other pathways, such as those based on the affirmation of food sovereignty through community, small holders and Indigenous Knowledge systems</w:t>
            </w:r>
          </w:p>
        </w:tc>
      </w:tr>
      <w:tr w:rsidR="00593BC6" w:rsidRPr="007E5673" w14:paraId="1C656F45" w14:textId="77777777" w:rsidTr="00135D96">
        <w:trPr>
          <w:cantSplit/>
          <w:trHeight w:val="233"/>
        </w:trPr>
        <w:tc>
          <w:tcPr>
            <w:tcW w:w="918" w:type="dxa"/>
          </w:tcPr>
          <w:p w14:paraId="73652C5C" w14:textId="30D742F0" w:rsidR="00593BC6" w:rsidRPr="007E5673" w:rsidRDefault="00D46911" w:rsidP="00EA105F">
            <w:pPr>
              <w:rPr>
                <w:sz w:val="22"/>
                <w:szCs w:val="22"/>
              </w:rPr>
            </w:pPr>
            <w:r w:rsidRPr="007E5673">
              <w:rPr>
                <w:sz w:val="22"/>
                <w:szCs w:val="22"/>
              </w:rPr>
              <w:t>0</w:t>
            </w:r>
          </w:p>
        </w:tc>
        <w:tc>
          <w:tcPr>
            <w:tcW w:w="1125" w:type="dxa"/>
          </w:tcPr>
          <w:p w14:paraId="29410D2B" w14:textId="77777777" w:rsidR="00593BC6" w:rsidRPr="007E5673" w:rsidRDefault="007E5673" w:rsidP="00EA105F">
            <w:pPr>
              <w:rPr>
                <w:sz w:val="22"/>
                <w:szCs w:val="22"/>
              </w:rPr>
            </w:pPr>
            <w:r w:rsidRPr="007E5673">
              <w:rPr>
                <w:sz w:val="22"/>
                <w:szCs w:val="22"/>
              </w:rPr>
              <w:t>General Comment</w:t>
            </w:r>
          </w:p>
          <w:p w14:paraId="0B63B7FE" w14:textId="3FA2E30B" w:rsidR="007E5673" w:rsidRPr="007E5673" w:rsidRDefault="007E5673" w:rsidP="00EA105F">
            <w:pPr>
              <w:rPr>
                <w:sz w:val="22"/>
                <w:szCs w:val="22"/>
              </w:rPr>
            </w:pPr>
            <w:r w:rsidRPr="007E5673">
              <w:rPr>
                <w:sz w:val="22"/>
                <w:szCs w:val="22"/>
              </w:rPr>
              <w:t>3</w:t>
            </w:r>
          </w:p>
        </w:tc>
        <w:tc>
          <w:tcPr>
            <w:tcW w:w="8145" w:type="dxa"/>
            <w:gridSpan w:val="2"/>
          </w:tcPr>
          <w:p w14:paraId="0B96346A" w14:textId="3A10F86B" w:rsidR="00593BC6" w:rsidRPr="007E5673" w:rsidRDefault="00D46911" w:rsidP="00EA105F">
            <w:pPr>
              <w:rPr>
                <w:sz w:val="22"/>
                <w:szCs w:val="22"/>
              </w:rPr>
            </w:pPr>
            <w:r w:rsidRPr="007E5673">
              <w:rPr>
                <w:sz w:val="22"/>
                <w:szCs w:val="22"/>
              </w:rPr>
              <w:t>Only makes one mention of the fact that issues of risk inherent in Synbio technologies cannot be dealt with by science alone. Does not explore the social and ecological aspects of the risks that are inherent in Synbio. These include: promoting artificiality and more uniformity in food crops and systems, more monoculture plantations which negatively impact biodiversity, the use of bio-vats instead of natural production, higher energy usage, higher dependency on proprietary seeds, organisms and applications.</w:t>
            </w:r>
          </w:p>
        </w:tc>
      </w:tr>
      <w:tr w:rsidR="00593BC6" w:rsidRPr="007E5673" w14:paraId="4CEEBB68" w14:textId="77777777" w:rsidTr="00135D96">
        <w:trPr>
          <w:cantSplit/>
          <w:trHeight w:val="233"/>
        </w:trPr>
        <w:tc>
          <w:tcPr>
            <w:tcW w:w="918" w:type="dxa"/>
          </w:tcPr>
          <w:p w14:paraId="7A6A7CB6" w14:textId="2C38C2A8" w:rsidR="00593BC6" w:rsidRPr="007E5673" w:rsidRDefault="00D46911" w:rsidP="00EA105F">
            <w:pPr>
              <w:rPr>
                <w:sz w:val="22"/>
                <w:szCs w:val="22"/>
              </w:rPr>
            </w:pPr>
            <w:r w:rsidRPr="007E5673">
              <w:rPr>
                <w:sz w:val="22"/>
                <w:szCs w:val="22"/>
              </w:rPr>
              <w:t>0</w:t>
            </w:r>
          </w:p>
        </w:tc>
        <w:tc>
          <w:tcPr>
            <w:tcW w:w="1125" w:type="dxa"/>
          </w:tcPr>
          <w:p w14:paraId="5A992DF9" w14:textId="77777777" w:rsidR="00593BC6" w:rsidRPr="007E5673" w:rsidRDefault="007E5673" w:rsidP="00EA105F">
            <w:pPr>
              <w:rPr>
                <w:sz w:val="22"/>
                <w:szCs w:val="22"/>
              </w:rPr>
            </w:pPr>
            <w:r w:rsidRPr="007E5673">
              <w:rPr>
                <w:sz w:val="22"/>
                <w:szCs w:val="22"/>
              </w:rPr>
              <w:t>General Comment</w:t>
            </w:r>
          </w:p>
          <w:p w14:paraId="623F395E" w14:textId="418592E2" w:rsidR="007E5673" w:rsidRPr="007E5673" w:rsidRDefault="007E5673" w:rsidP="00EA105F">
            <w:pPr>
              <w:rPr>
                <w:sz w:val="22"/>
                <w:szCs w:val="22"/>
              </w:rPr>
            </w:pPr>
            <w:r w:rsidRPr="007E5673">
              <w:rPr>
                <w:sz w:val="22"/>
                <w:szCs w:val="22"/>
              </w:rPr>
              <w:t>4</w:t>
            </w:r>
          </w:p>
        </w:tc>
        <w:tc>
          <w:tcPr>
            <w:tcW w:w="8145" w:type="dxa"/>
            <w:gridSpan w:val="2"/>
          </w:tcPr>
          <w:p w14:paraId="2E88B0AD" w14:textId="1FFF6693" w:rsidR="00593BC6" w:rsidRPr="007E5673" w:rsidRDefault="00D46911" w:rsidP="00EA105F">
            <w:pPr>
              <w:rPr>
                <w:sz w:val="22"/>
                <w:szCs w:val="22"/>
              </w:rPr>
            </w:pPr>
            <w:r w:rsidRPr="007E5673">
              <w:rPr>
                <w:sz w:val="22"/>
                <w:szCs w:val="22"/>
              </w:rPr>
              <w:t>Recognises the need for assessment based on economic, political, moral and ethical concerns, but says this will have to be case-by-case, rather than looking at the area as a whole in order to establish a global assessment framework and not allow a fragmented and incoherent evaluation to happen in each case and each place. This is non-sensical as it assumes that there will not be risks that are generic, as there are in conventional GMOs and LMOs, for example.</w:t>
            </w:r>
          </w:p>
        </w:tc>
      </w:tr>
      <w:tr w:rsidR="00593BC6" w:rsidRPr="007E5673" w14:paraId="4A4D44A2" w14:textId="77777777" w:rsidTr="00135D96">
        <w:trPr>
          <w:cantSplit/>
          <w:trHeight w:val="233"/>
        </w:trPr>
        <w:tc>
          <w:tcPr>
            <w:tcW w:w="918" w:type="dxa"/>
          </w:tcPr>
          <w:p w14:paraId="7D986775" w14:textId="61AF64C4" w:rsidR="00593BC6" w:rsidRPr="007E5673" w:rsidRDefault="00D46911" w:rsidP="00EA105F">
            <w:pPr>
              <w:rPr>
                <w:sz w:val="22"/>
                <w:szCs w:val="22"/>
              </w:rPr>
            </w:pPr>
            <w:r w:rsidRPr="007E5673">
              <w:rPr>
                <w:sz w:val="22"/>
                <w:szCs w:val="22"/>
              </w:rPr>
              <w:t>0</w:t>
            </w:r>
          </w:p>
        </w:tc>
        <w:tc>
          <w:tcPr>
            <w:tcW w:w="1125" w:type="dxa"/>
          </w:tcPr>
          <w:p w14:paraId="6F20AEE7" w14:textId="77777777" w:rsidR="00593BC6" w:rsidRPr="007E5673" w:rsidRDefault="007E5673" w:rsidP="00EA105F">
            <w:pPr>
              <w:rPr>
                <w:sz w:val="22"/>
                <w:szCs w:val="22"/>
              </w:rPr>
            </w:pPr>
            <w:r w:rsidRPr="007E5673">
              <w:rPr>
                <w:sz w:val="22"/>
                <w:szCs w:val="22"/>
              </w:rPr>
              <w:t>General Comment</w:t>
            </w:r>
          </w:p>
          <w:p w14:paraId="5AC5FC2C" w14:textId="53E2BACB" w:rsidR="007E5673" w:rsidRPr="007E5673" w:rsidRDefault="007E5673" w:rsidP="00EA105F">
            <w:pPr>
              <w:rPr>
                <w:sz w:val="22"/>
                <w:szCs w:val="22"/>
              </w:rPr>
            </w:pPr>
            <w:r w:rsidRPr="007E5673">
              <w:rPr>
                <w:sz w:val="22"/>
                <w:szCs w:val="22"/>
              </w:rPr>
              <w:t>5</w:t>
            </w:r>
          </w:p>
        </w:tc>
        <w:tc>
          <w:tcPr>
            <w:tcW w:w="8145" w:type="dxa"/>
            <w:gridSpan w:val="2"/>
          </w:tcPr>
          <w:p w14:paraId="786809CF" w14:textId="7B702349" w:rsidR="00593BC6" w:rsidRPr="007E5673" w:rsidRDefault="00D46911" w:rsidP="00EA105F">
            <w:pPr>
              <w:rPr>
                <w:sz w:val="22"/>
                <w:szCs w:val="22"/>
              </w:rPr>
            </w:pPr>
            <w:r w:rsidRPr="007E5673">
              <w:rPr>
                <w:sz w:val="22"/>
                <w:szCs w:val="22"/>
              </w:rPr>
              <w:t xml:space="preserve">Refers to Free Prior and Informed Consent (FPIC), but fails to acknowledge the fundamental difference between current engagement processes, undertaken by those developing the technology (leading to a conflict of interest), and the principles of FPIC which underlie genuinely participatory processes of technology assessment. This conflict of interest must be acknowledged in the report. An honest FPIC process would not be commissioned by the technology’s promoters and others who stand to </w:t>
            </w:r>
            <w:r w:rsidRPr="007E5673">
              <w:rPr>
                <w:sz w:val="22"/>
                <w:szCs w:val="22"/>
              </w:rPr>
              <w:lastRenderedPageBreak/>
              <w:t>profit of the technologies, but instead by a wide range of rights-holders, including Indigenous peoples and local communities.</w:t>
            </w:r>
          </w:p>
        </w:tc>
      </w:tr>
      <w:tr w:rsidR="00593BC6" w:rsidRPr="007E5673" w14:paraId="12F556C9" w14:textId="77777777" w:rsidTr="00135D96">
        <w:trPr>
          <w:cantSplit/>
          <w:trHeight w:val="233"/>
        </w:trPr>
        <w:tc>
          <w:tcPr>
            <w:tcW w:w="918" w:type="dxa"/>
          </w:tcPr>
          <w:p w14:paraId="114ECD33" w14:textId="04C3F751" w:rsidR="00593BC6" w:rsidRPr="007E5673" w:rsidRDefault="00D46911" w:rsidP="00D46911">
            <w:pPr>
              <w:tabs>
                <w:tab w:val="left" w:pos="458"/>
              </w:tabs>
              <w:rPr>
                <w:sz w:val="22"/>
                <w:szCs w:val="22"/>
              </w:rPr>
            </w:pPr>
            <w:r w:rsidRPr="007E5673">
              <w:rPr>
                <w:sz w:val="22"/>
                <w:szCs w:val="22"/>
              </w:rPr>
              <w:tab/>
              <w:t>8</w:t>
            </w:r>
          </w:p>
        </w:tc>
        <w:tc>
          <w:tcPr>
            <w:tcW w:w="1125" w:type="dxa"/>
          </w:tcPr>
          <w:p w14:paraId="1722E8E8" w14:textId="5556D1ED" w:rsidR="00593BC6" w:rsidRPr="007E5673" w:rsidRDefault="00D46911" w:rsidP="00EA105F">
            <w:pPr>
              <w:rPr>
                <w:sz w:val="22"/>
                <w:szCs w:val="22"/>
              </w:rPr>
            </w:pPr>
            <w:r w:rsidRPr="007E5673">
              <w:rPr>
                <w:sz w:val="22"/>
                <w:szCs w:val="22"/>
              </w:rPr>
              <w:t>13</w:t>
            </w:r>
          </w:p>
        </w:tc>
        <w:tc>
          <w:tcPr>
            <w:tcW w:w="8145" w:type="dxa"/>
            <w:gridSpan w:val="2"/>
          </w:tcPr>
          <w:p w14:paraId="314DDBC8" w14:textId="63A0F5B9" w:rsidR="00593BC6" w:rsidRPr="007E5673" w:rsidRDefault="00D46911" w:rsidP="00EA105F">
            <w:pPr>
              <w:rPr>
                <w:sz w:val="22"/>
                <w:szCs w:val="22"/>
              </w:rPr>
            </w:pPr>
            <w:r w:rsidRPr="007E5673">
              <w:rPr>
                <w:sz w:val="22"/>
                <w:szCs w:val="22"/>
              </w:rPr>
              <w:t>The listed benefits in agriculture are speculative and dependent on which farming system is used (i.e. not the one used by the majority of small holders / peasants in the world). Yet these benefits are stated as fact.</w:t>
            </w:r>
          </w:p>
        </w:tc>
      </w:tr>
      <w:tr w:rsidR="00593BC6" w:rsidRPr="007E5673" w14:paraId="786AB29D" w14:textId="77777777" w:rsidTr="00135D96">
        <w:trPr>
          <w:cantSplit/>
          <w:trHeight w:val="233"/>
        </w:trPr>
        <w:tc>
          <w:tcPr>
            <w:tcW w:w="918" w:type="dxa"/>
          </w:tcPr>
          <w:p w14:paraId="690F094D" w14:textId="1427448D" w:rsidR="00593BC6" w:rsidRPr="007E5673" w:rsidRDefault="00D46911" w:rsidP="00EA105F">
            <w:pPr>
              <w:rPr>
                <w:sz w:val="22"/>
                <w:szCs w:val="22"/>
              </w:rPr>
            </w:pPr>
            <w:r w:rsidRPr="007E5673">
              <w:rPr>
                <w:sz w:val="22"/>
                <w:szCs w:val="22"/>
              </w:rPr>
              <w:t>8</w:t>
            </w:r>
          </w:p>
        </w:tc>
        <w:tc>
          <w:tcPr>
            <w:tcW w:w="1125" w:type="dxa"/>
          </w:tcPr>
          <w:p w14:paraId="00E4B63A" w14:textId="071A7667" w:rsidR="00593BC6" w:rsidRPr="007E5673" w:rsidRDefault="00D46911" w:rsidP="00EA105F">
            <w:pPr>
              <w:rPr>
                <w:sz w:val="22"/>
                <w:szCs w:val="22"/>
              </w:rPr>
            </w:pPr>
            <w:r w:rsidRPr="007E5673">
              <w:rPr>
                <w:sz w:val="22"/>
                <w:szCs w:val="22"/>
              </w:rPr>
              <w:t>25</w:t>
            </w:r>
          </w:p>
        </w:tc>
        <w:tc>
          <w:tcPr>
            <w:tcW w:w="8145" w:type="dxa"/>
            <w:gridSpan w:val="2"/>
          </w:tcPr>
          <w:p w14:paraId="612F8E15" w14:textId="3F0B0378" w:rsidR="00593BC6" w:rsidRPr="007E5673" w:rsidRDefault="007E5673" w:rsidP="00EA105F">
            <w:pPr>
              <w:rPr>
                <w:sz w:val="22"/>
                <w:szCs w:val="22"/>
              </w:rPr>
            </w:pPr>
            <w:r w:rsidRPr="007E5673">
              <w:rPr>
                <w:sz w:val="22"/>
                <w:szCs w:val="22"/>
              </w:rPr>
              <w:t xml:space="preserve">Ignores known risks that are built into the very design of many Synbio applications (e.g. risk of grave loss of biodiversity through engineered gene drives). Instead of calling for the assessment of these risks to take place in the phase where technologies are still being conceptualised and/or developed, the paper states that only case-by-case risk assessment might be enough, implying this could happen after they have already been developed.  </w:t>
            </w:r>
          </w:p>
        </w:tc>
      </w:tr>
      <w:tr w:rsidR="00593BC6" w:rsidRPr="007E5673" w14:paraId="077ECF3C" w14:textId="77777777" w:rsidTr="00135D96">
        <w:trPr>
          <w:cantSplit/>
          <w:trHeight w:val="233"/>
        </w:trPr>
        <w:tc>
          <w:tcPr>
            <w:tcW w:w="918" w:type="dxa"/>
          </w:tcPr>
          <w:p w14:paraId="3053276C" w14:textId="58E492B7" w:rsidR="00593BC6" w:rsidRPr="007E5673" w:rsidRDefault="007E5673" w:rsidP="00EA105F">
            <w:pPr>
              <w:rPr>
                <w:sz w:val="22"/>
                <w:szCs w:val="22"/>
              </w:rPr>
            </w:pPr>
            <w:r w:rsidRPr="007E5673">
              <w:rPr>
                <w:sz w:val="22"/>
                <w:szCs w:val="22"/>
              </w:rPr>
              <w:t>8</w:t>
            </w:r>
          </w:p>
        </w:tc>
        <w:tc>
          <w:tcPr>
            <w:tcW w:w="1125" w:type="dxa"/>
          </w:tcPr>
          <w:p w14:paraId="011C33C7" w14:textId="26BC6927" w:rsidR="00593BC6" w:rsidRPr="007E5673" w:rsidRDefault="007E5673" w:rsidP="00EA105F">
            <w:pPr>
              <w:rPr>
                <w:sz w:val="22"/>
                <w:szCs w:val="22"/>
              </w:rPr>
            </w:pPr>
            <w:r w:rsidRPr="007E5673">
              <w:rPr>
                <w:sz w:val="22"/>
                <w:szCs w:val="22"/>
              </w:rPr>
              <w:t>26 and elsewhere</w:t>
            </w:r>
          </w:p>
        </w:tc>
        <w:tc>
          <w:tcPr>
            <w:tcW w:w="8145" w:type="dxa"/>
            <w:gridSpan w:val="2"/>
          </w:tcPr>
          <w:p w14:paraId="31FB0F18" w14:textId="2B040945" w:rsidR="00593BC6" w:rsidRPr="007E5673" w:rsidRDefault="007E5673" w:rsidP="00EA105F">
            <w:pPr>
              <w:rPr>
                <w:sz w:val="22"/>
                <w:szCs w:val="22"/>
              </w:rPr>
            </w:pPr>
            <w:r w:rsidRPr="007E5673">
              <w:rPr>
                <w:sz w:val="22"/>
                <w:szCs w:val="22"/>
              </w:rPr>
              <w:t>The use of “science-based” in the context of assessment should be more thoroughly defined to acknowledge that what is referred to is just one specific methodology. Limiting assessment to one narrow ideological view point is not scientific in the normal sense of the word, but scientism. It is vital that the methodology of ‘science’ that will be used for assessments is not restricted to the dominant method being used by developers of synbio products, but is instead interdisciplinary, reflecting the totality of scientific knowledge across nations and territories that may be targeted for releases/commercialisation of future Synbio products.</w:t>
            </w:r>
          </w:p>
        </w:tc>
      </w:tr>
      <w:tr w:rsidR="00593BC6" w:rsidRPr="007E5673" w14:paraId="31B1A49C" w14:textId="77777777" w:rsidTr="00135D96">
        <w:trPr>
          <w:cantSplit/>
          <w:trHeight w:val="233"/>
        </w:trPr>
        <w:tc>
          <w:tcPr>
            <w:tcW w:w="918" w:type="dxa"/>
          </w:tcPr>
          <w:p w14:paraId="26E0E2AA" w14:textId="71A318F5" w:rsidR="00593BC6" w:rsidRPr="007E5673" w:rsidRDefault="007E5673" w:rsidP="00EA105F">
            <w:pPr>
              <w:rPr>
                <w:sz w:val="22"/>
                <w:szCs w:val="22"/>
              </w:rPr>
            </w:pPr>
            <w:r w:rsidRPr="007E5673">
              <w:rPr>
                <w:sz w:val="22"/>
                <w:szCs w:val="22"/>
              </w:rPr>
              <w:t>9</w:t>
            </w:r>
          </w:p>
        </w:tc>
        <w:tc>
          <w:tcPr>
            <w:tcW w:w="1125" w:type="dxa"/>
          </w:tcPr>
          <w:p w14:paraId="1C6455E2" w14:textId="19015AE7" w:rsidR="00593BC6" w:rsidRPr="007E5673" w:rsidRDefault="007E5673" w:rsidP="00EA105F">
            <w:pPr>
              <w:rPr>
                <w:sz w:val="22"/>
                <w:szCs w:val="22"/>
              </w:rPr>
            </w:pPr>
            <w:r w:rsidRPr="007E5673">
              <w:rPr>
                <w:sz w:val="22"/>
                <w:szCs w:val="22"/>
              </w:rPr>
              <w:t>7</w:t>
            </w:r>
          </w:p>
        </w:tc>
        <w:tc>
          <w:tcPr>
            <w:tcW w:w="8145" w:type="dxa"/>
            <w:gridSpan w:val="2"/>
          </w:tcPr>
          <w:p w14:paraId="503F912F" w14:textId="6EB40D0A" w:rsidR="00593BC6" w:rsidRPr="007E5673" w:rsidRDefault="007E5673" w:rsidP="00EA105F">
            <w:pPr>
              <w:rPr>
                <w:sz w:val="22"/>
                <w:szCs w:val="22"/>
              </w:rPr>
            </w:pPr>
            <w:r w:rsidRPr="007E5673">
              <w:rPr>
                <w:sz w:val="22"/>
                <w:szCs w:val="22"/>
              </w:rPr>
              <w:t>It is good to calls for “integration with social sciences and engagement with communities”, but this should be implented in this document. Yet the paper only cites examples of this being undertaken by the proponents of the technology (see General Comment 4).</w:t>
            </w:r>
          </w:p>
        </w:tc>
      </w:tr>
      <w:tr w:rsidR="00593BC6" w:rsidRPr="007E5673" w14:paraId="7DA9A366" w14:textId="77777777" w:rsidTr="00135D96">
        <w:trPr>
          <w:cantSplit/>
          <w:trHeight w:val="233"/>
        </w:trPr>
        <w:tc>
          <w:tcPr>
            <w:tcW w:w="918" w:type="dxa"/>
          </w:tcPr>
          <w:p w14:paraId="0704BF74" w14:textId="28D52DCA" w:rsidR="00593BC6" w:rsidRPr="007E5673" w:rsidRDefault="007E5673" w:rsidP="00EA105F">
            <w:pPr>
              <w:rPr>
                <w:sz w:val="22"/>
                <w:szCs w:val="22"/>
              </w:rPr>
            </w:pPr>
            <w:r w:rsidRPr="007E5673">
              <w:rPr>
                <w:sz w:val="22"/>
                <w:szCs w:val="22"/>
              </w:rPr>
              <w:t>18</w:t>
            </w:r>
          </w:p>
        </w:tc>
        <w:tc>
          <w:tcPr>
            <w:tcW w:w="1125" w:type="dxa"/>
          </w:tcPr>
          <w:p w14:paraId="5C318341" w14:textId="62079600" w:rsidR="00593BC6" w:rsidRPr="007E5673" w:rsidRDefault="007E5673" w:rsidP="00EA105F">
            <w:pPr>
              <w:rPr>
                <w:sz w:val="22"/>
                <w:szCs w:val="22"/>
              </w:rPr>
            </w:pPr>
            <w:r w:rsidRPr="007E5673">
              <w:rPr>
                <w:sz w:val="22"/>
                <w:szCs w:val="22"/>
              </w:rPr>
              <w:t>42</w:t>
            </w:r>
          </w:p>
        </w:tc>
        <w:tc>
          <w:tcPr>
            <w:tcW w:w="8145" w:type="dxa"/>
            <w:gridSpan w:val="2"/>
          </w:tcPr>
          <w:p w14:paraId="6B792A19" w14:textId="4FE3F34F" w:rsidR="007E5673" w:rsidRPr="007E5673" w:rsidRDefault="007E5673" w:rsidP="007E5673">
            <w:pPr>
              <w:rPr>
                <w:rFonts w:ascii="TimesNewRomanPSMT" w:hAnsi="TimesNewRomanPSMT"/>
                <w:sz w:val="22"/>
                <w:szCs w:val="22"/>
              </w:rPr>
            </w:pPr>
            <w:r w:rsidRPr="007E5673">
              <w:rPr>
                <w:sz w:val="22"/>
                <w:szCs w:val="22"/>
              </w:rPr>
              <w:t xml:space="preserve">Says TALENS have a high degree of precision and control, but there is strong evidence from </w:t>
            </w:r>
            <w:r w:rsidRPr="007E5673">
              <w:rPr>
                <w:rFonts w:ascii="TimesNewRomanPSMT" w:hAnsi="TimesNewRomanPSMT"/>
                <w:sz w:val="22"/>
                <w:szCs w:val="22"/>
              </w:rPr>
              <w:t>hornless cattle recently developed in the US, that</w:t>
            </w:r>
            <w:r w:rsidRPr="007E5673">
              <w:rPr>
                <w:sz w:val="22"/>
                <w:szCs w:val="22"/>
              </w:rPr>
              <w:t xml:space="preserve"> this is not the case.</w:t>
            </w:r>
            <w:r w:rsidRPr="007E5673">
              <w:rPr>
                <w:rFonts w:ascii="TimesNewRomanPSMT" w:hAnsi="TimesNewRomanPSMT"/>
                <w:sz w:val="22"/>
                <w:szCs w:val="22"/>
              </w:rPr>
              <w:t xml:space="preserve"> They were later found to have accidental integrations of plasmid DNA, including antibiotic resistance genes (Norris et al., 2020 - </w:t>
            </w:r>
            <w:hyperlink r:id="rId8" w:history="1">
              <w:r w:rsidRPr="007E5673">
                <w:rPr>
                  <w:rStyle w:val="Hyperlink"/>
                  <w:sz w:val="22"/>
                  <w:szCs w:val="22"/>
                </w:rPr>
                <w:t>https://www.technologyreview.com/2019/08/29/65364/recombinetics-gene-edited-hornless-cattle-major-dna-screwup/</w:t>
              </w:r>
            </w:hyperlink>
            <w:r w:rsidRPr="007E5673">
              <w:rPr>
                <w:rFonts w:ascii="TimesNewRomanPSMT" w:hAnsi="TimesNewRomanPSMT"/>
                <w:sz w:val="22"/>
                <w:szCs w:val="22"/>
              </w:rPr>
              <w:t xml:space="preserve">). It is vital that introductory text to technologies is accurate, and not based on unsubstantiated claims of utility or efficacy.  </w:t>
            </w:r>
          </w:p>
          <w:p w14:paraId="76FA0133" w14:textId="700D0A1E" w:rsidR="007E5673" w:rsidRPr="007E5673" w:rsidRDefault="007E5673" w:rsidP="007E5673">
            <w:pPr>
              <w:rPr>
                <w:sz w:val="22"/>
                <w:szCs w:val="22"/>
              </w:rPr>
            </w:pPr>
          </w:p>
          <w:p w14:paraId="3F4A2632" w14:textId="4B75E8C9" w:rsidR="007E5673" w:rsidRPr="007E5673" w:rsidRDefault="007E5673" w:rsidP="007E5673">
            <w:pPr>
              <w:rPr>
                <w:sz w:val="22"/>
                <w:szCs w:val="22"/>
              </w:rPr>
            </w:pPr>
            <w:r w:rsidRPr="007E5673">
              <w:rPr>
                <w:sz w:val="22"/>
                <w:szCs w:val="22"/>
              </w:rPr>
              <w:t xml:space="preserve">Norris, A. L., Lee, S. S., Greenlees, K. J., Tadesse, D. A., Miller, M. F., &amp; Lombardi, H. A. (2020). Template plasmid integration in germline genome-edited cattle. </w:t>
            </w:r>
            <w:r w:rsidRPr="007E5673">
              <w:rPr>
                <w:i/>
                <w:iCs/>
                <w:sz w:val="22"/>
                <w:szCs w:val="22"/>
              </w:rPr>
              <w:t>Nature Biotechnology</w:t>
            </w:r>
            <w:r w:rsidRPr="007E5673">
              <w:rPr>
                <w:sz w:val="22"/>
                <w:szCs w:val="22"/>
              </w:rPr>
              <w:t xml:space="preserve">, </w:t>
            </w:r>
            <w:r w:rsidRPr="007E5673">
              <w:rPr>
                <w:i/>
                <w:iCs/>
                <w:sz w:val="22"/>
                <w:szCs w:val="22"/>
              </w:rPr>
              <w:t>38</w:t>
            </w:r>
            <w:r w:rsidRPr="007E5673">
              <w:rPr>
                <w:sz w:val="22"/>
                <w:szCs w:val="22"/>
              </w:rPr>
              <w:t>(2), 163–164. https://doi.org/10.1038/s41587-019-0394-6</w:t>
            </w:r>
          </w:p>
          <w:p w14:paraId="728544B4" w14:textId="7DA562B9" w:rsidR="00593BC6" w:rsidRPr="007E5673" w:rsidRDefault="00593BC6" w:rsidP="007E5673">
            <w:pPr>
              <w:rPr>
                <w:sz w:val="22"/>
                <w:szCs w:val="22"/>
              </w:rPr>
            </w:pPr>
          </w:p>
        </w:tc>
      </w:tr>
      <w:tr w:rsidR="00593BC6" w:rsidRPr="007E5673" w14:paraId="27D65F93" w14:textId="77777777" w:rsidTr="00135D96">
        <w:trPr>
          <w:cantSplit/>
          <w:trHeight w:val="233"/>
        </w:trPr>
        <w:tc>
          <w:tcPr>
            <w:tcW w:w="918" w:type="dxa"/>
          </w:tcPr>
          <w:p w14:paraId="6FEE838D" w14:textId="40C24F15" w:rsidR="00593BC6" w:rsidRPr="007E5673" w:rsidRDefault="007E5673" w:rsidP="00EA105F">
            <w:pPr>
              <w:rPr>
                <w:sz w:val="22"/>
                <w:szCs w:val="22"/>
              </w:rPr>
            </w:pPr>
            <w:r w:rsidRPr="007E5673">
              <w:rPr>
                <w:sz w:val="22"/>
                <w:szCs w:val="22"/>
              </w:rPr>
              <w:t>18</w:t>
            </w:r>
          </w:p>
        </w:tc>
        <w:tc>
          <w:tcPr>
            <w:tcW w:w="1125" w:type="dxa"/>
          </w:tcPr>
          <w:p w14:paraId="2C39B009" w14:textId="0D7A9978" w:rsidR="00593BC6" w:rsidRPr="007E5673" w:rsidRDefault="007E5673" w:rsidP="00EA105F">
            <w:pPr>
              <w:rPr>
                <w:sz w:val="22"/>
                <w:szCs w:val="22"/>
              </w:rPr>
            </w:pPr>
            <w:r w:rsidRPr="007E5673">
              <w:rPr>
                <w:sz w:val="22"/>
                <w:szCs w:val="22"/>
              </w:rPr>
              <w:t>47</w:t>
            </w:r>
          </w:p>
        </w:tc>
        <w:tc>
          <w:tcPr>
            <w:tcW w:w="8145" w:type="dxa"/>
            <w:gridSpan w:val="2"/>
          </w:tcPr>
          <w:p w14:paraId="3C230DD4" w14:textId="1CB220A3" w:rsidR="00593BC6" w:rsidRPr="007E5673" w:rsidRDefault="007E5673" w:rsidP="00EA105F">
            <w:pPr>
              <w:rPr>
                <w:sz w:val="22"/>
                <w:szCs w:val="22"/>
              </w:rPr>
            </w:pPr>
            <w:r w:rsidRPr="007E5673">
              <w:rPr>
                <w:sz w:val="22"/>
                <w:szCs w:val="22"/>
              </w:rPr>
              <w:t>Using the term “advances”, implies that applications have been made in the area of plant and animal engineering and health applications. The overwhelming majority of CRISPR use is still at the preliminary research stage without demonstrable ‘advances’ for commercialised products.  It would therefore be more accurate to state that CRISPR-Cas systems have led to ‘preliminary research advances’ rather than</w:t>
            </w:r>
          </w:p>
        </w:tc>
      </w:tr>
      <w:tr w:rsidR="00593BC6" w:rsidRPr="007E5673" w14:paraId="7F41CC7E" w14:textId="77777777" w:rsidTr="00135D96">
        <w:trPr>
          <w:cantSplit/>
          <w:trHeight w:val="233"/>
        </w:trPr>
        <w:tc>
          <w:tcPr>
            <w:tcW w:w="918" w:type="dxa"/>
          </w:tcPr>
          <w:p w14:paraId="661D50E8" w14:textId="67B16581" w:rsidR="00593BC6" w:rsidRPr="007E5673" w:rsidRDefault="007E5673" w:rsidP="00EA105F">
            <w:pPr>
              <w:rPr>
                <w:sz w:val="22"/>
                <w:szCs w:val="22"/>
              </w:rPr>
            </w:pPr>
            <w:r w:rsidRPr="007E5673">
              <w:rPr>
                <w:sz w:val="22"/>
                <w:szCs w:val="22"/>
              </w:rPr>
              <w:t>31</w:t>
            </w:r>
          </w:p>
        </w:tc>
        <w:tc>
          <w:tcPr>
            <w:tcW w:w="1125" w:type="dxa"/>
          </w:tcPr>
          <w:p w14:paraId="0DB5D191" w14:textId="00FA1391" w:rsidR="00593BC6" w:rsidRPr="007E5673" w:rsidRDefault="007E5673" w:rsidP="00EA105F">
            <w:pPr>
              <w:rPr>
                <w:sz w:val="22"/>
                <w:szCs w:val="22"/>
              </w:rPr>
            </w:pPr>
            <w:r w:rsidRPr="007E5673">
              <w:rPr>
                <w:sz w:val="22"/>
                <w:szCs w:val="22"/>
              </w:rPr>
              <w:t>27</w:t>
            </w:r>
          </w:p>
        </w:tc>
        <w:tc>
          <w:tcPr>
            <w:tcW w:w="8145" w:type="dxa"/>
            <w:gridSpan w:val="2"/>
          </w:tcPr>
          <w:p w14:paraId="13354FC4" w14:textId="43CDF1E5" w:rsidR="00593BC6" w:rsidRPr="007E5673" w:rsidRDefault="007E5673" w:rsidP="00EA105F">
            <w:pPr>
              <w:rPr>
                <w:sz w:val="22"/>
                <w:szCs w:val="22"/>
              </w:rPr>
            </w:pPr>
            <w:r w:rsidRPr="007E5673">
              <w:rPr>
                <w:sz w:val="22"/>
                <w:szCs w:val="22"/>
              </w:rPr>
              <w:t>As written the statement implies that a company (Oxitec) has developed a self-limiting GM mosquito, when, in reality, this is still at the experimental stage, with several unpredicted effects reported and no benefits yet demonstrated.</w:t>
            </w:r>
          </w:p>
        </w:tc>
      </w:tr>
      <w:tr w:rsidR="007E5673" w:rsidRPr="007E5673" w14:paraId="13FA372C" w14:textId="77777777" w:rsidTr="00135D96">
        <w:trPr>
          <w:cantSplit/>
          <w:trHeight w:val="233"/>
        </w:trPr>
        <w:tc>
          <w:tcPr>
            <w:tcW w:w="918" w:type="dxa"/>
          </w:tcPr>
          <w:p w14:paraId="65DB6A27" w14:textId="4E117285" w:rsidR="007E5673" w:rsidRPr="007E5673" w:rsidRDefault="007E5673" w:rsidP="00EA105F">
            <w:pPr>
              <w:rPr>
                <w:sz w:val="22"/>
                <w:szCs w:val="22"/>
              </w:rPr>
            </w:pPr>
            <w:r w:rsidRPr="007E5673">
              <w:rPr>
                <w:sz w:val="22"/>
                <w:szCs w:val="22"/>
              </w:rPr>
              <w:t>31</w:t>
            </w:r>
          </w:p>
        </w:tc>
        <w:tc>
          <w:tcPr>
            <w:tcW w:w="1125" w:type="dxa"/>
          </w:tcPr>
          <w:p w14:paraId="2D843FD9" w14:textId="110908D5" w:rsidR="007E5673" w:rsidRPr="007E5673" w:rsidRDefault="007E5673" w:rsidP="00EA105F">
            <w:pPr>
              <w:rPr>
                <w:sz w:val="22"/>
                <w:szCs w:val="22"/>
              </w:rPr>
            </w:pPr>
            <w:r w:rsidRPr="007E5673">
              <w:rPr>
                <w:sz w:val="22"/>
                <w:szCs w:val="22"/>
              </w:rPr>
              <w:t>36</w:t>
            </w:r>
          </w:p>
        </w:tc>
        <w:tc>
          <w:tcPr>
            <w:tcW w:w="8145" w:type="dxa"/>
            <w:gridSpan w:val="2"/>
          </w:tcPr>
          <w:p w14:paraId="45922DF7" w14:textId="44594905" w:rsidR="007E5673" w:rsidRPr="007E5673" w:rsidRDefault="007E5673" w:rsidP="00EA105F">
            <w:pPr>
              <w:rPr>
                <w:sz w:val="22"/>
                <w:szCs w:val="22"/>
              </w:rPr>
            </w:pPr>
            <w:r w:rsidRPr="007E5673">
              <w:rPr>
                <w:sz w:val="22"/>
                <w:szCs w:val="22"/>
              </w:rPr>
              <w:t xml:space="preserve">The Menz (2020) study the paper cites itself suggests that the claims of those producing the cultivars have yet to be substantiated, yet the success of the technique is stated as fact.   Given the information provided by Menz et al., (2020), the sentence should be corrected to reflect that traits improving yield, nutrition or pest resistance are in development e.g. the sentence could be modified to: “Menz et al., (2020) have recently reviewed and estimated that 140 genome-edited cultivars of 36 crops that aim to improve yields, nutrition, and pest resistance, are already under development, </w:t>
            </w:r>
            <w:r w:rsidRPr="007E5673">
              <w:rPr>
                <w:i/>
                <w:sz w:val="22"/>
                <w:szCs w:val="22"/>
              </w:rPr>
              <w:t>though evidence of efficacy remains to be substantiated</w:t>
            </w:r>
            <w:r w:rsidRPr="007E5673">
              <w:rPr>
                <w:sz w:val="22"/>
                <w:szCs w:val="22"/>
              </w:rPr>
              <w:t>.”</w:t>
            </w:r>
          </w:p>
        </w:tc>
      </w:tr>
      <w:tr w:rsidR="007E5673" w:rsidRPr="007E5673" w14:paraId="30670BCB" w14:textId="77777777" w:rsidTr="00135D96">
        <w:trPr>
          <w:cantSplit/>
          <w:trHeight w:val="233"/>
        </w:trPr>
        <w:tc>
          <w:tcPr>
            <w:tcW w:w="918" w:type="dxa"/>
          </w:tcPr>
          <w:p w14:paraId="1BD66050" w14:textId="7F64695B" w:rsidR="007E5673" w:rsidRPr="007E5673" w:rsidRDefault="007E5673" w:rsidP="00EA105F">
            <w:pPr>
              <w:rPr>
                <w:sz w:val="22"/>
                <w:szCs w:val="22"/>
              </w:rPr>
            </w:pPr>
            <w:r w:rsidRPr="007E5673">
              <w:rPr>
                <w:sz w:val="22"/>
                <w:szCs w:val="22"/>
              </w:rPr>
              <w:lastRenderedPageBreak/>
              <w:t>41</w:t>
            </w:r>
          </w:p>
        </w:tc>
        <w:tc>
          <w:tcPr>
            <w:tcW w:w="1125" w:type="dxa"/>
          </w:tcPr>
          <w:p w14:paraId="0A3995A3" w14:textId="3F280E14" w:rsidR="007E5673" w:rsidRPr="007E5673" w:rsidRDefault="007E5673" w:rsidP="00EA105F">
            <w:pPr>
              <w:rPr>
                <w:sz w:val="22"/>
                <w:szCs w:val="22"/>
              </w:rPr>
            </w:pPr>
            <w:r w:rsidRPr="007E5673">
              <w:rPr>
                <w:sz w:val="22"/>
                <w:szCs w:val="22"/>
              </w:rPr>
              <w:t>Entire section 4.1</w:t>
            </w:r>
          </w:p>
        </w:tc>
        <w:tc>
          <w:tcPr>
            <w:tcW w:w="8145" w:type="dxa"/>
            <w:gridSpan w:val="2"/>
          </w:tcPr>
          <w:p w14:paraId="5D39EF9D" w14:textId="77777777" w:rsidR="007E5673" w:rsidRPr="007E5673" w:rsidRDefault="007E5673" w:rsidP="007E5673">
            <w:pPr>
              <w:spacing w:before="100" w:beforeAutospacing="1" w:after="100" w:afterAutospacing="1"/>
              <w:rPr>
                <w:rFonts w:ascii="TimesNewRomanPSMT" w:hAnsi="TimesNewRomanPSMT"/>
                <w:sz w:val="22"/>
                <w:szCs w:val="22"/>
                <w:lang w:eastAsia="en-GB"/>
              </w:rPr>
            </w:pPr>
            <w:r w:rsidRPr="007E5673">
              <w:rPr>
                <w:rFonts w:ascii="TimesNewRomanPSMT" w:hAnsi="TimesNewRomanPSMT"/>
                <w:sz w:val="22"/>
                <w:szCs w:val="22"/>
                <w:lang w:eastAsia="en-GB"/>
              </w:rPr>
              <w:t>In discussing the positive and negative impacts of gene drives, potential negative impacts on disease epidemiology have not been included, both as a result of efficacy failures/ unintended effects (Beisel and Bo</w:t>
            </w:r>
            <w:r w:rsidRPr="007E5673">
              <w:rPr>
                <w:sz w:val="22"/>
                <w:szCs w:val="22"/>
              </w:rPr>
              <w:t>ë</w:t>
            </w:r>
            <w:r w:rsidRPr="007E5673">
              <w:rPr>
                <w:rFonts w:ascii="TimesNewRomanPSMT" w:hAnsi="TimesNewRomanPSMT"/>
                <w:sz w:val="22"/>
                <w:szCs w:val="22"/>
                <w:lang w:eastAsia="en-GB"/>
              </w:rPr>
              <w:t>te, 2013; Sirinathsinghji et al., 2019).   It is vital that gene drive technologies are not incorrectly and simplistically framed as having only potential benefits on disease, while potential negative effects are limited to ecological impacts.</w:t>
            </w:r>
          </w:p>
          <w:p w14:paraId="12AA323B" w14:textId="77777777" w:rsidR="007E5673" w:rsidRPr="007E5673" w:rsidRDefault="007E5673" w:rsidP="007E5673">
            <w:pPr>
              <w:spacing w:before="100" w:beforeAutospacing="1" w:after="100" w:afterAutospacing="1"/>
              <w:rPr>
                <w:rFonts w:ascii="TimesNewRomanPSMT" w:hAnsi="TimesNewRomanPSMT"/>
                <w:sz w:val="22"/>
                <w:szCs w:val="22"/>
                <w:lang w:eastAsia="en-GB"/>
              </w:rPr>
            </w:pPr>
            <w:r w:rsidRPr="007E5673">
              <w:rPr>
                <w:rFonts w:ascii="TimesNewRomanPSMT" w:hAnsi="TimesNewRomanPSMT"/>
                <w:sz w:val="22"/>
                <w:szCs w:val="22"/>
                <w:lang w:eastAsia="en-GB"/>
              </w:rPr>
              <w:t xml:space="preserve">Potential adverse effects on health, such as disease resurgence in the event of drive resistance development and population re-bound are even acknowledged by gene drive developers (James et al., 2020), and also raised in the WHO guidance materials (2021). Niche-replacement with other disease vectors, the development of increased pathogenicity in response to effector molecules in gene replacement drives, increases in vector competence and capacity are also potential outcomes. Moreover, some of these adverse effects cannot be assessed prior to release. Wider ecological and social determinants are completely omitted, ranging from issues such as behavioural resistance; and impacts on wider social determinants of disease and existing treatments that may suffer opportunity costs from any narrow technological focus on disease interventions. Of note, China has been recently declared malaria free, based largely on access to free health services, surveillance and political coordination, demonstrating the importance of existing strategies in defeating vector borne disease.  </w:t>
            </w:r>
          </w:p>
          <w:p w14:paraId="2655ACE5" w14:textId="77777777" w:rsidR="007E5673" w:rsidRPr="007E5673" w:rsidRDefault="007E5673" w:rsidP="007E5673">
            <w:pPr>
              <w:spacing w:before="100" w:beforeAutospacing="1" w:after="100" w:afterAutospacing="1"/>
              <w:rPr>
                <w:rFonts w:ascii="TimesNewRomanPSMT" w:hAnsi="TimesNewRomanPSMT"/>
                <w:sz w:val="22"/>
                <w:szCs w:val="22"/>
                <w:lang w:eastAsia="en-GB"/>
              </w:rPr>
            </w:pPr>
            <w:r w:rsidRPr="007E5673">
              <w:rPr>
                <w:sz w:val="22"/>
                <w:szCs w:val="22"/>
              </w:rPr>
              <w:t xml:space="preserve">Sirinathsinghji (2020) Risk Assessment Challenges of Synthetic Gene Drive Organisms. </w:t>
            </w:r>
            <w:r w:rsidRPr="007E5673">
              <w:rPr>
                <w:rFonts w:ascii="TimesNewRomanPSMT" w:hAnsi="TimesNewRomanPSMT"/>
                <w:sz w:val="22"/>
                <w:szCs w:val="22"/>
              </w:rPr>
              <w:t xml:space="preserve"> Third World Network Biosafety Briefing. </w:t>
            </w:r>
            <w:hyperlink r:id="rId9" w:history="1">
              <w:r w:rsidRPr="007E5673">
                <w:rPr>
                  <w:rStyle w:val="Hyperlink"/>
                  <w:rFonts w:ascii="TimesNewRomanPSMT" w:hAnsi="TimesNewRomanPSMT"/>
                  <w:sz w:val="22"/>
                  <w:szCs w:val="22"/>
                </w:rPr>
                <w:t>https://biosafety-info.net/articles/assessment-impacts/risk-assessment/risk-assessment-challenges-of-synthetic-gene-drive-organisms/</w:t>
              </w:r>
            </w:hyperlink>
          </w:p>
          <w:p w14:paraId="3FD68E28" w14:textId="77777777" w:rsidR="007E5673" w:rsidRPr="007E5673" w:rsidRDefault="007E5673" w:rsidP="007E5673">
            <w:pPr>
              <w:rPr>
                <w:sz w:val="22"/>
                <w:szCs w:val="22"/>
              </w:rPr>
            </w:pPr>
            <w:r w:rsidRPr="007E5673">
              <w:rPr>
                <w:sz w:val="22"/>
                <w:szCs w:val="22"/>
              </w:rPr>
              <w:t>Beisel U and Boëte C (2013). The Flying Public Health Tool: Genetically Modified Mosquitoes and Malaria Control. </w:t>
            </w:r>
            <w:r w:rsidRPr="007E5673">
              <w:rPr>
                <w:i/>
                <w:iCs/>
                <w:sz w:val="22"/>
                <w:szCs w:val="22"/>
              </w:rPr>
              <w:t>Science as Culture</w:t>
            </w:r>
            <w:r w:rsidRPr="007E5673">
              <w:rPr>
                <w:sz w:val="22"/>
                <w:szCs w:val="22"/>
              </w:rPr>
              <w:t>, 22, 38-60. doi: 10.1080/09505431.2013.776364</w:t>
            </w:r>
          </w:p>
          <w:p w14:paraId="25185A84" w14:textId="77777777" w:rsidR="007E5673" w:rsidRPr="007E5673" w:rsidRDefault="007E5673" w:rsidP="007E5673">
            <w:pPr>
              <w:rPr>
                <w:sz w:val="22"/>
                <w:szCs w:val="22"/>
              </w:rPr>
            </w:pPr>
          </w:p>
          <w:p w14:paraId="32554675" w14:textId="77777777" w:rsidR="007E5673" w:rsidRPr="007E5673" w:rsidRDefault="007E5673" w:rsidP="007E5673">
            <w:pPr>
              <w:rPr>
                <w:sz w:val="22"/>
                <w:szCs w:val="22"/>
              </w:rPr>
            </w:pPr>
            <w:r w:rsidRPr="007E5673">
              <w:rPr>
                <w:sz w:val="22"/>
                <w:szCs w:val="22"/>
              </w:rPr>
              <w:t xml:space="preserve">James, S. L., Marshall, J. M., Christophides, G. K., Okumu, F. O. &amp; Nolan, T. Toward the Definition of Efficacy and Safety Criteria for Advancing Gene Drive-Modified Mosquitoes to Field Testing. </w:t>
            </w:r>
            <w:r w:rsidRPr="007E5673">
              <w:rPr>
                <w:i/>
                <w:iCs/>
                <w:sz w:val="22"/>
                <w:szCs w:val="22"/>
              </w:rPr>
              <w:t>Vector-Borne Zoonotic Dis.</w:t>
            </w:r>
            <w:r w:rsidRPr="007E5673">
              <w:rPr>
                <w:sz w:val="22"/>
                <w:szCs w:val="22"/>
              </w:rPr>
              <w:t xml:space="preserve"> </w:t>
            </w:r>
            <w:r w:rsidRPr="007E5673">
              <w:rPr>
                <w:b/>
                <w:bCs/>
                <w:sz w:val="22"/>
                <w:szCs w:val="22"/>
              </w:rPr>
              <w:t>20</w:t>
            </w:r>
            <w:r w:rsidRPr="007E5673">
              <w:rPr>
                <w:sz w:val="22"/>
                <w:szCs w:val="22"/>
              </w:rPr>
              <w:t>, 237–251 (2020).</w:t>
            </w:r>
          </w:p>
          <w:p w14:paraId="5E2E4702" w14:textId="77777777" w:rsidR="007E5673" w:rsidRPr="007E5673" w:rsidRDefault="007E5673" w:rsidP="00EA105F">
            <w:pPr>
              <w:rPr>
                <w:sz w:val="22"/>
                <w:szCs w:val="22"/>
              </w:rPr>
            </w:pPr>
          </w:p>
        </w:tc>
      </w:tr>
      <w:tr w:rsidR="007E5673" w:rsidRPr="007E5673" w14:paraId="3E7CFFC2" w14:textId="77777777" w:rsidTr="00135D96">
        <w:trPr>
          <w:cantSplit/>
          <w:trHeight w:val="233"/>
        </w:trPr>
        <w:tc>
          <w:tcPr>
            <w:tcW w:w="918" w:type="dxa"/>
          </w:tcPr>
          <w:p w14:paraId="321A3019" w14:textId="448FB279" w:rsidR="007E5673" w:rsidRPr="007E5673" w:rsidRDefault="007E5673" w:rsidP="00EA105F">
            <w:pPr>
              <w:rPr>
                <w:sz w:val="22"/>
                <w:szCs w:val="22"/>
              </w:rPr>
            </w:pPr>
            <w:r>
              <w:rPr>
                <w:sz w:val="22"/>
                <w:szCs w:val="22"/>
              </w:rPr>
              <w:t>42</w:t>
            </w:r>
          </w:p>
        </w:tc>
        <w:tc>
          <w:tcPr>
            <w:tcW w:w="1125" w:type="dxa"/>
          </w:tcPr>
          <w:p w14:paraId="31B3F764" w14:textId="47C31697" w:rsidR="007E5673" w:rsidRPr="007E5673" w:rsidRDefault="007E5673" w:rsidP="00EA105F">
            <w:pPr>
              <w:rPr>
                <w:sz w:val="22"/>
                <w:szCs w:val="22"/>
              </w:rPr>
            </w:pPr>
            <w:r>
              <w:rPr>
                <w:sz w:val="22"/>
                <w:szCs w:val="22"/>
              </w:rPr>
              <w:t>47</w:t>
            </w:r>
          </w:p>
        </w:tc>
        <w:tc>
          <w:tcPr>
            <w:tcW w:w="8145" w:type="dxa"/>
            <w:gridSpan w:val="2"/>
          </w:tcPr>
          <w:p w14:paraId="58E24637" w14:textId="272B3B36" w:rsidR="007E5673" w:rsidRDefault="007E5673" w:rsidP="007E5673">
            <w:pPr>
              <w:rPr>
                <w:sz w:val="22"/>
                <w:szCs w:val="22"/>
              </w:rPr>
            </w:pPr>
            <w:r>
              <w:rPr>
                <w:sz w:val="22"/>
                <w:szCs w:val="22"/>
              </w:rPr>
              <w:t xml:space="preserve">It is currently premature to state that gene drives offer “genuine potential” for continental-wide eradication. </w:t>
            </w:r>
            <w:r w:rsidRPr="007E5673">
              <w:rPr>
                <w:sz w:val="22"/>
                <w:szCs w:val="22"/>
              </w:rPr>
              <w:t xml:space="preserve">This wording should be corrected for bias. </w:t>
            </w:r>
            <w:r>
              <w:rPr>
                <w:sz w:val="22"/>
                <w:szCs w:val="22"/>
              </w:rPr>
              <w:t xml:space="preserve">It is generally accepted that gene drives will not completely eliminate mosquitoes, and some modelling suggests that releases will result in heterogeneous populations of wild-type and gene drive mosquitoes, even with regular releases (e.g. North et al., 2020). More recent data suggests that various ecological and climactic factors may have significant impacts on efficacy that remains understudied (Morris et al., 2021). Other issues, such as drive resistance, may also impede efficacy. It remains scientifically premature to state that they offer “genuine potential” for eradication across a continent. </w:t>
            </w:r>
          </w:p>
          <w:p w14:paraId="7BAC988C" w14:textId="77777777" w:rsidR="007E5673" w:rsidRPr="007E5673" w:rsidRDefault="007E5673" w:rsidP="007E5673">
            <w:pPr>
              <w:pStyle w:val="NormalWeb"/>
              <w:rPr>
                <w:rFonts w:ascii="TimesNewRomanPSMT" w:hAnsi="TimesNewRomanPSMT"/>
                <w:iCs/>
                <w:sz w:val="22"/>
                <w:szCs w:val="22"/>
              </w:rPr>
            </w:pPr>
            <w:r w:rsidRPr="007E5673">
              <w:rPr>
                <w:rFonts w:ascii="TimesNewRomanPSMT" w:hAnsi="TimesNewRomanPSMT"/>
                <w:sz w:val="22"/>
                <w:szCs w:val="22"/>
              </w:rPr>
              <w:t>We suggest the sentence is corrected to reflect the uncertainty of gene drive efficacy as follows: “</w:t>
            </w:r>
            <w:r w:rsidRPr="007E5673">
              <w:rPr>
                <w:rFonts w:ascii="TimesNewRomanPSMT" w:hAnsi="TimesNewRomanPSMT"/>
                <w:iCs/>
                <w:sz w:val="22"/>
                <w:szCs w:val="22"/>
              </w:rPr>
              <w:t xml:space="preserve">This approach </w:t>
            </w:r>
            <w:r w:rsidRPr="007E5673">
              <w:rPr>
                <w:rFonts w:ascii="TimesNewRomanPSMT" w:hAnsi="TimesNewRomanPSMT"/>
                <w:bCs/>
                <w:i/>
                <w:iCs/>
                <w:sz w:val="22"/>
                <w:szCs w:val="22"/>
              </w:rPr>
              <w:t>is designed to</w:t>
            </w:r>
            <w:r w:rsidRPr="007E5673">
              <w:rPr>
                <w:rFonts w:ascii="TimesNewRomanPSMT" w:hAnsi="TimesNewRomanPSMT"/>
                <w:bCs/>
                <w:iCs/>
                <w:sz w:val="22"/>
                <w:szCs w:val="22"/>
              </w:rPr>
              <w:t xml:space="preserve"> </w:t>
            </w:r>
            <w:r w:rsidRPr="007E5673">
              <w:rPr>
                <w:rFonts w:ascii="TimesNewRomanPSMT" w:hAnsi="TimesNewRomanPSMT"/>
                <w:iCs/>
                <w:sz w:val="22"/>
                <w:szCs w:val="22"/>
              </w:rPr>
              <w:t xml:space="preserve">increase the feasibility of large-scale control, </w:t>
            </w:r>
            <w:r w:rsidRPr="007E5673">
              <w:rPr>
                <w:rFonts w:ascii="TimesNewRomanPSMT" w:hAnsi="TimesNewRomanPSMT"/>
                <w:bCs/>
                <w:i/>
                <w:iCs/>
                <w:sz w:val="22"/>
                <w:szCs w:val="22"/>
              </w:rPr>
              <w:t>though</w:t>
            </w:r>
            <w:r w:rsidRPr="007E5673">
              <w:rPr>
                <w:rFonts w:ascii="TimesNewRomanPSMT" w:hAnsi="TimesNewRomanPSMT"/>
                <w:iCs/>
                <w:sz w:val="22"/>
                <w:szCs w:val="22"/>
              </w:rPr>
              <w:t xml:space="preserve"> potential for continental-</w:t>
            </w:r>
            <w:r w:rsidRPr="007E5673">
              <w:rPr>
                <w:rFonts w:ascii="Calibri" w:hAnsi="Calibri"/>
                <w:iCs/>
                <w:sz w:val="22"/>
                <w:szCs w:val="22"/>
              </w:rPr>
              <w:t> </w:t>
            </w:r>
            <w:r w:rsidRPr="007E5673">
              <w:rPr>
                <w:rFonts w:ascii="TimesNewRomanPSMT" w:hAnsi="TimesNewRomanPSMT"/>
                <w:iCs/>
                <w:sz w:val="22"/>
                <w:szCs w:val="22"/>
              </w:rPr>
              <w:t xml:space="preserve">scale eradication of unwanted wild populations or species </w:t>
            </w:r>
            <w:r w:rsidRPr="007E5673">
              <w:rPr>
                <w:rFonts w:ascii="TimesNewRomanPSMT" w:hAnsi="TimesNewRomanPSMT"/>
                <w:bCs/>
                <w:i/>
                <w:iCs/>
                <w:sz w:val="22"/>
                <w:szCs w:val="22"/>
              </w:rPr>
              <w:t>remains questionable, with potential for unintended effects such as drive resistance expected to impede eradication efforts</w:t>
            </w:r>
            <w:r w:rsidRPr="007E5673">
              <w:rPr>
                <w:rFonts w:ascii="TimesNewRomanPSMT" w:hAnsi="TimesNewRomanPSMT"/>
                <w:i/>
                <w:iCs/>
                <w:sz w:val="22"/>
                <w:szCs w:val="22"/>
              </w:rPr>
              <w:t>.</w:t>
            </w:r>
            <w:r w:rsidRPr="007E5673">
              <w:rPr>
                <w:rFonts w:ascii="TimesNewRomanPSMT" w:hAnsi="TimesNewRomanPSMT"/>
                <w:iCs/>
                <w:sz w:val="22"/>
                <w:szCs w:val="22"/>
              </w:rPr>
              <w:t xml:space="preserve">” </w:t>
            </w:r>
          </w:p>
          <w:p w14:paraId="27653AA2" w14:textId="77777777" w:rsidR="007E5673" w:rsidRDefault="007E5673" w:rsidP="007E5673">
            <w:pPr>
              <w:rPr>
                <w:sz w:val="22"/>
                <w:szCs w:val="22"/>
              </w:rPr>
            </w:pPr>
            <w:r w:rsidRPr="00621B9B">
              <w:rPr>
                <w:sz w:val="22"/>
                <w:szCs w:val="22"/>
              </w:rPr>
              <w:lastRenderedPageBreak/>
              <w:t>North, A.R., Burt, A. &amp; Godfray, H.C.J. Modelling the suppression of a malaria vector using a CRISPR-Cas9 gene drive to reduce female fertility. </w:t>
            </w:r>
            <w:r w:rsidRPr="00621B9B">
              <w:rPr>
                <w:i/>
                <w:iCs/>
                <w:sz w:val="22"/>
                <w:szCs w:val="22"/>
              </w:rPr>
              <w:t>BMC Biol</w:t>
            </w:r>
            <w:r w:rsidRPr="00621B9B">
              <w:rPr>
                <w:sz w:val="22"/>
                <w:szCs w:val="22"/>
              </w:rPr>
              <w:t> </w:t>
            </w:r>
            <w:r w:rsidRPr="00621B9B">
              <w:rPr>
                <w:b/>
                <w:bCs/>
                <w:sz w:val="22"/>
                <w:szCs w:val="22"/>
              </w:rPr>
              <w:t>18, </w:t>
            </w:r>
            <w:r w:rsidRPr="00621B9B">
              <w:rPr>
                <w:sz w:val="22"/>
                <w:szCs w:val="22"/>
              </w:rPr>
              <w:t xml:space="preserve">98 (2020). </w:t>
            </w:r>
            <w:hyperlink r:id="rId10" w:history="1">
              <w:r w:rsidRPr="00621B9B">
                <w:rPr>
                  <w:rStyle w:val="Hyperlink"/>
                  <w:sz w:val="22"/>
                  <w:szCs w:val="22"/>
                </w:rPr>
                <w:t>https://doi.org/10.1186/s12915-020-00834-z</w:t>
              </w:r>
            </w:hyperlink>
          </w:p>
          <w:p w14:paraId="7187116B" w14:textId="77777777" w:rsidR="007E5673" w:rsidRDefault="007E5673" w:rsidP="007E5673">
            <w:pPr>
              <w:rPr>
                <w:sz w:val="22"/>
                <w:szCs w:val="22"/>
              </w:rPr>
            </w:pPr>
          </w:p>
          <w:p w14:paraId="65B43B64" w14:textId="77777777" w:rsidR="007E5673" w:rsidRDefault="007E5673" w:rsidP="007E5673">
            <w:pPr>
              <w:rPr>
                <w:sz w:val="22"/>
                <w:szCs w:val="22"/>
              </w:rPr>
            </w:pPr>
            <w:r w:rsidRPr="00621B9B">
              <w:rPr>
                <w:sz w:val="22"/>
                <w:szCs w:val="22"/>
              </w:rPr>
              <w:t>Morris, A.L., Ghani, A. &amp; Ferguson, N. Fine-scale estimation of key life-history parameters of malaria vectors: implications for next-generation vector control technologies. </w:t>
            </w:r>
            <w:r w:rsidRPr="00621B9B">
              <w:rPr>
                <w:i/>
                <w:iCs/>
                <w:sz w:val="22"/>
                <w:szCs w:val="22"/>
              </w:rPr>
              <w:t>Parasites Vectors</w:t>
            </w:r>
            <w:r w:rsidRPr="00621B9B">
              <w:rPr>
                <w:sz w:val="22"/>
                <w:szCs w:val="22"/>
              </w:rPr>
              <w:t> </w:t>
            </w:r>
            <w:r w:rsidRPr="00621B9B">
              <w:rPr>
                <w:b/>
                <w:bCs/>
                <w:sz w:val="22"/>
                <w:szCs w:val="22"/>
              </w:rPr>
              <w:t>14, </w:t>
            </w:r>
            <w:r w:rsidRPr="00621B9B">
              <w:rPr>
                <w:sz w:val="22"/>
                <w:szCs w:val="22"/>
              </w:rPr>
              <w:t>311 (2021). https://doi.org/10.1186/s13071-021-04789-0</w:t>
            </w:r>
          </w:p>
          <w:p w14:paraId="602675AB" w14:textId="77777777" w:rsidR="007E5673" w:rsidRPr="007E5673" w:rsidRDefault="007E5673" w:rsidP="00EA105F">
            <w:pPr>
              <w:rPr>
                <w:sz w:val="22"/>
                <w:szCs w:val="22"/>
              </w:rPr>
            </w:pPr>
          </w:p>
        </w:tc>
      </w:tr>
      <w:tr w:rsidR="007E5673" w:rsidRPr="007E5673" w14:paraId="3093A868" w14:textId="77777777" w:rsidTr="00135D96">
        <w:trPr>
          <w:cantSplit/>
          <w:trHeight w:val="233"/>
        </w:trPr>
        <w:tc>
          <w:tcPr>
            <w:tcW w:w="918" w:type="dxa"/>
          </w:tcPr>
          <w:p w14:paraId="7F4C0325" w14:textId="1F9BC5DC" w:rsidR="007E5673" w:rsidRPr="007E5673" w:rsidRDefault="007E5673" w:rsidP="00EA105F">
            <w:pPr>
              <w:rPr>
                <w:sz w:val="22"/>
                <w:szCs w:val="22"/>
              </w:rPr>
            </w:pPr>
            <w:r>
              <w:rPr>
                <w:sz w:val="22"/>
                <w:szCs w:val="22"/>
              </w:rPr>
              <w:t>42</w:t>
            </w:r>
          </w:p>
        </w:tc>
        <w:tc>
          <w:tcPr>
            <w:tcW w:w="1125" w:type="dxa"/>
          </w:tcPr>
          <w:p w14:paraId="2221ACC3" w14:textId="0E7DAA9C" w:rsidR="007E5673" w:rsidRPr="007E5673" w:rsidRDefault="007E5673" w:rsidP="00EA105F">
            <w:pPr>
              <w:rPr>
                <w:sz w:val="22"/>
                <w:szCs w:val="22"/>
              </w:rPr>
            </w:pPr>
            <w:r>
              <w:rPr>
                <w:sz w:val="22"/>
                <w:szCs w:val="22"/>
              </w:rPr>
              <w:t>29</w:t>
            </w:r>
          </w:p>
        </w:tc>
        <w:tc>
          <w:tcPr>
            <w:tcW w:w="8145" w:type="dxa"/>
            <w:gridSpan w:val="2"/>
          </w:tcPr>
          <w:p w14:paraId="00ED744F" w14:textId="7BF7D95C" w:rsidR="007E5673" w:rsidRPr="007E5673" w:rsidRDefault="007E5673" w:rsidP="00EA105F">
            <w:pPr>
              <w:rPr>
                <w:sz w:val="22"/>
                <w:szCs w:val="22"/>
              </w:rPr>
            </w:pPr>
            <w:r w:rsidRPr="007E5673">
              <w:rPr>
                <w:sz w:val="22"/>
                <w:szCs w:val="22"/>
              </w:rPr>
              <w:t>Island locations are not ecologically confined, and thus island releases also raise concerns regarding spread beyond site releases. The sentence erroneously conveys a notion that there is consensus regarding island locations being ‘appealing’ sites for release, when there is actually none. As recently acknowledged by the 2017 Synthetic Biology AHTEG:  “Islands are not ecologically fully contained environments and should not be regarded as fulfilling the conditions in the definition of contained use as per Article 3 of the Cartagena Protocol unless it is so demonstrated.”</w:t>
            </w:r>
          </w:p>
        </w:tc>
      </w:tr>
      <w:tr w:rsidR="007E5673" w:rsidRPr="007E5673" w14:paraId="52C44036" w14:textId="77777777" w:rsidTr="00135D96">
        <w:trPr>
          <w:cantSplit/>
          <w:trHeight w:val="233"/>
        </w:trPr>
        <w:tc>
          <w:tcPr>
            <w:tcW w:w="918" w:type="dxa"/>
          </w:tcPr>
          <w:p w14:paraId="68F1533D" w14:textId="357B8DE2" w:rsidR="007E5673" w:rsidRPr="007E5673" w:rsidRDefault="007E5673" w:rsidP="00EA105F">
            <w:pPr>
              <w:rPr>
                <w:sz w:val="22"/>
                <w:szCs w:val="22"/>
              </w:rPr>
            </w:pPr>
            <w:r>
              <w:rPr>
                <w:sz w:val="22"/>
                <w:szCs w:val="22"/>
              </w:rPr>
              <w:t>46</w:t>
            </w:r>
          </w:p>
        </w:tc>
        <w:tc>
          <w:tcPr>
            <w:tcW w:w="1125" w:type="dxa"/>
          </w:tcPr>
          <w:p w14:paraId="0D1337F6" w14:textId="52FAF8E3" w:rsidR="007E5673" w:rsidRPr="007E5673" w:rsidRDefault="007E5673" w:rsidP="00EA105F">
            <w:pPr>
              <w:rPr>
                <w:sz w:val="22"/>
                <w:szCs w:val="22"/>
              </w:rPr>
            </w:pPr>
            <w:r>
              <w:rPr>
                <w:sz w:val="22"/>
                <w:szCs w:val="22"/>
              </w:rPr>
              <w:t>37</w:t>
            </w:r>
          </w:p>
        </w:tc>
        <w:tc>
          <w:tcPr>
            <w:tcW w:w="8145" w:type="dxa"/>
            <w:gridSpan w:val="2"/>
          </w:tcPr>
          <w:p w14:paraId="355681F4" w14:textId="160DD597" w:rsidR="007E5673" w:rsidRPr="007E5673" w:rsidRDefault="007E5673" w:rsidP="00EA105F">
            <w:pPr>
              <w:rPr>
                <w:sz w:val="22"/>
                <w:szCs w:val="22"/>
              </w:rPr>
            </w:pPr>
            <w:r>
              <w:rPr>
                <w:sz w:val="22"/>
                <w:szCs w:val="22"/>
              </w:rPr>
              <w:t>The p</w:t>
            </w:r>
            <w:r w:rsidRPr="007E5673">
              <w:rPr>
                <w:sz w:val="22"/>
                <w:szCs w:val="22"/>
              </w:rPr>
              <w:t xml:space="preserve">aper </w:t>
            </w:r>
            <w:r>
              <w:rPr>
                <w:sz w:val="22"/>
                <w:szCs w:val="22"/>
              </w:rPr>
              <w:t>notes</w:t>
            </w:r>
            <w:r w:rsidRPr="007E5673">
              <w:rPr>
                <w:sz w:val="22"/>
                <w:szCs w:val="22"/>
              </w:rPr>
              <w:t xml:space="preserve"> considerable uncertainty, but does not explain the seriousness of the threat </w:t>
            </w:r>
            <w:r>
              <w:rPr>
                <w:sz w:val="22"/>
                <w:szCs w:val="22"/>
              </w:rPr>
              <w:t xml:space="preserve">in a reasonable worst case scenario </w:t>
            </w:r>
            <w:r w:rsidRPr="007E5673">
              <w:rPr>
                <w:sz w:val="22"/>
                <w:szCs w:val="22"/>
              </w:rPr>
              <w:t>- i.e. that the use of Synbio could destabilise whole ecosystems</w:t>
            </w:r>
            <w:r>
              <w:rPr>
                <w:sz w:val="22"/>
                <w:szCs w:val="22"/>
              </w:rPr>
              <w:t>,</w:t>
            </w:r>
            <w:r w:rsidRPr="007E5673">
              <w:rPr>
                <w:sz w:val="22"/>
                <w:szCs w:val="22"/>
              </w:rPr>
              <w:t xml:space="preserve"> and potentially the global </w:t>
            </w:r>
            <w:r>
              <w:rPr>
                <w:sz w:val="22"/>
                <w:szCs w:val="22"/>
              </w:rPr>
              <w:t>meteorological</w:t>
            </w:r>
            <w:r w:rsidRPr="007E5673">
              <w:rPr>
                <w:sz w:val="22"/>
                <w:szCs w:val="22"/>
              </w:rPr>
              <w:t xml:space="preserve"> </w:t>
            </w:r>
            <w:r>
              <w:rPr>
                <w:sz w:val="22"/>
                <w:szCs w:val="22"/>
              </w:rPr>
              <w:t xml:space="preserve">systems, </w:t>
            </w:r>
            <w:r w:rsidRPr="007E5673">
              <w:rPr>
                <w:sz w:val="22"/>
                <w:szCs w:val="22"/>
              </w:rPr>
              <w:t>with potentially devastating results.</w:t>
            </w:r>
          </w:p>
        </w:tc>
      </w:tr>
      <w:tr w:rsidR="007E5673" w:rsidRPr="007E5673" w14:paraId="35A879F5" w14:textId="77777777" w:rsidTr="00135D96">
        <w:trPr>
          <w:cantSplit/>
          <w:trHeight w:val="233"/>
        </w:trPr>
        <w:tc>
          <w:tcPr>
            <w:tcW w:w="918" w:type="dxa"/>
          </w:tcPr>
          <w:p w14:paraId="5D438C52" w14:textId="10D4C6BF" w:rsidR="007E5673" w:rsidRPr="007E5673" w:rsidRDefault="007E5673" w:rsidP="00EA105F">
            <w:pPr>
              <w:rPr>
                <w:sz w:val="22"/>
                <w:szCs w:val="22"/>
              </w:rPr>
            </w:pPr>
            <w:r>
              <w:rPr>
                <w:sz w:val="22"/>
                <w:szCs w:val="22"/>
              </w:rPr>
              <w:t>50</w:t>
            </w:r>
          </w:p>
        </w:tc>
        <w:tc>
          <w:tcPr>
            <w:tcW w:w="1125" w:type="dxa"/>
          </w:tcPr>
          <w:p w14:paraId="036B1BF4" w14:textId="228330FE" w:rsidR="007E5673" w:rsidRPr="007E5673" w:rsidRDefault="007E5673" w:rsidP="00EA105F">
            <w:pPr>
              <w:rPr>
                <w:sz w:val="22"/>
                <w:szCs w:val="22"/>
              </w:rPr>
            </w:pPr>
            <w:r>
              <w:rPr>
                <w:sz w:val="22"/>
                <w:szCs w:val="22"/>
              </w:rPr>
              <w:t>33</w:t>
            </w:r>
          </w:p>
        </w:tc>
        <w:tc>
          <w:tcPr>
            <w:tcW w:w="8145" w:type="dxa"/>
            <w:gridSpan w:val="2"/>
          </w:tcPr>
          <w:p w14:paraId="3F57B8E7" w14:textId="2EFB557C" w:rsidR="007E5673" w:rsidRDefault="007E5673" w:rsidP="00EA105F">
            <w:pPr>
              <w:rPr>
                <w:sz w:val="22"/>
                <w:szCs w:val="22"/>
              </w:rPr>
            </w:pPr>
            <w:r w:rsidRPr="007E5673">
              <w:rPr>
                <w:sz w:val="22"/>
                <w:szCs w:val="22"/>
              </w:rPr>
              <w:t>Describes engagement processes initiated by proponents of Synbio, but ignores critiques of such engagement processes and the problem of ethics dumping in the Global South</w:t>
            </w:r>
            <w:r>
              <w:rPr>
                <w:sz w:val="22"/>
                <w:szCs w:val="22"/>
              </w:rPr>
              <w:t xml:space="preserve"> (</w:t>
            </w:r>
            <w:r w:rsidRPr="007E5673">
              <w:rPr>
                <w:sz w:val="22"/>
                <w:szCs w:val="22"/>
              </w:rPr>
              <w:t>Bassey-Orovwuje</w:t>
            </w:r>
            <w:r>
              <w:rPr>
                <w:sz w:val="22"/>
                <w:szCs w:val="22"/>
              </w:rPr>
              <w:t xml:space="preserve"> et al. 2019)</w:t>
            </w:r>
            <w:r w:rsidRPr="007E5673">
              <w:rPr>
                <w:sz w:val="22"/>
                <w:szCs w:val="22"/>
              </w:rPr>
              <w:t>.</w:t>
            </w:r>
          </w:p>
          <w:p w14:paraId="4B3A34A2" w14:textId="77777777" w:rsidR="007E5673" w:rsidRDefault="007E5673" w:rsidP="00EA105F">
            <w:pPr>
              <w:rPr>
                <w:sz w:val="22"/>
                <w:szCs w:val="22"/>
              </w:rPr>
            </w:pPr>
          </w:p>
          <w:p w14:paraId="1E19ACF1" w14:textId="77777777" w:rsidR="007E5673" w:rsidRPr="007E5673" w:rsidRDefault="007E5673" w:rsidP="007E5673">
            <w:pPr>
              <w:rPr>
                <w:sz w:val="22"/>
                <w:szCs w:val="22"/>
              </w:rPr>
            </w:pPr>
            <w:r w:rsidRPr="007E5673">
              <w:rPr>
                <w:sz w:val="22"/>
                <w:szCs w:val="22"/>
              </w:rPr>
              <w:t>Bassey-Orovwuje, M., Thomas, J. &amp; Wakeford, T. Exterminator Genes: The Right to Say No to Ethics Dumping. Development 62, 121–127 (2019). https://doi.org/10.1057/s41301-019-00214-3</w:t>
            </w:r>
          </w:p>
          <w:p w14:paraId="3F1C2446" w14:textId="235D3EAD" w:rsidR="007E5673" w:rsidRPr="007E5673" w:rsidRDefault="007E5673" w:rsidP="00EA105F">
            <w:pPr>
              <w:rPr>
                <w:sz w:val="22"/>
                <w:szCs w:val="22"/>
              </w:rPr>
            </w:pPr>
          </w:p>
        </w:tc>
      </w:tr>
      <w:tr w:rsidR="007E5673" w:rsidRPr="007E5673" w14:paraId="615BA9FE" w14:textId="77777777" w:rsidTr="00135D96">
        <w:trPr>
          <w:cantSplit/>
          <w:trHeight w:val="233"/>
        </w:trPr>
        <w:tc>
          <w:tcPr>
            <w:tcW w:w="918" w:type="dxa"/>
          </w:tcPr>
          <w:p w14:paraId="4841895A" w14:textId="4D58EC78" w:rsidR="007E5673" w:rsidRPr="007E5673" w:rsidRDefault="001B3B4D" w:rsidP="00EA105F">
            <w:pPr>
              <w:rPr>
                <w:sz w:val="22"/>
                <w:szCs w:val="22"/>
              </w:rPr>
            </w:pPr>
            <w:r>
              <w:rPr>
                <w:sz w:val="22"/>
                <w:szCs w:val="22"/>
              </w:rPr>
              <w:t>50</w:t>
            </w:r>
          </w:p>
        </w:tc>
        <w:tc>
          <w:tcPr>
            <w:tcW w:w="1125" w:type="dxa"/>
          </w:tcPr>
          <w:p w14:paraId="153F298D" w14:textId="09BF41F6" w:rsidR="007E5673" w:rsidRPr="007E5673" w:rsidRDefault="001B3B4D" w:rsidP="00EA105F">
            <w:pPr>
              <w:rPr>
                <w:sz w:val="22"/>
                <w:szCs w:val="22"/>
              </w:rPr>
            </w:pPr>
            <w:r>
              <w:rPr>
                <w:sz w:val="22"/>
                <w:szCs w:val="22"/>
              </w:rPr>
              <w:t>35-43</w:t>
            </w:r>
          </w:p>
        </w:tc>
        <w:tc>
          <w:tcPr>
            <w:tcW w:w="8145" w:type="dxa"/>
            <w:gridSpan w:val="2"/>
          </w:tcPr>
          <w:p w14:paraId="3329B042" w14:textId="38DF42D3" w:rsidR="007E5673" w:rsidRPr="007E5673" w:rsidRDefault="001B3B4D" w:rsidP="00EA105F">
            <w:pPr>
              <w:rPr>
                <w:sz w:val="22"/>
                <w:szCs w:val="22"/>
              </w:rPr>
            </w:pPr>
            <w:r w:rsidRPr="001B3B4D">
              <w:rPr>
                <w:sz w:val="22"/>
                <w:szCs w:val="22"/>
              </w:rPr>
              <w:t>A clear distinction should be made between the engagement strategies from developers or proponents of a technology, such as highlighted in this section (e.g. Target Malaria) and genuine processes that aim to obtain the free, prior and informed consent (FPIC) of potentially affected communities. In the former, there could be potential conflicts of interests, and questions can be asked as to whether the consent that is sought is freely given without pressure or manipulation, and whether the information that is provided is unbiased and explains the risks adequately.</w:t>
            </w:r>
          </w:p>
        </w:tc>
      </w:tr>
      <w:tr w:rsidR="00593BC6" w:rsidRPr="007E5673" w14:paraId="21C2AC39" w14:textId="77777777" w:rsidTr="00135D96">
        <w:trPr>
          <w:cantSplit/>
          <w:trHeight w:val="233"/>
        </w:trPr>
        <w:tc>
          <w:tcPr>
            <w:tcW w:w="918" w:type="dxa"/>
          </w:tcPr>
          <w:p w14:paraId="1A4F0A1E" w14:textId="38CAAACA" w:rsidR="00593BC6" w:rsidRPr="007E5673" w:rsidRDefault="001B3B4D" w:rsidP="001B3B4D">
            <w:pPr>
              <w:tabs>
                <w:tab w:val="left" w:pos="567"/>
              </w:tabs>
              <w:rPr>
                <w:sz w:val="22"/>
                <w:szCs w:val="22"/>
              </w:rPr>
            </w:pPr>
            <w:r>
              <w:rPr>
                <w:sz w:val="22"/>
                <w:szCs w:val="22"/>
              </w:rPr>
              <w:t>52</w:t>
            </w:r>
          </w:p>
        </w:tc>
        <w:tc>
          <w:tcPr>
            <w:tcW w:w="1125" w:type="dxa"/>
          </w:tcPr>
          <w:p w14:paraId="6543DC9D" w14:textId="318B601B" w:rsidR="00593BC6" w:rsidRPr="007E5673" w:rsidRDefault="001B3B4D" w:rsidP="00EA105F">
            <w:pPr>
              <w:rPr>
                <w:sz w:val="22"/>
                <w:szCs w:val="22"/>
              </w:rPr>
            </w:pPr>
            <w:r>
              <w:rPr>
                <w:sz w:val="22"/>
                <w:szCs w:val="22"/>
              </w:rPr>
              <w:t>44</w:t>
            </w:r>
          </w:p>
        </w:tc>
        <w:tc>
          <w:tcPr>
            <w:tcW w:w="8145" w:type="dxa"/>
            <w:gridSpan w:val="2"/>
          </w:tcPr>
          <w:p w14:paraId="3EE037EB" w14:textId="12589FF4" w:rsidR="00593BC6" w:rsidRDefault="001B3B4D" w:rsidP="00EA105F">
            <w:pPr>
              <w:rPr>
                <w:sz w:val="22"/>
                <w:szCs w:val="22"/>
              </w:rPr>
            </w:pPr>
            <w:r w:rsidRPr="001B3B4D">
              <w:rPr>
                <w:sz w:val="22"/>
                <w:szCs w:val="22"/>
              </w:rPr>
              <w:t xml:space="preserve">This is an inadequate discussion of the ethical and epistemological arguments about gene drives in the context of Indigenous people’s autonomy, cosmovisions and knowledge systems. The economic paradigm of ecosystems services (Line 49) is just one </w:t>
            </w:r>
            <w:r>
              <w:rPr>
                <w:sz w:val="22"/>
                <w:szCs w:val="22"/>
              </w:rPr>
              <w:t>methodology</w:t>
            </w:r>
            <w:r w:rsidRPr="001B3B4D">
              <w:rPr>
                <w:sz w:val="22"/>
                <w:szCs w:val="22"/>
              </w:rPr>
              <w:t xml:space="preserve"> that people have devised to value biodiversity and is not considered appropriate by a wide range of Indigenous peoples and local communities</w:t>
            </w:r>
            <w:r>
              <w:rPr>
                <w:sz w:val="22"/>
                <w:szCs w:val="22"/>
              </w:rPr>
              <w:t xml:space="preserve"> (Goldtooth 2016)</w:t>
            </w:r>
            <w:r w:rsidRPr="001B3B4D">
              <w:rPr>
                <w:sz w:val="22"/>
                <w:szCs w:val="22"/>
              </w:rPr>
              <w:t>.</w:t>
            </w:r>
          </w:p>
          <w:p w14:paraId="0B671FEF" w14:textId="77777777" w:rsidR="001B3B4D" w:rsidRDefault="001B3B4D" w:rsidP="00EA105F">
            <w:pPr>
              <w:rPr>
                <w:sz w:val="22"/>
                <w:szCs w:val="22"/>
              </w:rPr>
            </w:pPr>
          </w:p>
          <w:p w14:paraId="77736A51" w14:textId="3BFEFA1F" w:rsidR="001B3B4D" w:rsidRPr="007E5673" w:rsidRDefault="001B3B4D" w:rsidP="001B3B4D">
            <w:pPr>
              <w:rPr>
                <w:sz w:val="22"/>
                <w:szCs w:val="22"/>
              </w:rPr>
            </w:pPr>
            <w:r w:rsidRPr="001B3B4D">
              <w:rPr>
                <w:sz w:val="22"/>
                <w:szCs w:val="22"/>
              </w:rPr>
              <w:t>Goldtooth,</w:t>
            </w:r>
            <w:r>
              <w:rPr>
                <w:sz w:val="22"/>
                <w:szCs w:val="22"/>
              </w:rPr>
              <w:t xml:space="preserve"> T (2016). </w:t>
            </w:r>
            <w:r>
              <w:t xml:space="preserve"> </w:t>
            </w:r>
            <w:r w:rsidRPr="001B3B4D">
              <w:rPr>
                <w:sz w:val="22"/>
                <w:szCs w:val="22"/>
              </w:rPr>
              <w:t>Judge’s Statement</w:t>
            </w:r>
            <w:r>
              <w:rPr>
                <w:sz w:val="22"/>
                <w:szCs w:val="22"/>
              </w:rPr>
              <w:t>.</w:t>
            </w:r>
            <w:r>
              <w:t xml:space="preserve"> </w:t>
            </w:r>
            <w:r w:rsidRPr="001B3B4D">
              <w:rPr>
                <w:sz w:val="22"/>
                <w:szCs w:val="22"/>
              </w:rPr>
              <w:t>Paris International Rights of Nature Tribunal</w:t>
            </w:r>
            <w:r>
              <w:rPr>
                <w:sz w:val="22"/>
                <w:szCs w:val="22"/>
              </w:rPr>
              <w:t xml:space="preserve">. </w:t>
            </w:r>
            <w:r>
              <w:t xml:space="preserve"> </w:t>
            </w:r>
            <w:hyperlink r:id="rId11" w:history="1">
              <w:r w:rsidRPr="00306D2D">
                <w:rPr>
                  <w:rStyle w:val="Hyperlink"/>
                  <w:sz w:val="22"/>
                  <w:szCs w:val="22"/>
                </w:rPr>
                <w:t>https://www.therightsofnature.org/paris-financialization-of-nature/</w:t>
              </w:r>
            </w:hyperlink>
            <w:r>
              <w:rPr>
                <w:sz w:val="22"/>
                <w:szCs w:val="22"/>
              </w:rPr>
              <w:t xml:space="preserve"> </w:t>
            </w:r>
          </w:p>
        </w:tc>
      </w:tr>
      <w:tr w:rsidR="001B3B4D" w:rsidRPr="007E5673" w14:paraId="67D7F6D0" w14:textId="77777777" w:rsidTr="00135D96">
        <w:trPr>
          <w:cantSplit/>
          <w:trHeight w:val="233"/>
        </w:trPr>
        <w:tc>
          <w:tcPr>
            <w:tcW w:w="918" w:type="dxa"/>
          </w:tcPr>
          <w:p w14:paraId="65B74439" w14:textId="3DF3BB47" w:rsidR="001B3B4D" w:rsidRPr="007E5673" w:rsidRDefault="001B3B4D" w:rsidP="00EA105F">
            <w:pPr>
              <w:rPr>
                <w:sz w:val="22"/>
                <w:szCs w:val="22"/>
              </w:rPr>
            </w:pPr>
            <w:r>
              <w:rPr>
                <w:sz w:val="22"/>
                <w:szCs w:val="22"/>
              </w:rPr>
              <w:t>57</w:t>
            </w:r>
          </w:p>
        </w:tc>
        <w:tc>
          <w:tcPr>
            <w:tcW w:w="1125" w:type="dxa"/>
          </w:tcPr>
          <w:p w14:paraId="42C13EE9" w14:textId="0B298333" w:rsidR="001B3B4D" w:rsidRPr="007E5673" w:rsidRDefault="001B3B4D" w:rsidP="00EA105F">
            <w:pPr>
              <w:rPr>
                <w:sz w:val="22"/>
                <w:szCs w:val="22"/>
              </w:rPr>
            </w:pPr>
            <w:r>
              <w:rPr>
                <w:sz w:val="22"/>
                <w:szCs w:val="22"/>
              </w:rPr>
              <w:t>21</w:t>
            </w:r>
          </w:p>
        </w:tc>
        <w:tc>
          <w:tcPr>
            <w:tcW w:w="8145" w:type="dxa"/>
            <w:gridSpan w:val="2"/>
          </w:tcPr>
          <w:p w14:paraId="0A974252" w14:textId="7EE79863" w:rsidR="001B3B4D" w:rsidRPr="007E5673" w:rsidRDefault="001B3B4D" w:rsidP="00EA105F">
            <w:pPr>
              <w:rPr>
                <w:sz w:val="22"/>
                <w:szCs w:val="22"/>
              </w:rPr>
            </w:pPr>
            <w:r w:rsidRPr="001B3B4D">
              <w:rPr>
                <w:sz w:val="22"/>
                <w:szCs w:val="22"/>
              </w:rPr>
              <w:t>We strongly support the statement that the acceptability of risk is a social construct (i.e. an issue to be decided through legitimate political processes) and thus must involve a wide range of non-scientific criteria along with scientific parameters as one in the list of needed evaluation criteria,  that can be debated as part of processes of participatory democracy. Indigenous and community farmers knowledge systems should be part of the risk assessment criteria, as well as their right to FPIC</w:t>
            </w:r>
            <w:r>
              <w:rPr>
                <w:sz w:val="22"/>
                <w:szCs w:val="22"/>
              </w:rPr>
              <w:t>.</w:t>
            </w:r>
          </w:p>
        </w:tc>
      </w:tr>
      <w:tr w:rsidR="001B3B4D" w:rsidRPr="007E5673" w14:paraId="5DB2C786" w14:textId="77777777" w:rsidTr="00135D96">
        <w:trPr>
          <w:cantSplit/>
          <w:trHeight w:val="233"/>
        </w:trPr>
        <w:tc>
          <w:tcPr>
            <w:tcW w:w="918" w:type="dxa"/>
          </w:tcPr>
          <w:p w14:paraId="4BB26FBF" w14:textId="6280604B" w:rsidR="001B3B4D" w:rsidRDefault="001B3B4D" w:rsidP="00EA105F">
            <w:pPr>
              <w:rPr>
                <w:sz w:val="22"/>
                <w:szCs w:val="22"/>
              </w:rPr>
            </w:pPr>
            <w:r>
              <w:rPr>
                <w:sz w:val="22"/>
                <w:szCs w:val="22"/>
              </w:rPr>
              <w:t>57</w:t>
            </w:r>
          </w:p>
        </w:tc>
        <w:tc>
          <w:tcPr>
            <w:tcW w:w="1125" w:type="dxa"/>
          </w:tcPr>
          <w:p w14:paraId="1775D0F3" w14:textId="42FACEF3" w:rsidR="001B3B4D" w:rsidRDefault="001B3B4D" w:rsidP="00EA105F">
            <w:pPr>
              <w:rPr>
                <w:sz w:val="22"/>
                <w:szCs w:val="22"/>
              </w:rPr>
            </w:pPr>
            <w:r>
              <w:rPr>
                <w:sz w:val="22"/>
                <w:szCs w:val="22"/>
              </w:rPr>
              <w:t>27-30</w:t>
            </w:r>
          </w:p>
        </w:tc>
        <w:tc>
          <w:tcPr>
            <w:tcW w:w="8145" w:type="dxa"/>
            <w:gridSpan w:val="2"/>
          </w:tcPr>
          <w:p w14:paraId="75E7A48C" w14:textId="3CF59E2A" w:rsidR="001B3B4D" w:rsidRDefault="001B3B4D" w:rsidP="001B3B4D">
            <w:pPr>
              <w:rPr>
                <w:lang w:eastAsia="en-GB"/>
              </w:rPr>
            </w:pPr>
            <w:r>
              <w:rPr>
                <w:sz w:val="22"/>
                <w:szCs w:val="22"/>
              </w:rPr>
              <w:t xml:space="preserve">This section could be strengthened to include the paper by Heinemann et al, (2021), which refers to the increasing scale of human interventions as a result of emerging technologies (e.g. dsRNAs, gene drives, genome editing), which is now becoming </w:t>
            </w:r>
            <w:r>
              <w:rPr>
                <w:sz w:val="22"/>
                <w:szCs w:val="22"/>
              </w:rPr>
              <w:lastRenderedPageBreak/>
              <w:t xml:space="preserve">part of what could be considered genetic engineering of whole environments. The scale of such interventions can be considered to be a risk in itself, and a major concern when considering the rapid development of synbio technologies for environmental release. </w:t>
            </w:r>
            <w:r w:rsidRPr="006811AC">
              <w:rPr>
                <w:rFonts w:asciiTheme="minorHAnsi" w:hAnsiTheme="minorHAnsi" w:cstheme="minorHAnsi"/>
                <w:color w:val="000000" w:themeColor="text1"/>
                <w:lang w:eastAsia="en-GB"/>
              </w:rPr>
              <w:t xml:space="preserve"> </w:t>
            </w:r>
            <w:r w:rsidRPr="006811AC">
              <w:rPr>
                <w:sz w:val="22"/>
                <w:szCs w:val="22"/>
              </w:rPr>
              <w:t>As highlighted by Heinemann et al. (2021), mutations introduced by genome editing or other genetic technologies are not reliant on the processes of evolution, but instead can be driven by human</w:t>
            </w:r>
            <w:r>
              <w:rPr>
                <w:sz w:val="22"/>
                <w:szCs w:val="22"/>
              </w:rPr>
              <w:t xml:space="preserve"> attempts</w:t>
            </w:r>
            <w:r w:rsidRPr="006811AC">
              <w:rPr>
                <w:sz w:val="22"/>
                <w:szCs w:val="22"/>
              </w:rPr>
              <w:t xml:space="preserve"> to ensure such mutations establish and spread in the environment</w:t>
            </w:r>
            <w:r>
              <w:rPr>
                <w:sz w:val="22"/>
                <w:szCs w:val="22"/>
              </w:rPr>
              <w:t xml:space="preserve">. </w:t>
            </w:r>
            <w:r w:rsidRPr="006811AC">
              <w:rPr>
                <w:lang w:eastAsia="en-GB"/>
              </w:rPr>
              <w:t xml:space="preserve"> </w:t>
            </w:r>
          </w:p>
          <w:p w14:paraId="52A08060" w14:textId="77777777" w:rsidR="001B3B4D" w:rsidRDefault="001B3B4D" w:rsidP="001B3B4D">
            <w:pPr>
              <w:rPr>
                <w:lang w:eastAsia="en-GB"/>
              </w:rPr>
            </w:pPr>
          </w:p>
          <w:p w14:paraId="7269C3E8" w14:textId="77777777" w:rsidR="001B3B4D" w:rsidRPr="006811AC" w:rsidRDefault="001B3B4D" w:rsidP="001B3B4D">
            <w:pPr>
              <w:rPr>
                <w:sz w:val="22"/>
                <w:szCs w:val="22"/>
              </w:rPr>
            </w:pPr>
            <w:r w:rsidRPr="006811AC">
              <w:rPr>
                <w:sz w:val="22"/>
                <w:szCs w:val="22"/>
              </w:rPr>
              <w:t xml:space="preserve">Heinemann, J. A., Paull, D. J., Walker, S., &amp; Kurenbach, B. (2021). Differentiated impacts of human interventions on nature. </w:t>
            </w:r>
            <w:r w:rsidRPr="006811AC">
              <w:rPr>
                <w:i/>
                <w:iCs/>
                <w:sz w:val="22"/>
                <w:szCs w:val="22"/>
              </w:rPr>
              <w:t>Elementa: Science of the Anthropocene</w:t>
            </w:r>
            <w:r w:rsidRPr="006811AC">
              <w:rPr>
                <w:sz w:val="22"/>
                <w:szCs w:val="22"/>
              </w:rPr>
              <w:t xml:space="preserve">, </w:t>
            </w:r>
            <w:r w:rsidRPr="006811AC">
              <w:rPr>
                <w:i/>
                <w:iCs/>
                <w:sz w:val="22"/>
                <w:szCs w:val="22"/>
              </w:rPr>
              <w:t>9</w:t>
            </w:r>
            <w:r w:rsidRPr="006811AC">
              <w:rPr>
                <w:sz w:val="22"/>
                <w:szCs w:val="22"/>
              </w:rPr>
              <w:t>(1), 00086. https://doi.org/10.1525/elementa.2021.00086</w:t>
            </w:r>
          </w:p>
          <w:p w14:paraId="1DDDB699" w14:textId="77777777" w:rsidR="001B3B4D" w:rsidRPr="001B3B4D" w:rsidRDefault="001B3B4D" w:rsidP="00EA105F">
            <w:pPr>
              <w:rPr>
                <w:sz w:val="22"/>
                <w:szCs w:val="22"/>
              </w:rPr>
            </w:pPr>
          </w:p>
        </w:tc>
      </w:tr>
      <w:tr w:rsidR="001B3B4D" w:rsidRPr="007E5673" w14:paraId="07F2C3E2" w14:textId="77777777" w:rsidTr="00135D96">
        <w:trPr>
          <w:cantSplit/>
          <w:trHeight w:val="233"/>
        </w:trPr>
        <w:tc>
          <w:tcPr>
            <w:tcW w:w="918" w:type="dxa"/>
          </w:tcPr>
          <w:p w14:paraId="720B348B" w14:textId="59CC7FEF" w:rsidR="001B3B4D" w:rsidRDefault="001B3B4D" w:rsidP="00EA105F">
            <w:pPr>
              <w:rPr>
                <w:sz w:val="22"/>
                <w:szCs w:val="22"/>
              </w:rPr>
            </w:pPr>
            <w:r>
              <w:rPr>
                <w:sz w:val="22"/>
                <w:szCs w:val="22"/>
              </w:rPr>
              <w:t>58</w:t>
            </w:r>
          </w:p>
        </w:tc>
        <w:tc>
          <w:tcPr>
            <w:tcW w:w="1125" w:type="dxa"/>
          </w:tcPr>
          <w:p w14:paraId="32EB9ED9" w14:textId="2F58E787" w:rsidR="001B3B4D" w:rsidRDefault="001B3B4D" w:rsidP="00EA105F">
            <w:pPr>
              <w:rPr>
                <w:sz w:val="22"/>
                <w:szCs w:val="22"/>
              </w:rPr>
            </w:pPr>
            <w:r>
              <w:rPr>
                <w:sz w:val="22"/>
                <w:szCs w:val="22"/>
              </w:rPr>
              <w:t>11-12</w:t>
            </w:r>
          </w:p>
        </w:tc>
        <w:tc>
          <w:tcPr>
            <w:tcW w:w="8145" w:type="dxa"/>
            <w:gridSpan w:val="2"/>
          </w:tcPr>
          <w:p w14:paraId="12AF1517" w14:textId="5F6E0761" w:rsidR="001B3B4D" w:rsidRDefault="001B3B4D" w:rsidP="001B3B4D">
            <w:pPr>
              <w:spacing w:before="100" w:beforeAutospacing="1" w:after="100" w:afterAutospacing="1"/>
              <w:rPr>
                <w:rFonts w:ascii="TimesNewRomanPSMT" w:hAnsi="TimesNewRomanPSMT"/>
                <w:sz w:val="22"/>
                <w:szCs w:val="22"/>
                <w:lang w:eastAsia="en-GB"/>
              </w:rPr>
            </w:pPr>
            <w:r>
              <w:rPr>
                <w:rFonts w:ascii="TimesNewRomanPSMT" w:hAnsi="TimesNewRomanPSMT"/>
                <w:sz w:val="22"/>
                <w:szCs w:val="22"/>
                <w:lang w:eastAsia="en-GB"/>
              </w:rPr>
              <w:t xml:space="preserve">An interlinked challenge for gene drive RA to the issue of spread and persistence being their </w:t>
            </w:r>
            <w:r w:rsidRPr="000536CA">
              <w:rPr>
                <w:rFonts w:ascii="TimesNewRomanPSMT" w:hAnsi="TimesNewRomanPSMT"/>
                <w:i/>
                <w:iCs/>
                <w:sz w:val="22"/>
                <w:szCs w:val="22"/>
                <w:lang w:eastAsia="en-GB"/>
              </w:rPr>
              <w:t>raison d’etre</w:t>
            </w:r>
            <w:r>
              <w:rPr>
                <w:rFonts w:ascii="TimesNewRomanPSMT" w:hAnsi="TimesNewRomanPSMT"/>
                <w:i/>
                <w:iCs/>
                <w:sz w:val="22"/>
                <w:szCs w:val="22"/>
                <w:lang w:eastAsia="en-GB"/>
              </w:rPr>
              <w:t xml:space="preserve">, </w:t>
            </w:r>
            <w:r>
              <w:rPr>
                <w:rFonts w:ascii="TimesNewRomanPSMT" w:hAnsi="TimesNewRomanPSMT"/>
                <w:sz w:val="22"/>
                <w:szCs w:val="22"/>
                <w:lang w:eastAsia="en-GB"/>
              </w:rPr>
              <w:t xml:space="preserve">is the lack of ability to mitigate, recall or reverse a gene drive release, as acknowledged by the latest AHTEG on RA/RM. Any release can thus not currently be controlled, fundamentally challenging the validity of a phased-approach, or reversed in the event of a gene drive release going awry (Then 2020). </w:t>
            </w:r>
          </w:p>
          <w:p w14:paraId="61C8C6E8" w14:textId="77777777" w:rsidR="001B3B4D" w:rsidRPr="00621B9B" w:rsidRDefault="001B3B4D" w:rsidP="001B3B4D">
            <w:pPr>
              <w:spacing w:before="100" w:beforeAutospacing="1" w:after="100" w:afterAutospacing="1"/>
              <w:rPr>
                <w:rFonts w:ascii="TimesNewRomanPSMT" w:hAnsi="TimesNewRomanPSMT"/>
                <w:i/>
                <w:iCs/>
                <w:sz w:val="22"/>
                <w:szCs w:val="22"/>
                <w:lang w:eastAsia="en-GB"/>
              </w:rPr>
            </w:pPr>
            <w:r>
              <w:rPr>
                <w:rFonts w:ascii="TimesNewRomanPSMT" w:hAnsi="TimesNewRomanPSMT"/>
                <w:sz w:val="22"/>
                <w:szCs w:val="22"/>
                <w:lang w:eastAsia="en-GB"/>
              </w:rPr>
              <w:t>This sentence should thus be strengthened to acknowledge this. Suggested addition: “</w:t>
            </w:r>
            <w:r w:rsidRPr="00621B9B">
              <w:rPr>
                <w:rFonts w:ascii="TimesNewRomanPSMT" w:hAnsi="TimesNewRomanPSMT"/>
                <w:i/>
                <w:iCs/>
                <w:sz w:val="22"/>
                <w:szCs w:val="22"/>
                <w:lang w:eastAsia="en-GB"/>
              </w:rPr>
              <w:t>Combined with the lack of mitigation strategies for recalling or reversing gene drive releases</w:t>
            </w:r>
            <w:r>
              <w:rPr>
                <w:rFonts w:ascii="TimesNewRomanPSMT" w:hAnsi="TimesNewRomanPSMT"/>
                <w:i/>
                <w:iCs/>
                <w:sz w:val="22"/>
                <w:szCs w:val="22"/>
                <w:lang w:eastAsia="en-GB"/>
              </w:rPr>
              <w:t>, such issues</w:t>
            </w:r>
            <w:r w:rsidRPr="00621B9B">
              <w:rPr>
                <w:rFonts w:ascii="TimesNewRomanPSMT" w:hAnsi="TimesNewRomanPSMT"/>
                <w:i/>
                <w:iCs/>
                <w:sz w:val="22"/>
                <w:szCs w:val="22"/>
                <w:lang w:eastAsia="en-GB"/>
              </w:rPr>
              <w:t xml:space="preserve"> warran</w:t>
            </w:r>
            <w:r>
              <w:rPr>
                <w:rFonts w:ascii="TimesNewRomanPSMT" w:hAnsi="TimesNewRomanPSMT"/>
                <w:i/>
                <w:iCs/>
                <w:sz w:val="22"/>
                <w:szCs w:val="22"/>
                <w:lang w:eastAsia="en-GB"/>
              </w:rPr>
              <w:t>t</w:t>
            </w:r>
            <w:r w:rsidRPr="00621B9B">
              <w:rPr>
                <w:rFonts w:ascii="TimesNewRomanPSMT" w:hAnsi="TimesNewRomanPSMT"/>
                <w:i/>
                <w:iCs/>
                <w:sz w:val="22"/>
                <w:szCs w:val="22"/>
                <w:lang w:eastAsia="en-GB"/>
              </w:rPr>
              <w:t xml:space="preserve"> additional steps in ant risk assessment process that can operationalise the precautionary principle, including the introduction of cut-off criteria early in the process that can be </w:t>
            </w:r>
            <w:r>
              <w:rPr>
                <w:rFonts w:ascii="TimesNewRomanPSMT" w:hAnsi="TimesNewRomanPSMT"/>
                <w:i/>
                <w:iCs/>
                <w:sz w:val="22"/>
                <w:szCs w:val="22"/>
                <w:lang w:eastAsia="en-GB"/>
              </w:rPr>
              <w:t>applied</w:t>
            </w:r>
            <w:r w:rsidRPr="00621B9B">
              <w:rPr>
                <w:rFonts w:ascii="TimesNewRomanPSMT" w:hAnsi="TimesNewRomanPSMT"/>
                <w:i/>
                <w:iCs/>
                <w:sz w:val="22"/>
                <w:szCs w:val="22"/>
                <w:lang w:eastAsia="en-GB"/>
              </w:rPr>
              <w:t xml:space="preserve"> when uncertainty is too high to ensure against adverse impacts.</w:t>
            </w:r>
            <w:r>
              <w:rPr>
                <w:rFonts w:ascii="TimesNewRomanPSMT" w:hAnsi="TimesNewRomanPSMT"/>
                <w:i/>
                <w:iCs/>
                <w:sz w:val="22"/>
                <w:szCs w:val="22"/>
                <w:lang w:eastAsia="en-GB"/>
              </w:rPr>
              <w:t>”</w:t>
            </w:r>
            <w:r w:rsidRPr="00621B9B">
              <w:rPr>
                <w:rFonts w:ascii="TimesNewRomanPSMT" w:hAnsi="TimesNewRomanPSMT"/>
                <w:i/>
                <w:iCs/>
                <w:sz w:val="22"/>
                <w:szCs w:val="22"/>
                <w:lang w:eastAsia="en-GB"/>
              </w:rPr>
              <w:t xml:space="preserve"> </w:t>
            </w:r>
          </w:p>
          <w:p w14:paraId="6E838AEB" w14:textId="0104ECB5" w:rsidR="001B3B4D" w:rsidRPr="00CB0137" w:rsidRDefault="001B3B4D" w:rsidP="001B3B4D">
            <w:pPr>
              <w:rPr>
                <w:sz w:val="22"/>
                <w:szCs w:val="22"/>
              </w:rPr>
            </w:pPr>
            <w:r w:rsidRPr="00CB0137">
              <w:rPr>
                <w:sz w:val="22"/>
                <w:szCs w:val="22"/>
              </w:rPr>
              <w:t>Then C. (2020) Limits of Knowledge and Tipping Points in the Risk Assessment of Gene Drive Organisms. In: von Gleich A., Schröder W. (eds) Gene Drives at Tipping Points. Springer, Cham. https://doi.org/10.1007/978-3-030-38934-5_8</w:t>
            </w:r>
          </w:p>
          <w:p w14:paraId="47755501" w14:textId="77777777" w:rsidR="001B3B4D" w:rsidRPr="00621B9B" w:rsidRDefault="001B3B4D" w:rsidP="001B3B4D">
            <w:pPr>
              <w:rPr>
                <w:sz w:val="22"/>
                <w:szCs w:val="22"/>
              </w:rPr>
            </w:pPr>
          </w:p>
          <w:p w14:paraId="1439C978" w14:textId="77777777" w:rsidR="001B3B4D" w:rsidRPr="001B3B4D" w:rsidRDefault="001B3B4D" w:rsidP="00EA105F">
            <w:pPr>
              <w:rPr>
                <w:sz w:val="22"/>
                <w:szCs w:val="22"/>
              </w:rPr>
            </w:pPr>
          </w:p>
        </w:tc>
      </w:tr>
      <w:tr w:rsidR="001B3B4D" w:rsidRPr="007E5673" w14:paraId="35DDCE56" w14:textId="77777777" w:rsidTr="00135D96">
        <w:trPr>
          <w:cantSplit/>
          <w:trHeight w:val="233"/>
        </w:trPr>
        <w:tc>
          <w:tcPr>
            <w:tcW w:w="918" w:type="dxa"/>
          </w:tcPr>
          <w:p w14:paraId="0EDC7D01" w14:textId="1D30574D" w:rsidR="001B3B4D" w:rsidRPr="007E5673" w:rsidRDefault="001B3B4D" w:rsidP="00EA105F">
            <w:pPr>
              <w:rPr>
                <w:sz w:val="22"/>
                <w:szCs w:val="22"/>
              </w:rPr>
            </w:pPr>
            <w:r>
              <w:rPr>
                <w:sz w:val="22"/>
                <w:szCs w:val="22"/>
              </w:rPr>
              <w:t>58</w:t>
            </w:r>
          </w:p>
        </w:tc>
        <w:tc>
          <w:tcPr>
            <w:tcW w:w="1125" w:type="dxa"/>
          </w:tcPr>
          <w:p w14:paraId="3BB43D98" w14:textId="12C18794" w:rsidR="001B3B4D" w:rsidRPr="007E5673" w:rsidRDefault="001B3B4D" w:rsidP="00EA105F">
            <w:pPr>
              <w:rPr>
                <w:sz w:val="22"/>
                <w:szCs w:val="22"/>
              </w:rPr>
            </w:pPr>
            <w:r>
              <w:rPr>
                <w:sz w:val="22"/>
                <w:szCs w:val="22"/>
              </w:rPr>
              <w:t>28</w:t>
            </w:r>
          </w:p>
        </w:tc>
        <w:tc>
          <w:tcPr>
            <w:tcW w:w="8145" w:type="dxa"/>
            <w:gridSpan w:val="2"/>
          </w:tcPr>
          <w:p w14:paraId="0D9D8E33" w14:textId="749FDFC7" w:rsidR="001B3B4D" w:rsidRDefault="001B3B4D" w:rsidP="001B3B4D">
            <w:pPr>
              <w:spacing w:before="100" w:beforeAutospacing="1" w:after="100" w:afterAutospacing="1"/>
              <w:rPr>
                <w:rFonts w:ascii="TimesNewRomanPSMT" w:hAnsi="TimesNewRomanPSMT"/>
                <w:sz w:val="22"/>
                <w:szCs w:val="22"/>
                <w:lang w:eastAsia="en-GB"/>
              </w:rPr>
            </w:pPr>
            <w:r>
              <w:rPr>
                <w:rFonts w:ascii="TimesNewRomanPSMT" w:hAnsi="TimesNewRomanPSMT"/>
                <w:sz w:val="22"/>
                <w:szCs w:val="22"/>
                <w:lang w:eastAsia="en-GB"/>
              </w:rPr>
              <w:t xml:space="preserve">We disagree that a lack of validated modelling tools is the issue </w:t>
            </w:r>
            <w:r w:rsidRPr="00157487">
              <w:rPr>
                <w:rFonts w:ascii="TimesNewRomanPSMT" w:hAnsi="TimesNewRomanPSMT"/>
                <w:i/>
                <w:iCs/>
                <w:sz w:val="22"/>
                <w:szCs w:val="22"/>
                <w:lang w:eastAsia="en-GB"/>
              </w:rPr>
              <w:t>per se</w:t>
            </w:r>
            <w:r>
              <w:rPr>
                <w:rFonts w:ascii="TimesNewRomanPSMT" w:hAnsi="TimesNewRomanPSMT"/>
                <w:sz w:val="22"/>
                <w:szCs w:val="22"/>
                <w:lang w:eastAsia="en-GB"/>
              </w:rPr>
              <w:t xml:space="preserve">, rather it’s that modelling can never be validated without empirical testing, which would require deployment or release into the environment. As such, it is a </w:t>
            </w:r>
            <w:r w:rsidRPr="00A176AE">
              <w:rPr>
                <w:rFonts w:ascii="TimesNewRomanPSMT" w:hAnsi="TimesNewRomanPSMT"/>
                <w:sz w:val="22"/>
                <w:szCs w:val="22"/>
                <w:lang w:eastAsia="en-GB"/>
              </w:rPr>
              <w:t>perverse</w:t>
            </w:r>
            <w:r w:rsidRPr="00157487">
              <w:rPr>
                <w:rFonts w:ascii="TimesNewRomanPSMT" w:hAnsi="TimesNewRomanPSMT"/>
                <w:color w:val="C00000"/>
                <w:sz w:val="22"/>
                <w:szCs w:val="22"/>
                <w:lang w:eastAsia="en-GB"/>
              </w:rPr>
              <w:t xml:space="preserve"> </w:t>
            </w:r>
            <w:r>
              <w:rPr>
                <w:rFonts w:ascii="TimesNewRomanPSMT" w:hAnsi="TimesNewRomanPSMT"/>
                <w:sz w:val="22"/>
                <w:szCs w:val="22"/>
                <w:lang w:eastAsia="en-GB"/>
              </w:rPr>
              <w:t>situation where deployment would inform on the validity of a model, rather than the model informing on the implications of deployment. With fundamental knowledge gaps on background information for modelling parameters, it is currently entirely inadequate to rely on modelling for technologies designed to be released into wild propagating species, as acknowledged by the last AHTEG on RA/RM.</w:t>
            </w:r>
          </w:p>
          <w:p w14:paraId="0B6D52BE" w14:textId="6FE74E9C" w:rsidR="001B3B4D" w:rsidRDefault="001B3B4D" w:rsidP="001B3B4D">
            <w:pPr>
              <w:rPr>
                <w:sz w:val="22"/>
                <w:szCs w:val="22"/>
              </w:rPr>
            </w:pPr>
            <w:r>
              <w:rPr>
                <w:sz w:val="22"/>
                <w:szCs w:val="22"/>
              </w:rPr>
              <w:t xml:space="preserve">It would be appropriate here to mention that </w:t>
            </w:r>
            <w:r w:rsidRPr="001B3B4D">
              <w:rPr>
                <w:sz w:val="22"/>
                <w:szCs w:val="22"/>
              </w:rPr>
              <w:t>a moratorium on gene drive field releases</w:t>
            </w:r>
            <w:r>
              <w:rPr>
                <w:sz w:val="22"/>
                <w:szCs w:val="22"/>
              </w:rPr>
              <w:t xml:space="preserve"> has been demanded by many civil society organisations (ETC Group 2018, </w:t>
            </w:r>
            <w:r w:rsidRPr="001B3B4D">
              <w:rPr>
                <w:sz w:val="22"/>
                <w:szCs w:val="22"/>
              </w:rPr>
              <w:t>Bassey-Orovwuje et al. 2019</w:t>
            </w:r>
            <w:r>
              <w:rPr>
                <w:sz w:val="22"/>
                <w:szCs w:val="22"/>
              </w:rPr>
              <w:t>)</w:t>
            </w:r>
            <w:r w:rsidRPr="001B3B4D">
              <w:rPr>
                <w:sz w:val="22"/>
                <w:szCs w:val="22"/>
              </w:rPr>
              <w:t>.</w:t>
            </w:r>
          </w:p>
          <w:p w14:paraId="17BFA69E" w14:textId="77777777" w:rsidR="001B3B4D" w:rsidRDefault="001B3B4D" w:rsidP="001B3B4D">
            <w:pPr>
              <w:rPr>
                <w:sz w:val="22"/>
                <w:szCs w:val="22"/>
              </w:rPr>
            </w:pPr>
          </w:p>
          <w:p w14:paraId="4D8D8BB2" w14:textId="77777777" w:rsidR="001B3B4D" w:rsidRPr="007E5673" w:rsidRDefault="001B3B4D" w:rsidP="001B3B4D">
            <w:pPr>
              <w:rPr>
                <w:sz w:val="22"/>
                <w:szCs w:val="22"/>
              </w:rPr>
            </w:pPr>
            <w:r w:rsidRPr="007E5673">
              <w:rPr>
                <w:sz w:val="22"/>
                <w:szCs w:val="22"/>
              </w:rPr>
              <w:t>Bassey-Orovwuje, M., Thomas, J. &amp; Wakeford, T. Exterminator Genes: The Right to Say No to Ethics Dumping. Development 62, 121–127 (2019). https://doi.org/10.1057/s41301-019-00214-3</w:t>
            </w:r>
          </w:p>
          <w:p w14:paraId="042DCAA2" w14:textId="77777777" w:rsidR="001B3B4D" w:rsidRDefault="001B3B4D" w:rsidP="00EA105F">
            <w:pPr>
              <w:rPr>
                <w:sz w:val="22"/>
                <w:szCs w:val="22"/>
              </w:rPr>
            </w:pPr>
          </w:p>
          <w:p w14:paraId="3F162712" w14:textId="4F081326" w:rsidR="001B3B4D" w:rsidRDefault="001B3B4D" w:rsidP="00EA105F">
            <w:pPr>
              <w:rPr>
                <w:sz w:val="22"/>
                <w:szCs w:val="22"/>
              </w:rPr>
            </w:pPr>
            <w:r>
              <w:rPr>
                <w:sz w:val="22"/>
                <w:szCs w:val="22"/>
              </w:rPr>
              <w:t>ETC Group 2018</w:t>
            </w:r>
            <w:r>
              <w:t xml:space="preserve"> </w:t>
            </w:r>
            <w:r w:rsidRPr="001B3B4D">
              <w:rPr>
                <w:sz w:val="22"/>
                <w:szCs w:val="22"/>
              </w:rPr>
              <w:t>United Nations Hits the Brakes on Gene Drives</w:t>
            </w:r>
            <w:r>
              <w:rPr>
                <w:sz w:val="22"/>
                <w:szCs w:val="22"/>
              </w:rPr>
              <w:t>.</w:t>
            </w:r>
            <w:r w:rsidRPr="001B3B4D">
              <w:rPr>
                <w:sz w:val="22"/>
                <w:szCs w:val="22"/>
              </w:rPr>
              <w:t xml:space="preserve"> </w:t>
            </w:r>
            <w:r>
              <w:rPr>
                <w:sz w:val="22"/>
                <w:szCs w:val="22"/>
              </w:rPr>
              <w:t xml:space="preserve"> </w:t>
            </w:r>
            <w:r>
              <w:t xml:space="preserve"> </w:t>
            </w:r>
            <w:hyperlink r:id="rId12" w:history="1">
              <w:r w:rsidRPr="00306D2D">
                <w:rPr>
                  <w:rStyle w:val="Hyperlink"/>
                  <w:sz w:val="22"/>
                  <w:szCs w:val="22"/>
                </w:rPr>
                <w:t>https://www.etcgroup.org/content/united-nations-hits-brakes-gene-drives</w:t>
              </w:r>
            </w:hyperlink>
            <w:r>
              <w:rPr>
                <w:sz w:val="22"/>
                <w:szCs w:val="22"/>
              </w:rPr>
              <w:t xml:space="preserve"> </w:t>
            </w:r>
          </w:p>
          <w:p w14:paraId="03D37B44" w14:textId="632C86BD" w:rsidR="001B3B4D" w:rsidRDefault="001B3B4D" w:rsidP="00EA105F">
            <w:pPr>
              <w:rPr>
                <w:sz w:val="22"/>
                <w:szCs w:val="22"/>
              </w:rPr>
            </w:pPr>
          </w:p>
          <w:p w14:paraId="5F47A5C1" w14:textId="77777777" w:rsidR="001B3B4D" w:rsidRDefault="001B3B4D" w:rsidP="00EA105F">
            <w:pPr>
              <w:rPr>
                <w:sz w:val="22"/>
                <w:szCs w:val="22"/>
              </w:rPr>
            </w:pPr>
          </w:p>
          <w:p w14:paraId="5AAECCE8" w14:textId="77777777" w:rsidR="001B3B4D" w:rsidRDefault="001B3B4D" w:rsidP="001B3B4D">
            <w:pPr>
              <w:rPr>
                <w:sz w:val="22"/>
                <w:szCs w:val="22"/>
              </w:rPr>
            </w:pPr>
            <w:r>
              <w:rPr>
                <w:sz w:val="22"/>
                <w:szCs w:val="22"/>
              </w:rPr>
              <w:t xml:space="preserve">Sirinathsinghji (2020) </w:t>
            </w:r>
            <w:r w:rsidRPr="0025156A">
              <w:rPr>
                <w:sz w:val="22"/>
                <w:szCs w:val="22"/>
              </w:rPr>
              <w:t>Risk Assessment Challenges of Synthetic Gene Drive Organisms</w:t>
            </w:r>
            <w:r>
              <w:rPr>
                <w:sz w:val="22"/>
                <w:szCs w:val="22"/>
              </w:rPr>
              <w:t xml:space="preserve">. </w:t>
            </w:r>
            <w:r>
              <w:rPr>
                <w:rFonts w:ascii="TimesNewRomanPSMT" w:hAnsi="TimesNewRomanPSMT"/>
                <w:sz w:val="22"/>
                <w:szCs w:val="22"/>
              </w:rPr>
              <w:t xml:space="preserve"> Third World Network Biosafety Briefing. </w:t>
            </w:r>
            <w:hyperlink r:id="rId13" w:history="1">
              <w:r w:rsidRPr="003B21F0">
                <w:rPr>
                  <w:rStyle w:val="Hyperlink"/>
                  <w:rFonts w:ascii="TimesNewRomanPSMT" w:hAnsi="TimesNewRomanPSMT"/>
                  <w:sz w:val="22"/>
                  <w:szCs w:val="22"/>
                </w:rPr>
                <w:t>https://biosafety-</w:t>
              </w:r>
              <w:r w:rsidRPr="003B21F0">
                <w:rPr>
                  <w:rStyle w:val="Hyperlink"/>
                  <w:rFonts w:ascii="TimesNewRomanPSMT" w:hAnsi="TimesNewRomanPSMT"/>
                  <w:sz w:val="22"/>
                  <w:szCs w:val="22"/>
                </w:rPr>
                <w:lastRenderedPageBreak/>
                <w:t>info.net/articles/assessment-impacts/risk-assessment/risk-assessment-challenges-of-synthetic-gene-drive-organisms/</w:t>
              </w:r>
            </w:hyperlink>
            <w:r>
              <w:rPr>
                <w:rFonts w:ascii="TimesNewRomanPSMT" w:hAnsi="TimesNewRomanPSMT"/>
                <w:sz w:val="22"/>
                <w:szCs w:val="22"/>
              </w:rPr>
              <w:t xml:space="preserve"> </w:t>
            </w:r>
            <w:r>
              <w:rPr>
                <w:rFonts w:ascii="TimesNewRomanPSMT" w:hAnsi="TimesNewRomanPSMT"/>
                <w:sz w:val="22"/>
                <w:szCs w:val="22"/>
                <w:lang w:eastAsia="en-GB"/>
              </w:rPr>
              <w:t xml:space="preserve"> </w:t>
            </w:r>
          </w:p>
          <w:p w14:paraId="0CABCCD5" w14:textId="5CD48037" w:rsidR="001B3B4D" w:rsidRPr="007E5673" w:rsidRDefault="001B3B4D" w:rsidP="00EA105F">
            <w:pPr>
              <w:rPr>
                <w:sz w:val="22"/>
                <w:szCs w:val="22"/>
              </w:rPr>
            </w:pPr>
          </w:p>
        </w:tc>
      </w:tr>
      <w:tr w:rsidR="001B3B4D" w:rsidRPr="007E5673" w14:paraId="6E35B660" w14:textId="77777777" w:rsidTr="00135D96">
        <w:trPr>
          <w:cantSplit/>
          <w:trHeight w:val="233"/>
        </w:trPr>
        <w:tc>
          <w:tcPr>
            <w:tcW w:w="918" w:type="dxa"/>
          </w:tcPr>
          <w:p w14:paraId="5CC2B46E" w14:textId="751FBAD5" w:rsidR="001B3B4D" w:rsidRPr="007E5673" w:rsidRDefault="001B3B4D" w:rsidP="001B3B4D">
            <w:pPr>
              <w:tabs>
                <w:tab w:val="left" w:pos="447"/>
              </w:tabs>
              <w:rPr>
                <w:sz w:val="22"/>
                <w:szCs w:val="22"/>
              </w:rPr>
            </w:pPr>
            <w:r>
              <w:rPr>
                <w:sz w:val="22"/>
                <w:szCs w:val="22"/>
              </w:rPr>
              <w:lastRenderedPageBreak/>
              <w:tab/>
              <w:t>58</w:t>
            </w:r>
          </w:p>
        </w:tc>
        <w:tc>
          <w:tcPr>
            <w:tcW w:w="1125" w:type="dxa"/>
          </w:tcPr>
          <w:p w14:paraId="3490B96D" w14:textId="4BD9C2BD" w:rsidR="001B3B4D" w:rsidRPr="007E5673" w:rsidRDefault="001B3B4D" w:rsidP="00EA105F">
            <w:pPr>
              <w:rPr>
                <w:sz w:val="22"/>
                <w:szCs w:val="22"/>
              </w:rPr>
            </w:pPr>
            <w:r>
              <w:rPr>
                <w:sz w:val="22"/>
                <w:szCs w:val="22"/>
              </w:rPr>
              <w:t>34</w:t>
            </w:r>
          </w:p>
        </w:tc>
        <w:tc>
          <w:tcPr>
            <w:tcW w:w="8145" w:type="dxa"/>
            <w:gridSpan w:val="2"/>
          </w:tcPr>
          <w:p w14:paraId="2F265FCB" w14:textId="46EFD9A0" w:rsidR="001B3B4D" w:rsidRPr="007E5673" w:rsidRDefault="001B3B4D" w:rsidP="00EA105F">
            <w:pPr>
              <w:rPr>
                <w:sz w:val="22"/>
                <w:szCs w:val="22"/>
              </w:rPr>
            </w:pPr>
            <w:r w:rsidRPr="001B3B4D">
              <w:rPr>
                <w:sz w:val="22"/>
                <w:szCs w:val="22"/>
              </w:rPr>
              <w:t>We strongly support this acknowledgement that risk assessments based on lab experiments and modelling cannot be relied upon</w:t>
            </w:r>
            <w:r>
              <w:rPr>
                <w:sz w:val="22"/>
                <w:szCs w:val="22"/>
              </w:rPr>
              <w:t xml:space="preserve"> (same references as p.58, line 28)</w:t>
            </w:r>
            <w:r w:rsidRPr="001B3B4D">
              <w:rPr>
                <w:sz w:val="22"/>
                <w:szCs w:val="22"/>
              </w:rPr>
              <w:t>.</w:t>
            </w:r>
          </w:p>
        </w:tc>
      </w:tr>
      <w:tr w:rsidR="001B3B4D" w:rsidRPr="007E5673" w14:paraId="5D5DAAB5" w14:textId="77777777" w:rsidTr="00135D96">
        <w:trPr>
          <w:cantSplit/>
          <w:trHeight w:val="233"/>
        </w:trPr>
        <w:tc>
          <w:tcPr>
            <w:tcW w:w="918" w:type="dxa"/>
          </w:tcPr>
          <w:p w14:paraId="4F4B6688" w14:textId="1BF939EE" w:rsidR="001B3B4D" w:rsidRPr="007E5673" w:rsidRDefault="001B3B4D" w:rsidP="00EA105F">
            <w:pPr>
              <w:rPr>
                <w:sz w:val="22"/>
                <w:szCs w:val="22"/>
              </w:rPr>
            </w:pPr>
            <w:r>
              <w:rPr>
                <w:sz w:val="22"/>
                <w:szCs w:val="22"/>
              </w:rPr>
              <w:t>59</w:t>
            </w:r>
          </w:p>
        </w:tc>
        <w:tc>
          <w:tcPr>
            <w:tcW w:w="1125" w:type="dxa"/>
          </w:tcPr>
          <w:p w14:paraId="1AA95D8E" w14:textId="5F5EEFEB" w:rsidR="001B3B4D" w:rsidRPr="007E5673" w:rsidRDefault="001B3B4D" w:rsidP="00EA105F">
            <w:pPr>
              <w:rPr>
                <w:sz w:val="22"/>
                <w:szCs w:val="22"/>
              </w:rPr>
            </w:pPr>
            <w:r>
              <w:rPr>
                <w:sz w:val="22"/>
                <w:szCs w:val="22"/>
              </w:rPr>
              <w:t>3-5</w:t>
            </w:r>
          </w:p>
        </w:tc>
        <w:tc>
          <w:tcPr>
            <w:tcW w:w="8145" w:type="dxa"/>
            <w:gridSpan w:val="2"/>
          </w:tcPr>
          <w:p w14:paraId="320F9FCC" w14:textId="77777777" w:rsidR="001B3B4D" w:rsidRDefault="001B3B4D" w:rsidP="001B3B4D">
            <w:pPr>
              <w:rPr>
                <w:sz w:val="22"/>
                <w:szCs w:val="22"/>
              </w:rPr>
            </w:pPr>
            <w:r>
              <w:rPr>
                <w:sz w:val="22"/>
                <w:szCs w:val="22"/>
              </w:rPr>
              <w:t>The statement that unintended changes are not unique to genome editing and expected to be significantly lower than rates of spontaneous mutations or chemical mutagenesis, is omitting accumulating evidence of a wide array of unintended effects including on-target translocations, rearrangements, large-scale deletions and insertions, including insertion of exogenous DNA (and RNA-derived DNA templates) into edited cells, and the high-frequency production of aberrant proteins (e.g. Bruner et.al., (2019; Kosicki et al., (2018); Tulhadar et al.,(2019)).</w:t>
            </w:r>
          </w:p>
          <w:p w14:paraId="1C72249C" w14:textId="77777777" w:rsidR="001B3B4D" w:rsidRDefault="001B3B4D" w:rsidP="001B3B4D">
            <w:pPr>
              <w:rPr>
                <w:sz w:val="22"/>
                <w:szCs w:val="22"/>
              </w:rPr>
            </w:pPr>
          </w:p>
          <w:p w14:paraId="61F343CB" w14:textId="77777777" w:rsidR="001B3B4D" w:rsidRDefault="001B3B4D" w:rsidP="001B3B4D">
            <w:pPr>
              <w:rPr>
                <w:sz w:val="22"/>
                <w:szCs w:val="22"/>
              </w:rPr>
            </w:pPr>
            <w:r>
              <w:rPr>
                <w:sz w:val="22"/>
                <w:szCs w:val="22"/>
              </w:rPr>
              <w:t xml:space="preserve">Moreover, evidence is accumulating that contradicts the assumption that nuclease-induced DNA breaks are repaired equivalently to naturally arising mutations, with evidence of increased levels of erroneous repair (Brinkman et al., 2018), and deployment of error-prone alternative DNA pathways not prescribed as resulting in SDN-1, 2 or 3 outcomes as widely assumed including alternative end joining and or combined with RNA-mediated DNA repair (Liu et al., 2021; van Overbeek et al; Ono et al., 2015). Unintended genomic changes are not routinely assessed, and are often missed unless more thorough analyses are performed. </w:t>
            </w:r>
          </w:p>
          <w:p w14:paraId="4C7CBBC1" w14:textId="77777777" w:rsidR="001B3B4D" w:rsidRDefault="001B3B4D" w:rsidP="001B3B4D">
            <w:pPr>
              <w:rPr>
                <w:sz w:val="22"/>
                <w:szCs w:val="22"/>
              </w:rPr>
            </w:pPr>
          </w:p>
          <w:p w14:paraId="683BC25D" w14:textId="77777777" w:rsidR="001B3B4D" w:rsidRDefault="001B3B4D" w:rsidP="001B3B4D">
            <w:pPr>
              <w:rPr>
                <w:i/>
                <w:iCs/>
                <w:sz w:val="22"/>
                <w:szCs w:val="22"/>
              </w:rPr>
            </w:pPr>
            <w:r w:rsidRPr="00FA5B5A">
              <w:rPr>
                <w:i/>
                <w:iCs/>
                <w:sz w:val="22"/>
                <w:szCs w:val="22"/>
              </w:rPr>
              <w:t>This sentence should thus be removed, or altered to reflect the accumulating evidence that</w:t>
            </w:r>
            <w:r>
              <w:rPr>
                <w:i/>
                <w:iCs/>
                <w:sz w:val="22"/>
                <w:szCs w:val="22"/>
              </w:rPr>
              <w:t xml:space="preserve"> goes against the assertion that</w:t>
            </w:r>
            <w:r w:rsidRPr="00FA5B5A">
              <w:rPr>
                <w:i/>
                <w:iCs/>
                <w:sz w:val="22"/>
                <w:szCs w:val="22"/>
              </w:rPr>
              <w:t xml:space="preserve"> imprecision</w:t>
            </w:r>
            <w:r>
              <w:rPr>
                <w:i/>
                <w:iCs/>
                <w:sz w:val="22"/>
                <w:szCs w:val="22"/>
              </w:rPr>
              <w:t xml:space="preserve"> of genome editing</w:t>
            </w:r>
            <w:r w:rsidRPr="00FA5B5A">
              <w:rPr>
                <w:i/>
                <w:iCs/>
                <w:sz w:val="22"/>
                <w:szCs w:val="22"/>
              </w:rPr>
              <w:t xml:space="preserve"> is lower than natural mutations or classical mutagenesis</w:t>
            </w:r>
            <w:r>
              <w:rPr>
                <w:i/>
                <w:iCs/>
                <w:sz w:val="22"/>
                <w:szCs w:val="22"/>
              </w:rPr>
              <w:t>, and instead reflects potential risks to biodiversity, and human health as a result of unintended changes at the level of the genome.</w:t>
            </w:r>
          </w:p>
          <w:p w14:paraId="579C4F29" w14:textId="77777777" w:rsidR="001B3B4D" w:rsidRDefault="001B3B4D" w:rsidP="001B3B4D">
            <w:pPr>
              <w:rPr>
                <w:sz w:val="22"/>
                <w:szCs w:val="22"/>
              </w:rPr>
            </w:pPr>
          </w:p>
          <w:p w14:paraId="2295CEE2" w14:textId="77777777" w:rsidR="001B3B4D" w:rsidRDefault="001B3B4D" w:rsidP="001B3B4D">
            <w:pPr>
              <w:rPr>
                <w:sz w:val="22"/>
                <w:szCs w:val="22"/>
              </w:rPr>
            </w:pPr>
            <w:r w:rsidRPr="00157487">
              <w:rPr>
                <w:sz w:val="22"/>
                <w:szCs w:val="22"/>
              </w:rPr>
              <w:t xml:space="preserve">Brinkman, E. K., Chen, T., de Haas, M., Holland, H. A., Akhtar, W., &amp; van Steensel, B. (2018). Kinetics and Fidelity of the Repair of Cas9-Induced Double-Strand DNA Breaks. </w:t>
            </w:r>
            <w:r w:rsidRPr="00157487">
              <w:rPr>
                <w:i/>
                <w:iCs/>
                <w:sz w:val="22"/>
                <w:szCs w:val="22"/>
              </w:rPr>
              <w:t>Molecular Cell</w:t>
            </w:r>
            <w:r w:rsidRPr="00157487">
              <w:rPr>
                <w:sz w:val="22"/>
                <w:szCs w:val="22"/>
              </w:rPr>
              <w:t xml:space="preserve">, </w:t>
            </w:r>
            <w:r w:rsidRPr="00157487">
              <w:rPr>
                <w:i/>
                <w:iCs/>
                <w:sz w:val="22"/>
                <w:szCs w:val="22"/>
              </w:rPr>
              <w:t>70</w:t>
            </w:r>
            <w:r w:rsidRPr="00157487">
              <w:rPr>
                <w:sz w:val="22"/>
                <w:szCs w:val="22"/>
              </w:rPr>
              <w:t xml:space="preserve">(5), 801-813.e6. </w:t>
            </w:r>
            <w:hyperlink r:id="rId14" w:history="1">
              <w:r w:rsidRPr="003B21F0">
                <w:rPr>
                  <w:rStyle w:val="Hyperlink"/>
                  <w:sz w:val="22"/>
                  <w:szCs w:val="22"/>
                </w:rPr>
                <w:t>https://doi.org/10.1016/j.molcel.2018.04.016</w:t>
              </w:r>
            </w:hyperlink>
          </w:p>
          <w:p w14:paraId="682E78A9" w14:textId="77777777" w:rsidR="001B3B4D" w:rsidRDefault="001B3B4D" w:rsidP="001B3B4D">
            <w:pPr>
              <w:rPr>
                <w:sz w:val="22"/>
                <w:szCs w:val="22"/>
              </w:rPr>
            </w:pPr>
          </w:p>
          <w:p w14:paraId="59D7CCF3" w14:textId="77777777" w:rsidR="001B3B4D" w:rsidRDefault="001B3B4D" w:rsidP="001B3B4D">
            <w:pPr>
              <w:rPr>
                <w:sz w:val="22"/>
                <w:szCs w:val="22"/>
              </w:rPr>
            </w:pPr>
            <w:r w:rsidRPr="000C70F3">
              <w:rPr>
                <w:sz w:val="22"/>
                <w:szCs w:val="22"/>
              </w:rPr>
              <w:t xml:space="preserve">Bruner E, Yagi R, Debrunner M, Beck-Schneider D, Burger A, Escher E, Mosimann C, Hausmann G and Basler K (2019). CRISPR-induced double-strand breaks trigger </w:t>
            </w:r>
            <w:r>
              <w:rPr>
                <w:sz w:val="22"/>
                <w:szCs w:val="22"/>
              </w:rPr>
              <w:t>r</w:t>
            </w:r>
            <w:r w:rsidRPr="000C70F3">
              <w:rPr>
                <w:sz w:val="22"/>
                <w:szCs w:val="22"/>
              </w:rPr>
              <w:t>ecombination between homologous chromosome arms. Life Sci Alliance 2(3), pii: e201800267</w:t>
            </w:r>
          </w:p>
          <w:p w14:paraId="46DE7326" w14:textId="77777777" w:rsidR="001B3B4D" w:rsidRDefault="001B3B4D" w:rsidP="001B3B4D">
            <w:pPr>
              <w:rPr>
                <w:sz w:val="22"/>
                <w:szCs w:val="22"/>
              </w:rPr>
            </w:pPr>
          </w:p>
          <w:p w14:paraId="5EF44FB8" w14:textId="77777777" w:rsidR="001B3B4D" w:rsidRPr="000C70F3" w:rsidRDefault="001B3B4D" w:rsidP="001B3B4D">
            <w:pPr>
              <w:rPr>
                <w:sz w:val="22"/>
                <w:szCs w:val="22"/>
              </w:rPr>
            </w:pPr>
            <w:r w:rsidRPr="000C70F3">
              <w:rPr>
                <w:sz w:val="22"/>
                <w:szCs w:val="22"/>
              </w:rPr>
              <w:t>Kosicki M, Tomberg K and Bradley A (2018). Repair of double-strand breaks induced by CRISPR-Cas9 leads to large deletions and complex rearrangements. Nat Biotechnol 36, 765-771</w:t>
            </w:r>
          </w:p>
          <w:p w14:paraId="5DA33AA8" w14:textId="77777777" w:rsidR="001B3B4D" w:rsidRDefault="001B3B4D" w:rsidP="001B3B4D">
            <w:pPr>
              <w:rPr>
                <w:sz w:val="22"/>
                <w:szCs w:val="22"/>
              </w:rPr>
            </w:pPr>
          </w:p>
          <w:p w14:paraId="5A0E1FB0" w14:textId="77777777" w:rsidR="001B3B4D" w:rsidRPr="00F82577" w:rsidRDefault="001B3B4D" w:rsidP="001B3B4D">
            <w:pPr>
              <w:rPr>
                <w:sz w:val="22"/>
                <w:szCs w:val="22"/>
              </w:rPr>
            </w:pPr>
            <w:r w:rsidRPr="00F82577">
              <w:rPr>
                <w:sz w:val="22"/>
                <w:szCs w:val="22"/>
              </w:rPr>
              <w:t>Leibowitz ML, Papathanasiou S, Doerfler PA, Blaine LJ, Sun L, Yao Y, Zhang CZ, Weiss MJ, Pellman D</w:t>
            </w:r>
            <w:r>
              <w:rPr>
                <w:sz w:val="22"/>
                <w:szCs w:val="22"/>
              </w:rPr>
              <w:t xml:space="preserve"> (2021)</w:t>
            </w:r>
            <w:r w:rsidRPr="00F82577">
              <w:rPr>
                <w:sz w:val="22"/>
                <w:szCs w:val="22"/>
              </w:rPr>
              <w:t xml:space="preserve">. Chromothripsis as an on-target consequence of CRISPR-Cas9 genome editing. </w:t>
            </w:r>
            <w:r w:rsidRPr="00F82577">
              <w:rPr>
                <w:i/>
                <w:iCs/>
                <w:sz w:val="22"/>
                <w:szCs w:val="22"/>
              </w:rPr>
              <w:t>Nat</w:t>
            </w:r>
            <w:r>
              <w:rPr>
                <w:i/>
                <w:iCs/>
                <w:sz w:val="22"/>
                <w:szCs w:val="22"/>
              </w:rPr>
              <w:t>ure</w:t>
            </w:r>
            <w:r w:rsidRPr="00F82577">
              <w:rPr>
                <w:i/>
                <w:iCs/>
                <w:sz w:val="22"/>
                <w:szCs w:val="22"/>
              </w:rPr>
              <w:t xml:space="preserve"> Genet</w:t>
            </w:r>
            <w:r>
              <w:rPr>
                <w:i/>
                <w:iCs/>
                <w:sz w:val="22"/>
                <w:szCs w:val="22"/>
              </w:rPr>
              <w:t>ics</w:t>
            </w:r>
            <w:r w:rsidRPr="00F82577">
              <w:rPr>
                <w:sz w:val="22"/>
                <w:szCs w:val="22"/>
              </w:rPr>
              <w:t>. 53(6):895-905. doi: 10.1038/s41588-021-00838-7. </w:t>
            </w:r>
          </w:p>
          <w:p w14:paraId="6AE288EA" w14:textId="77777777" w:rsidR="001B3B4D" w:rsidRDefault="001B3B4D" w:rsidP="001B3B4D">
            <w:pPr>
              <w:rPr>
                <w:sz w:val="22"/>
                <w:szCs w:val="22"/>
              </w:rPr>
            </w:pPr>
          </w:p>
          <w:p w14:paraId="0FAB5B04" w14:textId="77777777" w:rsidR="001B3B4D" w:rsidRDefault="001B3B4D" w:rsidP="001B3B4D">
            <w:pPr>
              <w:rPr>
                <w:sz w:val="22"/>
                <w:szCs w:val="22"/>
              </w:rPr>
            </w:pPr>
            <w:r w:rsidRPr="00157487">
              <w:rPr>
                <w:sz w:val="22"/>
                <w:szCs w:val="22"/>
              </w:rPr>
              <w:t xml:space="preserve">Liu, M., Zhang, W., Xin, C., Yin, J., Shang, Y., Ai, C., Li, J., Meng, F., &amp; Hu, J. (2021). </w:t>
            </w:r>
            <w:r w:rsidRPr="00157487">
              <w:rPr>
                <w:i/>
                <w:iCs/>
                <w:sz w:val="22"/>
                <w:szCs w:val="22"/>
              </w:rPr>
              <w:t>Global detection of DNA repair outcomes induced by CRISPR-Cas9</w:t>
            </w:r>
            <w:r w:rsidRPr="00157487">
              <w:rPr>
                <w:sz w:val="22"/>
                <w:szCs w:val="22"/>
              </w:rPr>
              <w:t xml:space="preserve"> [Preprint]. Genomics. </w:t>
            </w:r>
            <w:hyperlink r:id="rId15" w:history="1">
              <w:r w:rsidRPr="00157487">
                <w:rPr>
                  <w:rStyle w:val="Hyperlink"/>
                  <w:sz w:val="22"/>
                  <w:szCs w:val="22"/>
                </w:rPr>
                <w:t>https://doi.org/10.1101/2021.02.15.431335</w:t>
              </w:r>
            </w:hyperlink>
          </w:p>
          <w:p w14:paraId="3BCF7268" w14:textId="77777777" w:rsidR="001B3B4D" w:rsidRDefault="001B3B4D" w:rsidP="001B3B4D">
            <w:pPr>
              <w:rPr>
                <w:sz w:val="22"/>
                <w:szCs w:val="22"/>
              </w:rPr>
            </w:pPr>
          </w:p>
          <w:p w14:paraId="2064E456" w14:textId="77777777" w:rsidR="001B3B4D" w:rsidRDefault="001B3B4D" w:rsidP="001B3B4D">
            <w:pPr>
              <w:rPr>
                <w:sz w:val="22"/>
                <w:szCs w:val="22"/>
              </w:rPr>
            </w:pPr>
            <w:r w:rsidRPr="00157487">
              <w:rPr>
                <w:sz w:val="22"/>
                <w:szCs w:val="22"/>
              </w:rPr>
              <w:t xml:space="preserve">Ono, R., Ishii, M., Fujihara, Y., Kitazawa, M., Usami, T., Kaneko-Ishino, T., Kanno, J., Ikawa, M., &amp; Ishino, F. (2015). Double strand break repair by capture of </w:t>
            </w:r>
            <w:r w:rsidRPr="00157487">
              <w:rPr>
                <w:sz w:val="22"/>
                <w:szCs w:val="22"/>
              </w:rPr>
              <w:lastRenderedPageBreak/>
              <w:t xml:space="preserve">retrotransposon sequences and reverse-transcribed spliced mRNA sequences in mouse zygotes. </w:t>
            </w:r>
            <w:r w:rsidRPr="00157487">
              <w:rPr>
                <w:i/>
                <w:iCs/>
                <w:sz w:val="22"/>
                <w:szCs w:val="22"/>
              </w:rPr>
              <w:t>Scientific Reports</w:t>
            </w:r>
            <w:r w:rsidRPr="00157487">
              <w:rPr>
                <w:sz w:val="22"/>
                <w:szCs w:val="22"/>
              </w:rPr>
              <w:t xml:space="preserve">, </w:t>
            </w:r>
            <w:r w:rsidRPr="00157487">
              <w:rPr>
                <w:i/>
                <w:iCs/>
                <w:sz w:val="22"/>
                <w:szCs w:val="22"/>
              </w:rPr>
              <w:t>5</w:t>
            </w:r>
            <w:r w:rsidRPr="00157487">
              <w:rPr>
                <w:sz w:val="22"/>
                <w:szCs w:val="22"/>
              </w:rPr>
              <w:t xml:space="preserve">, 12281. </w:t>
            </w:r>
            <w:hyperlink r:id="rId16" w:history="1">
              <w:r w:rsidRPr="003B21F0">
                <w:rPr>
                  <w:rStyle w:val="Hyperlink"/>
                  <w:sz w:val="22"/>
                  <w:szCs w:val="22"/>
                </w:rPr>
                <w:t>https://doi.org/10.1038/srep12281</w:t>
              </w:r>
            </w:hyperlink>
          </w:p>
          <w:p w14:paraId="599887F0" w14:textId="77777777" w:rsidR="001B3B4D" w:rsidRDefault="001B3B4D" w:rsidP="001B3B4D">
            <w:pPr>
              <w:rPr>
                <w:sz w:val="22"/>
                <w:szCs w:val="22"/>
              </w:rPr>
            </w:pPr>
          </w:p>
          <w:p w14:paraId="4BA3F414" w14:textId="77777777" w:rsidR="001B3B4D" w:rsidRPr="00157487" w:rsidRDefault="001B3B4D" w:rsidP="001B3B4D">
            <w:pPr>
              <w:rPr>
                <w:sz w:val="22"/>
                <w:szCs w:val="22"/>
              </w:rPr>
            </w:pPr>
            <w:r w:rsidRPr="000C70F3">
              <w:rPr>
                <w:sz w:val="22"/>
                <w:szCs w:val="22"/>
              </w:rPr>
              <w:t>Tuladhar R, Yeu Y, Tyler Piazza J, Tan Z, Clemenceau JR, Wu X, Barrett Q, Herbert J, Mathews DH, Kim J, Hwang TH and Lum L (2019). CRISPR-Cas9-based mutagenesis frequently provokes on-target mRNA misregulation. Nat Commun 10, 4056, doi: 10.1038/ s41467-019-12028-5</w:t>
            </w:r>
          </w:p>
          <w:p w14:paraId="6BD780B3" w14:textId="77777777" w:rsidR="001B3B4D" w:rsidRDefault="001B3B4D" w:rsidP="001B3B4D">
            <w:pPr>
              <w:rPr>
                <w:sz w:val="22"/>
                <w:szCs w:val="22"/>
              </w:rPr>
            </w:pPr>
          </w:p>
          <w:p w14:paraId="45714046" w14:textId="77777777" w:rsidR="001B3B4D" w:rsidRPr="00157487" w:rsidRDefault="001B3B4D" w:rsidP="001B3B4D">
            <w:pPr>
              <w:rPr>
                <w:sz w:val="22"/>
                <w:szCs w:val="22"/>
              </w:rPr>
            </w:pPr>
            <w:r w:rsidRPr="00157487">
              <w:rPr>
                <w:sz w:val="22"/>
                <w:szCs w:val="22"/>
              </w:rPr>
              <w:t xml:space="preserve">van Overbeek, M., Capurso, D., Carter, M. M., Thompson, M. S., Frias, E., Russ, C., Reece-Hoyes, J. S., Nye, C., Gradia, S., Vidal, B., Zheng, J., Hoffman, G. R., Fuller, C. K., &amp; May, A. P. (2016). DNA Repair Profiling Reveals Nonrandom Outcomes at Cas9-Mediated Breaks. </w:t>
            </w:r>
            <w:r w:rsidRPr="00157487">
              <w:rPr>
                <w:i/>
                <w:iCs/>
                <w:sz w:val="22"/>
                <w:szCs w:val="22"/>
              </w:rPr>
              <w:t>Molecular Cell</w:t>
            </w:r>
            <w:r w:rsidRPr="00157487">
              <w:rPr>
                <w:sz w:val="22"/>
                <w:szCs w:val="22"/>
              </w:rPr>
              <w:t xml:space="preserve">, </w:t>
            </w:r>
            <w:r w:rsidRPr="00157487">
              <w:rPr>
                <w:i/>
                <w:iCs/>
                <w:sz w:val="22"/>
                <w:szCs w:val="22"/>
              </w:rPr>
              <w:t>63</w:t>
            </w:r>
            <w:r w:rsidRPr="00157487">
              <w:rPr>
                <w:sz w:val="22"/>
                <w:szCs w:val="22"/>
              </w:rPr>
              <w:t>(4), 633–646.</w:t>
            </w:r>
          </w:p>
          <w:p w14:paraId="24BB90FA" w14:textId="77777777" w:rsidR="001B3B4D" w:rsidRDefault="001B3B4D" w:rsidP="001B3B4D">
            <w:pPr>
              <w:rPr>
                <w:sz w:val="22"/>
                <w:szCs w:val="22"/>
              </w:rPr>
            </w:pPr>
          </w:p>
          <w:p w14:paraId="4AB58E9A" w14:textId="77777777" w:rsidR="001B3B4D" w:rsidRDefault="001B3B4D" w:rsidP="001B3B4D">
            <w:pPr>
              <w:rPr>
                <w:sz w:val="22"/>
                <w:szCs w:val="22"/>
              </w:rPr>
            </w:pPr>
            <w:r>
              <w:rPr>
                <w:sz w:val="22"/>
                <w:szCs w:val="22"/>
              </w:rPr>
              <w:t xml:space="preserve">ENSSER (2021) </w:t>
            </w:r>
            <w:r>
              <w:t xml:space="preserve"> </w:t>
            </w:r>
            <w:r w:rsidRPr="00FA5B5A">
              <w:rPr>
                <w:sz w:val="22"/>
                <w:szCs w:val="22"/>
              </w:rPr>
              <w:t xml:space="preserve">“Scientific critique of Leopoldina and EASAC statements on genome edited plants in the EU”: </w:t>
            </w:r>
            <w:hyperlink r:id="rId17" w:history="1">
              <w:r w:rsidRPr="003B21F0">
                <w:rPr>
                  <w:rStyle w:val="Hyperlink"/>
                  <w:sz w:val="22"/>
                  <w:szCs w:val="22"/>
                </w:rPr>
                <w:t>https://ensser.org/wp-content/uploads/2021/04/Greens-EFA-GMO-Study-1.pdf</w:t>
              </w:r>
            </w:hyperlink>
            <w:r>
              <w:rPr>
                <w:sz w:val="22"/>
                <w:szCs w:val="22"/>
              </w:rPr>
              <w:t xml:space="preserve"> </w:t>
            </w:r>
          </w:p>
          <w:p w14:paraId="6E76C482" w14:textId="77777777" w:rsidR="001B3B4D" w:rsidRPr="007E5673" w:rsidRDefault="001B3B4D" w:rsidP="00EA105F">
            <w:pPr>
              <w:rPr>
                <w:sz w:val="22"/>
                <w:szCs w:val="22"/>
              </w:rPr>
            </w:pPr>
          </w:p>
        </w:tc>
      </w:tr>
      <w:tr w:rsidR="001B3B4D" w:rsidRPr="007E5673" w14:paraId="5528A403" w14:textId="77777777" w:rsidTr="00135D96">
        <w:trPr>
          <w:cantSplit/>
          <w:trHeight w:val="233"/>
        </w:trPr>
        <w:tc>
          <w:tcPr>
            <w:tcW w:w="918" w:type="dxa"/>
          </w:tcPr>
          <w:p w14:paraId="5E9688FF" w14:textId="6DB0E608" w:rsidR="001B3B4D" w:rsidRPr="007E5673" w:rsidRDefault="001B3B4D" w:rsidP="00EA105F">
            <w:pPr>
              <w:rPr>
                <w:sz w:val="22"/>
                <w:szCs w:val="22"/>
              </w:rPr>
            </w:pPr>
            <w:r>
              <w:rPr>
                <w:sz w:val="22"/>
                <w:szCs w:val="22"/>
              </w:rPr>
              <w:lastRenderedPageBreak/>
              <w:t>59</w:t>
            </w:r>
          </w:p>
        </w:tc>
        <w:tc>
          <w:tcPr>
            <w:tcW w:w="1125" w:type="dxa"/>
          </w:tcPr>
          <w:p w14:paraId="50128284" w14:textId="5D19B0F4" w:rsidR="001B3B4D" w:rsidRPr="007E5673" w:rsidRDefault="001B3B4D" w:rsidP="00EA105F">
            <w:pPr>
              <w:rPr>
                <w:sz w:val="22"/>
                <w:szCs w:val="22"/>
              </w:rPr>
            </w:pPr>
            <w:r>
              <w:rPr>
                <w:sz w:val="22"/>
                <w:szCs w:val="22"/>
              </w:rPr>
              <w:t>15</w:t>
            </w:r>
          </w:p>
        </w:tc>
        <w:tc>
          <w:tcPr>
            <w:tcW w:w="8145" w:type="dxa"/>
            <w:gridSpan w:val="2"/>
          </w:tcPr>
          <w:p w14:paraId="7125E0A9" w14:textId="1450BAE6" w:rsidR="001B3B4D" w:rsidRPr="007E5673" w:rsidRDefault="001B3B4D" w:rsidP="00EA105F">
            <w:pPr>
              <w:rPr>
                <w:sz w:val="22"/>
                <w:szCs w:val="22"/>
              </w:rPr>
            </w:pPr>
            <w:r w:rsidRPr="001B3B4D">
              <w:rPr>
                <w:sz w:val="22"/>
                <w:szCs w:val="22"/>
              </w:rPr>
              <w:t>We strongly reject the suggestion that a “Risk assessment light” could be used for the regulation of genome editing due to many uncertainties in the edited crop constructions, as well as the high likelihood that, like in the case of GMOs, it could cause harm to the environment, crop relatives and the health of peasant farmers and ultimately consumers.</w:t>
            </w:r>
          </w:p>
        </w:tc>
      </w:tr>
      <w:tr w:rsidR="00593BC6" w:rsidRPr="007E5673" w14:paraId="6817A6D0" w14:textId="77777777" w:rsidTr="00135D96">
        <w:trPr>
          <w:cantSplit/>
          <w:trHeight w:val="233"/>
        </w:trPr>
        <w:tc>
          <w:tcPr>
            <w:tcW w:w="918" w:type="dxa"/>
          </w:tcPr>
          <w:p w14:paraId="4455D7DB" w14:textId="01FCE6E1" w:rsidR="00593BC6" w:rsidRPr="007E5673" w:rsidRDefault="001B3B4D" w:rsidP="00EA105F">
            <w:pPr>
              <w:rPr>
                <w:sz w:val="22"/>
                <w:szCs w:val="22"/>
              </w:rPr>
            </w:pPr>
            <w:r>
              <w:rPr>
                <w:sz w:val="22"/>
                <w:szCs w:val="22"/>
              </w:rPr>
              <w:t>60</w:t>
            </w:r>
          </w:p>
        </w:tc>
        <w:tc>
          <w:tcPr>
            <w:tcW w:w="1125" w:type="dxa"/>
          </w:tcPr>
          <w:p w14:paraId="2C46BB89" w14:textId="3EA85F5A" w:rsidR="00593BC6" w:rsidRPr="007E5673" w:rsidRDefault="001B3B4D" w:rsidP="00EA105F">
            <w:pPr>
              <w:rPr>
                <w:sz w:val="22"/>
                <w:szCs w:val="22"/>
              </w:rPr>
            </w:pPr>
            <w:r>
              <w:rPr>
                <w:sz w:val="22"/>
                <w:szCs w:val="22"/>
              </w:rPr>
              <w:t>32</w:t>
            </w:r>
          </w:p>
        </w:tc>
        <w:tc>
          <w:tcPr>
            <w:tcW w:w="8145" w:type="dxa"/>
            <w:gridSpan w:val="2"/>
          </w:tcPr>
          <w:p w14:paraId="30953B7B" w14:textId="3EDA6249" w:rsidR="00593BC6" w:rsidRPr="007E5673" w:rsidRDefault="001B3B4D" w:rsidP="00EA105F">
            <w:pPr>
              <w:rPr>
                <w:sz w:val="22"/>
                <w:szCs w:val="22"/>
              </w:rPr>
            </w:pPr>
            <w:r w:rsidRPr="001B3B4D">
              <w:rPr>
                <w:sz w:val="22"/>
                <w:szCs w:val="22"/>
              </w:rPr>
              <w:t>We agree that additional research is necessary to assess the risk of these technologies before they are considered to be released into the environment.</w:t>
            </w:r>
          </w:p>
        </w:tc>
      </w:tr>
      <w:tr w:rsidR="001B3B4D" w:rsidRPr="007E5673" w14:paraId="69AF235A" w14:textId="77777777" w:rsidTr="00135D96">
        <w:trPr>
          <w:cantSplit/>
          <w:trHeight w:val="233"/>
        </w:trPr>
        <w:tc>
          <w:tcPr>
            <w:tcW w:w="918" w:type="dxa"/>
          </w:tcPr>
          <w:p w14:paraId="5C685644" w14:textId="6CC94A5E" w:rsidR="001B3B4D" w:rsidRPr="007E5673" w:rsidRDefault="001B3B4D" w:rsidP="001B3B4D">
            <w:pPr>
              <w:tabs>
                <w:tab w:val="left" w:pos="447"/>
              </w:tabs>
              <w:rPr>
                <w:sz w:val="22"/>
                <w:szCs w:val="22"/>
              </w:rPr>
            </w:pPr>
            <w:r>
              <w:rPr>
                <w:sz w:val="22"/>
                <w:szCs w:val="22"/>
              </w:rPr>
              <w:t>61</w:t>
            </w:r>
          </w:p>
        </w:tc>
        <w:tc>
          <w:tcPr>
            <w:tcW w:w="1125" w:type="dxa"/>
          </w:tcPr>
          <w:p w14:paraId="29C24433" w14:textId="44EFF955" w:rsidR="001B3B4D" w:rsidRPr="007E5673" w:rsidRDefault="001B3B4D" w:rsidP="00EA105F">
            <w:pPr>
              <w:rPr>
                <w:sz w:val="22"/>
                <w:szCs w:val="22"/>
              </w:rPr>
            </w:pPr>
            <w:r>
              <w:rPr>
                <w:sz w:val="22"/>
                <w:szCs w:val="22"/>
              </w:rPr>
              <w:t>24</w:t>
            </w:r>
          </w:p>
        </w:tc>
        <w:tc>
          <w:tcPr>
            <w:tcW w:w="8145" w:type="dxa"/>
            <w:gridSpan w:val="2"/>
          </w:tcPr>
          <w:p w14:paraId="1CBF15AC" w14:textId="31E1A06E" w:rsidR="001B3B4D" w:rsidRPr="007E5673" w:rsidRDefault="001B3B4D" w:rsidP="00EA105F">
            <w:pPr>
              <w:rPr>
                <w:sz w:val="22"/>
                <w:szCs w:val="22"/>
              </w:rPr>
            </w:pPr>
            <w:r w:rsidRPr="001B3B4D">
              <w:rPr>
                <w:sz w:val="22"/>
                <w:szCs w:val="22"/>
              </w:rPr>
              <w:t>This should include the fact that epigenetic changes can be inherited, which is an additional risk to ecosystems and biodiversity.</w:t>
            </w:r>
          </w:p>
        </w:tc>
      </w:tr>
      <w:tr w:rsidR="001B3B4D" w:rsidRPr="007E5673" w14:paraId="4D1BCC57" w14:textId="77777777" w:rsidTr="00135D96">
        <w:trPr>
          <w:cantSplit/>
          <w:trHeight w:val="233"/>
        </w:trPr>
        <w:tc>
          <w:tcPr>
            <w:tcW w:w="918" w:type="dxa"/>
          </w:tcPr>
          <w:p w14:paraId="2C4364BC" w14:textId="5291969F" w:rsidR="001B3B4D" w:rsidRPr="007E5673" w:rsidRDefault="001B3B4D" w:rsidP="00EA105F">
            <w:pPr>
              <w:rPr>
                <w:sz w:val="22"/>
                <w:szCs w:val="22"/>
              </w:rPr>
            </w:pPr>
            <w:r>
              <w:rPr>
                <w:sz w:val="22"/>
                <w:szCs w:val="22"/>
              </w:rPr>
              <w:t>61</w:t>
            </w:r>
          </w:p>
        </w:tc>
        <w:tc>
          <w:tcPr>
            <w:tcW w:w="1125" w:type="dxa"/>
          </w:tcPr>
          <w:p w14:paraId="307C4229" w14:textId="226F7D50" w:rsidR="001B3B4D" w:rsidRPr="007E5673" w:rsidRDefault="001B3B4D" w:rsidP="00EA105F">
            <w:pPr>
              <w:rPr>
                <w:sz w:val="22"/>
                <w:szCs w:val="22"/>
              </w:rPr>
            </w:pPr>
            <w:r>
              <w:rPr>
                <w:sz w:val="22"/>
                <w:szCs w:val="22"/>
              </w:rPr>
              <w:t>32</w:t>
            </w:r>
          </w:p>
        </w:tc>
        <w:tc>
          <w:tcPr>
            <w:tcW w:w="8145" w:type="dxa"/>
            <w:gridSpan w:val="2"/>
          </w:tcPr>
          <w:p w14:paraId="2A02EBC6" w14:textId="493FEBEA" w:rsidR="001B3B4D" w:rsidRPr="007E5673" w:rsidRDefault="001B3B4D" w:rsidP="00EA105F">
            <w:pPr>
              <w:rPr>
                <w:sz w:val="22"/>
                <w:szCs w:val="22"/>
              </w:rPr>
            </w:pPr>
            <w:r w:rsidRPr="001B3B4D">
              <w:rPr>
                <w:sz w:val="22"/>
                <w:szCs w:val="22"/>
              </w:rPr>
              <w:t>There are no current examples of “build-in safety features”, only speculation. Also applies to “kill switches” (p.62 Line 11).</w:t>
            </w:r>
          </w:p>
        </w:tc>
      </w:tr>
      <w:tr w:rsidR="001B3B4D" w:rsidRPr="007E5673" w14:paraId="225C87A3" w14:textId="77777777" w:rsidTr="00135D96">
        <w:trPr>
          <w:cantSplit/>
          <w:trHeight w:val="233"/>
        </w:trPr>
        <w:tc>
          <w:tcPr>
            <w:tcW w:w="918" w:type="dxa"/>
          </w:tcPr>
          <w:p w14:paraId="4F73143D" w14:textId="7EE53581" w:rsidR="001B3B4D" w:rsidRPr="007E5673" w:rsidRDefault="001B3B4D" w:rsidP="00EA105F">
            <w:pPr>
              <w:rPr>
                <w:sz w:val="22"/>
                <w:szCs w:val="22"/>
              </w:rPr>
            </w:pPr>
            <w:r>
              <w:rPr>
                <w:sz w:val="22"/>
                <w:szCs w:val="22"/>
              </w:rPr>
              <w:t>68</w:t>
            </w:r>
          </w:p>
        </w:tc>
        <w:tc>
          <w:tcPr>
            <w:tcW w:w="1125" w:type="dxa"/>
          </w:tcPr>
          <w:p w14:paraId="0CDC37E3" w14:textId="3A428A61" w:rsidR="001B3B4D" w:rsidRPr="007E5673" w:rsidRDefault="001B3B4D" w:rsidP="00EA105F">
            <w:pPr>
              <w:rPr>
                <w:sz w:val="22"/>
                <w:szCs w:val="22"/>
              </w:rPr>
            </w:pPr>
            <w:r>
              <w:rPr>
                <w:sz w:val="22"/>
                <w:szCs w:val="22"/>
              </w:rPr>
              <w:t>6</w:t>
            </w:r>
          </w:p>
        </w:tc>
        <w:tc>
          <w:tcPr>
            <w:tcW w:w="8145" w:type="dxa"/>
            <w:gridSpan w:val="2"/>
          </w:tcPr>
          <w:p w14:paraId="33C491A0" w14:textId="45A8A6A7" w:rsidR="001B3B4D" w:rsidRDefault="001B3B4D" w:rsidP="00EA105F">
            <w:pPr>
              <w:rPr>
                <w:sz w:val="22"/>
                <w:szCs w:val="22"/>
              </w:rPr>
            </w:pPr>
            <w:r w:rsidRPr="001B3B4D">
              <w:rPr>
                <w:sz w:val="22"/>
                <w:szCs w:val="22"/>
              </w:rPr>
              <w:t xml:space="preserve">dsRNAs are explicitly designed to modify genetic activity of exposed organisms, with some effects potentially hereditary, and thus can be considered a genetic modification technique. Industry patents have been filed that claim heritability, as well as proprietary rights over exposed organisms and their offspring. Any proposals to regulate solely the dsRNA product and not the exposed organisms thus fails to acknowledge the biosafety and socioeconomic implications of this new form of genetic modification.  </w:t>
            </w:r>
          </w:p>
          <w:p w14:paraId="613361D1" w14:textId="77777777" w:rsidR="001B3B4D" w:rsidRDefault="001B3B4D" w:rsidP="00EA105F">
            <w:pPr>
              <w:rPr>
                <w:sz w:val="22"/>
                <w:szCs w:val="22"/>
              </w:rPr>
            </w:pPr>
          </w:p>
          <w:p w14:paraId="7758BD21" w14:textId="171379C6" w:rsidR="001B3B4D" w:rsidRPr="007E5673" w:rsidRDefault="001B3B4D" w:rsidP="00EA105F">
            <w:pPr>
              <w:rPr>
                <w:sz w:val="22"/>
                <w:szCs w:val="22"/>
              </w:rPr>
            </w:pPr>
            <w:r>
              <w:rPr>
                <w:sz w:val="22"/>
                <w:szCs w:val="22"/>
              </w:rPr>
              <w:t>The document s</w:t>
            </w:r>
            <w:r w:rsidRPr="001B3B4D">
              <w:rPr>
                <w:sz w:val="22"/>
                <w:szCs w:val="22"/>
              </w:rPr>
              <w:t xml:space="preserve">tates that products based on RNA-based technologies could be considered “non-transgenic” (and thus could avoid total or partial biosafety evaluation), when the paper has already acknowledged risks of epigenetic change from the RNA that has been introduced (see note on p.61 Line 24). This needs correcting as, otherwise, the Singh et al. (2019) paper </w:t>
            </w:r>
            <w:r>
              <w:rPr>
                <w:sz w:val="22"/>
                <w:szCs w:val="22"/>
              </w:rPr>
              <w:t xml:space="preserve">cited </w:t>
            </w:r>
            <w:r w:rsidRPr="001B3B4D">
              <w:rPr>
                <w:sz w:val="22"/>
                <w:szCs w:val="22"/>
              </w:rPr>
              <w:t>risks misleading the reader.</w:t>
            </w:r>
          </w:p>
        </w:tc>
      </w:tr>
      <w:tr w:rsidR="001B3B4D" w:rsidRPr="007E5673" w14:paraId="23678B02" w14:textId="77777777" w:rsidTr="00135D96">
        <w:trPr>
          <w:cantSplit/>
          <w:trHeight w:val="233"/>
        </w:trPr>
        <w:tc>
          <w:tcPr>
            <w:tcW w:w="918" w:type="dxa"/>
          </w:tcPr>
          <w:p w14:paraId="4B9CC5E0" w14:textId="70C249AD" w:rsidR="001B3B4D" w:rsidRPr="007E5673" w:rsidRDefault="001B3B4D" w:rsidP="001B3B4D">
            <w:pPr>
              <w:tabs>
                <w:tab w:val="left" w:pos="491"/>
              </w:tabs>
              <w:rPr>
                <w:sz w:val="22"/>
                <w:szCs w:val="22"/>
              </w:rPr>
            </w:pPr>
            <w:r>
              <w:rPr>
                <w:sz w:val="22"/>
                <w:szCs w:val="22"/>
              </w:rPr>
              <w:t>71</w:t>
            </w:r>
          </w:p>
        </w:tc>
        <w:tc>
          <w:tcPr>
            <w:tcW w:w="1125" w:type="dxa"/>
          </w:tcPr>
          <w:p w14:paraId="585FF565" w14:textId="2B13F99D" w:rsidR="001B3B4D" w:rsidRPr="007E5673" w:rsidRDefault="001B3B4D" w:rsidP="00EA105F">
            <w:pPr>
              <w:rPr>
                <w:sz w:val="22"/>
                <w:szCs w:val="22"/>
              </w:rPr>
            </w:pPr>
            <w:r>
              <w:rPr>
                <w:sz w:val="22"/>
                <w:szCs w:val="22"/>
              </w:rPr>
              <w:t>24</w:t>
            </w:r>
          </w:p>
        </w:tc>
        <w:tc>
          <w:tcPr>
            <w:tcW w:w="8145" w:type="dxa"/>
            <w:gridSpan w:val="2"/>
          </w:tcPr>
          <w:p w14:paraId="2DD6BDEF" w14:textId="33629755" w:rsidR="001B3B4D" w:rsidRDefault="001B3B4D" w:rsidP="001B3B4D">
            <w:pPr>
              <w:widowControl w:val="0"/>
              <w:autoSpaceDE w:val="0"/>
              <w:autoSpaceDN w:val="0"/>
              <w:adjustRightInd w:val="0"/>
              <w:rPr>
                <w:sz w:val="22"/>
                <w:szCs w:val="22"/>
              </w:rPr>
            </w:pPr>
            <w:r>
              <w:rPr>
                <w:sz w:val="22"/>
                <w:szCs w:val="22"/>
              </w:rPr>
              <w:t>We suggest the addition of this sentence at the end of the paragraph: “</w:t>
            </w:r>
            <w:r>
              <w:rPr>
                <w:rFonts w:eastAsia="Calibri"/>
                <w:sz w:val="22"/>
                <w:szCs w:val="22"/>
                <w:lang w:val="en-US"/>
              </w:rPr>
              <w:t>In fact, given that gene drive applications have the potential to cause serious harm to the environment, which is a public good, it would not be appropriate to place regulation and decision-making about the technology solely in the hands of private actors.”</w:t>
            </w:r>
            <w:r>
              <w:rPr>
                <w:sz w:val="22"/>
                <w:szCs w:val="22"/>
              </w:rPr>
              <w:t xml:space="preserve"> </w:t>
            </w:r>
          </w:p>
          <w:p w14:paraId="22414DF9" w14:textId="77777777" w:rsidR="001B3B4D" w:rsidRDefault="001B3B4D" w:rsidP="001B3B4D">
            <w:pPr>
              <w:widowControl w:val="0"/>
              <w:autoSpaceDE w:val="0"/>
              <w:autoSpaceDN w:val="0"/>
              <w:adjustRightInd w:val="0"/>
              <w:rPr>
                <w:sz w:val="22"/>
                <w:szCs w:val="22"/>
              </w:rPr>
            </w:pPr>
          </w:p>
          <w:p w14:paraId="7456076B" w14:textId="3E58FC42" w:rsidR="001B3B4D" w:rsidRPr="007E5673" w:rsidRDefault="001B3B4D" w:rsidP="001B3B4D">
            <w:pPr>
              <w:rPr>
                <w:sz w:val="22"/>
                <w:szCs w:val="22"/>
              </w:rPr>
            </w:pPr>
            <w:r>
              <w:rPr>
                <w:sz w:val="22"/>
                <w:szCs w:val="22"/>
                <w:lang w:val="en-US"/>
              </w:rPr>
              <w:t>Lim, L.C., &amp; Lim</w:t>
            </w:r>
            <w:r w:rsidRPr="00B80E45">
              <w:rPr>
                <w:sz w:val="22"/>
                <w:szCs w:val="22"/>
                <w:lang w:val="en-US"/>
              </w:rPr>
              <w:t xml:space="preserve">, L. L. (2019). </w:t>
            </w:r>
            <w:r w:rsidRPr="00B80E45">
              <w:rPr>
                <w:i/>
                <w:iCs/>
                <w:sz w:val="22"/>
                <w:szCs w:val="22"/>
                <w:lang w:val="en-US"/>
              </w:rPr>
              <w:t>Gene Drives: Legal and Regulatory Issues</w:t>
            </w:r>
            <w:r>
              <w:rPr>
                <w:sz w:val="22"/>
                <w:szCs w:val="22"/>
                <w:lang w:val="en-US"/>
              </w:rPr>
              <w:t>. Third World Network.</w:t>
            </w:r>
            <w:r w:rsidRPr="00B80E45">
              <w:rPr>
                <w:sz w:val="22"/>
                <w:szCs w:val="22"/>
                <w:lang w:val="en-US"/>
              </w:rPr>
              <w:t xml:space="preserve"> </w:t>
            </w:r>
            <w:hyperlink r:id="rId18" w:history="1">
              <w:r w:rsidRPr="009875B3">
                <w:rPr>
                  <w:rStyle w:val="Hyperlink"/>
                  <w:sz w:val="22"/>
                  <w:szCs w:val="22"/>
                  <w:lang w:val="en-US"/>
                </w:rPr>
                <w:t>https://www.twn.my/title2/books/Gene-drives.htm</w:t>
              </w:r>
            </w:hyperlink>
          </w:p>
        </w:tc>
      </w:tr>
      <w:tr w:rsidR="001B3B4D" w:rsidRPr="007E5673" w14:paraId="4864D473" w14:textId="77777777" w:rsidTr="00135D96">
        <w:trPr>
          <w:cantSplit/>
          <w:trHeight w:val="233"/>
        </w:trPr>
        <w:tc>
          <w:tcPr>
            <w:tcW w:w="918" w:type="dxa"/>
          </w:tcPr>
          <w:p w14:paraId="6CEAABF7" w14:textId="54366DF9" w:rsidR="001B3B4D" w:rsidRPr="007E5673" w:rsidRDefault="001B3B4D" w:rsidP="001B3B4D">
            <w:pPr>
              <w:rPr>
                <w:sz w:val="22"/>
                <w:szCs w:val="22"/>
              </w:rPr>
            </w:pPr>
            <w:r>
              <w:rPr>
                <w:sz w:val="22"/>
                <w:szCs w:val="22"/>
              </w:rPr>
              <w:tab/>
              <w:t>130</w:t>
            </w:r>
          </w:p>
        </w:tc>
        <w:tc>
          <w:tcPr>
            <w:tcW w:w="1125" w:type="dxa"/>
          </w:tcPr>
          <w:p w14:paraId="01D40DA8" w14:textId="5756F5C7" w:rsidR="001B3B4D" w:rsidRPr="007E5673" w:rsidRDefault="001B3B4D" w:rsidP="001B3B4D">
            <w:pPr>
              <w:rPr>
                <w:sz w:val="22"/>
                <w:szCs w:val="22"/>
              </w:rPr>
            </w:pPr>
            <w:r>
              <w:rPr>
                <w:sz w:val="22"/>
                <w:szCs w:val="22"/>
              </w:rPr>
              <w:t>24</w:t>
            </w:r>
          </w:p>
        </w:tc>
        <w:tc>
          <w:tcPr>
            <w:tcW w:w="8145" w:type="dxa"/>
            <w:gridSpan w:val="2"/>
          </w:tcPr>
          <w:p w14:paraId="3F1CA14D" w14:textId="3E1FC928" w:rsidR="001B3B4D" w:rsidRPr="007E5673" w:rsidRDefault="001B3B4D" w:rsidP="001B3B4D">
            <w:pPr>
              <w:rPr>
                <w:sz w:val="22"/>
                <w:szCs w:val="22"/>
              </w:rPr>
            </w:pPr>
            <w:r w:rsidRPr="001B3B4D">
              <w:rPr>
                <w:sz w:val="22"/>
                <w:szCs w:val="22"/>
              </w:rPr>
              <w:t>Indigenous Peoples and Local Communities IPLC) will require resources to conduct their own collective discussions and decision making as part of adequate FPIC (wrongly abbreviated to FFIC on line 23). Their should be an obligation to provide these resources.</w:t>
            </w:r>
          </w:p>
        </w:tc>
      </w:tr>
      <w:tr w:rsidR="001B3B4D" w:rsidRPr="007E5673" w14:paraId="6442AAA9" w14:textId="77777777" w:rsidTr="00135D96">
        <w:trPr>
          <w:cantSplit/>
          <w:trHeight w:val="233"/>
        </w:trPr>
        <w:tc>
          <w:tcPr>
            <w:tcW w:w="918" w:type="dxa"/>
          </w:tcPr>
          <w:p w14:paraId="53D956FA" w14:textId="4748EC02" w:rsidR="001B3B4D" w:rsidRDefault="001B3B4D" w:rsidP="001B3B4D">
            <w:pPr>
              <w:rPr>
                <w:sz w:val="22"/>
                <w:szCs w:val="22"/>
              </w:rPr>
            </w:pPr>
            <w:r>
              <w:rPr>
                <w:sz w:val="22"/>
                <w:szCs w:val="22"/>
              </w:rPr>
              <w:lastRenderedPageBreak/>
              <w:t>134</w:t>
            </w:r>
          </w:p>
        </w:tc>
        <w:tc>
          <w:tcPr>
            <w:tcW w:w="1125" w:type="dxa"/>
          </w:tcPr>
          <w:p w14:paraId="53EA92B4" w14:textId="445B4E3D" w:rsidR="001B3B4D" w:rsidRDefault="001B3B4D" w:rsidP="001B3B4D">
            <w:pPr>
              <w:rPr>
                <w:sz w:val="22"/>
                <w:szCs w:val="22"/>
              </w:rPr>
            </w:pPr>
            <w:r>
              <w:rPr>
                <w:sz w:val="22"/>
                <w:szCs w:val="22"/>
              </w:rPr>
              <w:t>20</w:t>
            </w:r>
          </w:p>
        </w:tc>
        <w:tc>
          <w:tcPr>
            <w:tcW w:w="8145" w:type="dxa"/>
            <w:gridSpan w:val="2"/>
          </w:tcPr>
          <w:p w14:paraId="690AF415" w14:textId="236E2D34" w:rsidR="001B3B4D" w:rsidRPr="001B3B4D" w:rsidRDefault="001B3B4D" w:rsidP="001B3B4D">
            <w:pPr>
              <w:rPr>
                <w:sz w:val="22"/>
                <w:szCs w:val="22"/>
              </w:rPr>
            </w:pPr>
            <w:r>
              <w:rPr>
                <w:sz w:val="22"/>
                <w:szCs w:val="22"/>
              </w:rPr>
              <w:t>Insert the sentence: “</w:t>
            </w:r>
            <w:r w:rsidRPr="001B3B4D">
              <w:rPr>
                <w:sz w:val="22"/>
                <w:szCs w:val="22"/>
              </w:rPr>
              <w:t>FPIC should follow principles that are proposed by IPLCs themselves, which will differ depending on their cultural, geographical and political contexts</w:t>
            </w:r>
            <w:r>
              <w:rPr>
                <w:sz w:val="22"/>
                <w:szCs w:val="22"/>
              </w:rPr>
              <w:t>”</w:t>
            </w:r>
            <w:r w:rsidRPr="001B3B4D">
              <w:rPr>
                <w:sz w:val="22"/>
                <w:szCs w:val="22"/>
              </w:rPr>
              <w:t>.</w:t>
            </w:r>
          </w:p>
        </w:tc>
      </w:tr>
    </w:tbl>
    <w:p w14:paraId="6E675E30" w14:textId="77777777" w:rsidR="00593BC6" w:rsidRPr="007E5673" w:rsidRDefault="00593BC6" w:rsidP="00593BC6">
      <w:pPr>
        <w:tabs>
          <w:tab w:val="left" w:pos="7020"/>
        </w:tabs>
        <w:ind w:right="44"/>
        <w:jc w:val="both"/>
        <w:rPr>
          <w:sz w:val="22"/>
          <w:szCs w:val="22"/>
        </w:rPr>
      </w:pPr>
    </w:p>
    <w:p w14:paraId="0E955578" w14:textId="77777777" w:rsidR="00593BC6" w:rsidRPr="007E5673" w:rsidRDefault="00593BC6" w:rsidP="00593BC6">
      <w:pPr>
        <w:tabs>
          <w:tab w:val="left" w:pos="7020"/>
        </w:tabs>
        <w:ind w:right="44"/>
        <w:jc w:val="both"/>
        <w:rPr>
          <w:sz w:val="22"/>
          <w:szCs w:val="22"/>
        </w:rPr>
      </w:pPr>
    </w:p>
    <w:p w14:paraId="11FCA427" w14:textId="77777777" w:rsidR="00593BC6" w:rsidRPr="007E5673" w:rsidRDefault="00593BC6" w:rsidP="00593BC6">
      <w:pPr>
        <w:tabs>
          <w:tab w:val="left" w:pos="7020"/>
        </w:tabs>
        <w:ind w:right="44"/>
        <w:jc w:val="both"/>
        <w:rPr>
          <w:sz w:val="22"/>
          <w:szCs w:val="22"/>
        </w:rPr>
      </w:pPr>
    </w:p>
    <w:p w14:paraId="2432318E" w14:textId="1E7BC26A" w:rsidR="004D6145" w:rsidRPr="007E5673" w:rsidRDefault="00593BC6" w:rsidP="004B6042">
      <w:pPr>
        <w:pStyle w:val="Footer"/>
        <w:jc w:val="center"/>
        <w:rPr>
          <w:sz w:val="22"/>
          <w:szCs w:val="22"/>
          <w:lang w:val="en-CA"/>
        </w:rPr>
      </w:pPr>
      <w:r w:rsidRPr="007E5673">
        <w:rPr>
          <w:sz w:val="22"/>
          <w:szCs w:val="22"/>
          <w:lang w:val="en-CA"/>
        </w:rPr>
        <w:t xml:space="preserve">Please submit your comments to </w:t>
      </w:r>
      <w:hyperlink r:id="rId19" w:history="1">
        <w:r w:rsidRPr="007E5673">
          <w:rPr>
            <w:rStyle w:val="Hyperlink"/>
            <w:sz w:val="22"/>
            <w:szCs w:val="22"/>
            <w:lang w:val="en-CA"/>
          </w:rPr>
          <w:t>secretariat@cbd.int</w:t>
        </w:r>
      </w:hyperlink>
      <w:r w:rsidRPr="007E5673">
        <w:rPr>
          <w:sz w:val="22"/>
          <w:szCs w:val="22"/>
          <w:lang w:val="en-CA"/>
        </w:rPr>
        <w:t>.</w:t>
      </w:r>
    </w:p>
    <w:sectPr w:rsidR="004D6145" w:rsidRPr="007E5673" w:rsidSect="00EA105F">
      <w:headerReference w:type="first" r:id="rId2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BF65" w14:textId="77777777" w:rsidR="001D15B6" w:rsidRDefault="001D15B6" w:rsidP="00593BC6">
      <w:r>
        <w:separator/>
      </w:r>
    </w:p>
  </w:endnote>
  <w:endnote w:type="continuationSeparator" w:id="0">
    <w:p w14:paraId="7489358F" w14:textId="77777777" w:rsidR="001D15B6" w:rsidRDefault="001D15B6"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auto"/>
    <w:pitch w:val="variable"/>
    <w:sig w:usb0="00000000" w:usb1="C0007841" w:usb2="00000009" w:usb3="00000000" w:csb0="000001F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89D8B" w14:textId="77777777" w:rsidR="001D15B6" w:rsidRDefault="001D15B6" w:rsidP="00593BC6">
      <w:r>
        <w:separator/>
      </w:r>
    </w:p>
  </w:footnote>
  <w:footnote w:type="continuationSeparator" w:id="0">
    <w:p w14:paraId="0C2E594D" w14:textId="77777777" w:rsidR="001D15B6" w:rsidRDefault="001D15B6"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C6"/>
    <w:rsid w:val="00054613"/>
    <w:rsid w:val="00091F4D"/>
    <w:rsid w:val="000A54FC"/>
    <w:rsid w:val="000E2E07"/>
    <w:rsid w:val="00135D96"/>
    <w:rsid w:val="001468B4"/>
    <w:rsid w:val="001B3B4D"/>
    <w:rsid w:val="001D15B6"/>
    <w:rsid w:val="0024383F"/>
    <w:rsid w:val="00293F84"/>
    <w:rsid w:val="0032155A"/>
    <w:rsid w:val="00363EF2"/>
    <w:rsid w:val="003925B2"/>
    <w:rsid w:val="00393449"/>
    <w:rsid w:val="003C5737"/>
    <w:rsid w:val="00430349"/>
    <w:rsid w:val="004B6042"/>
    <w:rsid w:val="004D6145"/>
    <w:rsid w:val="004E426F"/>
    <w:rsid w:val="00524BE0"/>
    <w:rsid w:val="005411E6"/>
    <w:rsid w:val="00593BC6"/>
    <w:rsid w:val="00594E31"/>
    <w:rsid w:val="005C4C24"/>
    <w:rsid w:val="00652D1D"/>
    <w:rsid w:val="00735FF1"/>
    <w:rsid w:val="00780EC4"/>
    <w:rsid w:val="007E5673"/>
    <w:rsid w:val="00854B69"/>
    <w:rsid w:val="00872EB7"/>
    <w:rsid w:val="00886A4D"/>
    <w:rsid w:val="008C05B8"/>
    <w:rsid w:val="00991F51"/>
    <w:rsid w:val="00A05BE6"/>
    <w:rsid w:val="00A545C6"/>
    <w:rsid w:val="00AD22DE"/>
    <w:rsid w:val="00B215AE"/>
    <w:rsid w:val="00B30682"/>
    <w:rsid w:val="00B373CC"/>
    <w:rsid w:val="00B662B0"/>
    <w:rsid w:val="00BB14D8"/>
    <w:rsid w:val="00BD5D26"/>
    <w:rsid w:val="00C33566"/>
    <w:rsid w:val="00D46911"/>
    <w:rsid w:val="00D60758"/>
    <w:rsid w:val="00D97576"/>
    <w:rsid w:val="00DD4F55"/>
    <w:rsid w:val="00E227B2"/>
    <w:rsid w:val="00EA105F"/>
    <w:rsid w:val="00F73C17"/>
    <w:rsid w:val="00F754C0"/>
    <w:rsid w:val="00F8658F"/>
    <w:rsid w:val="00F86F63"/>
    <w:rsid w:val="00F94D0C"/>
    <w:rsid w:val="00FB07C1"/>
    <w:rsid w:val="00FB1BA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D46911"/>
    <w:rPr>
      <w:color w:val="605E5C"/>
      <w:shd w:val="clear" w:color="auto" w:fill="E1DFDD"/>
    </w:rPr>
  </w:style>
  <w:style w:type="paragraph" w:styleId="NormalWeb">
    <w:name w:val="Normal (Web)"/>
    <w:basedOn w:val="Normal"/>
    <w:uiPriority w:val="99"/>
    <w:unhideWhenUsed/>
    <w:rsid w:val="007E567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nologyreview.com/2019/08/29/65364/recombinetics-gene-edited-hornless-cattle-major-dna-screwup/" TargetMode="External"/><Relationship Id="rId13" Type="http://schemas.openxmlformats.org/officeDocument/2006/relationships/hyperlink" Target="https://biosafety-info.net/articles/assessment-impacts/risk-assessment/risk-assessment-challenges-of-synthetic-gene-drive-organisms/" TargetMode="External"/><Relationship Id="rId18" Type="http://schemas.openxmlformats.org/officeDocument/2006/relationships/hyperlink" Target="https://www.twn.my/title2/books/Gene-drives.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silvia@etcgroup.org" TargetMode="External"/><Relationship Id="rId12" Type="http://schemas.openxmlformats.org/officeDocument/2006/relationships/hyperlink" Target="https://www.etcgroup.org/content/united-nations-hits-brakes-gene-drives" TargetMode="External"/><Relationship Id="rId17" Type="http://schemas.openxmlformats.org/officeDocument/2006/relationships/hyperlink" Target="https://ensser.org/wp-content/uploads/2021/04/Greens-EFA-GMO-Study-1.pdf" TargetMode="External"/><Relationship Id="rId2" Type="http://schemas.openxmlformats.org/officeDocument/2006/relationships/settings" Target="settings.xml"/><Relationship Id="rId16" Type="http://schemas.openxmlformats.org/officeDocument/2006/relationships/hyperlink" Target="https://doi.org/10.1038/srep1228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tom@etcgroup.org" TargetMode="External"/><Relationship Id="rId11" Type="http://schemas.openxmlformats.org/officeDocument/2006/relationships/hyperlink" Target="https://www.therightsofnature.org/paris-financialization-of-nature/" TargetMode="External"/><Relationship Id="rId5" Type="http://schemas.openxmlformats.org/officeDocument/2006/relationships/endnotes" Target="endnotes.xml"/><Relationship Id="rId15" Type="http://schemas.openxmlformats.org/officeDocument/2006/relationships/hyperlink" Target="https://doi.org/10.1101/2021.02.15.431335" TargetMode="External"/><Relationship Id="rId10" Type="http://schemas.openxmlformats.org/officeDocument/2006/relationships/hyperlink" Target="https://doi.org/10.1186/s12915-020-00834-z" TargetMode="External"/><Relationship Id="rId19" Type="http://schemas.openxmlformats.org/officeDocument/2006/relationships/hyperlink" Target="mailto:secretariat@cbd.int" TargetMode="External"/><Relationship Id="rId4" Type="http://schemas.openxmlformats.org/officeDocument/2006/relationships/footnotes" Target="footnotes.xml"/><Relationship Id="rId9" Type="http://schemas.openxmlformats.org/officeDocument/2006/relationships/hyperlink" Target="https://biosafety-info.net/articles/assessment-impacts/risk-assessment/risk-assessment-challenges-of-synthetic-gene-drive-organisms/" TargetMode="External"/><Relationship Id="rId14" Type="http://schemas.openxmlformats.org/officeDocument/2006/relationships/hyperlink" Target="https://doi.org/10.1016/j.molcel.2018.04.0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3675</Words>
  <Characters>20948</Characters>
  <Application>Microsoft Office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24574</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TW</cp:lastModifiedBy>
  <cp:revision>6</cp:revision>
  <dcterms:created xsi:type="dcterms:W3CDTF">2021-07-06T13:27:00Z</dcterms:created>
  <dcterms:modified xsi:type="dcterms:W3CDTF">2021-07-06T15:28:00Z</dcterms:modified>
</cp:coreProperties>
</file>