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7AB3" w14:textId="274839DA" w:rsidR="00D97576" w:rsidRPr="00C658CD" w:rsidRDefault="00D97576" w:rsidP="00661020">
      <w:pPr>
        <w:pStyle w:val="Header"/>
        <w:spacing w:after="120"/>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109"/>
        <w:gridCol w:w="104"/>
        <w:gridCol w:w="7879"/>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64E7">
            <w:pPr>
              <w:spacing w:after="120"/>
              <w:rPr>
                <w:b/>
                <w:sz w:val="22"/>
                <w:szCs w:val="22"/>
              </w:rPr>
            </w:pPr>
          </w:p>
          <w:p w14:paraId="0923A0AA" w14:textId="77777777" w:rsidR="00593BC6" w:rsidRPr="00C658CD" w:rsidRDefault="00593BC6" w:rsidP="00EA64E7">
            <w:pPr>
              <w:spacing w:after="120"/>
              <w:rPr>
                <w:b/>
                <w:sz w:val="22"/>
                <w:szCs w:val="22"/>
              </w:rPr>
            </w:pPr>
            <w:r w:rsidRPr="00C658CD">
              <w:rPr>
                <w:b/>
                <w:sz w:val="22"/>
                <w:szCs w:val="22"/>
              </w:rPr>
              <w:t>Contact information</w:t>
            </w:r>
          </w:p>
          <w:p w14:paraId="36D753E7" w14:textId="77777777" w:rsidR="00593BC6" w:rsidRPr="00C658CD" w:rsidRDefault="00593BC6" w:rsidP="00EA64E7">
            <w:pPr>
              <w:spacing w:after="120"/>
              <w:rPr>
                <w:b/>
                <w:sz w:val="22"/>
                <w:szCs w:val="22"/>
              </w:rPr>
            </w:pPr>
          </w:p>
        </w:tc>
      </w:tr>
      <w:tr w:rsidR="00593BC6" w:rsidRPr="00C658CD" w14:paraId="399E2057" w14:textId="77777777" w:rsidTr="00EC67E5">
        <w:trPr>
          <w:cantSplit/>
          <w:trHeight w:val="270"/>
        </w:trPr>
        <w:tc>
          <w:tcPr>
            <w:tcW w:w="2309" w:type="dxa"/>
            <w:gridSpan w:val="3"/>
          </w:tcPr>
          <w:p w14:paraId="7B244D40" w14:textId="77777777" w:rsidR="00593BC6" w:rsidRPr="00C658CD" w:rsidRDefault="00593BC6" w:rsidP="00EA64E7">
            <w:pPr>
              <w:spacing w:after="120"/>
              <w:rPr>
                <w:b/>
                <w:sz w:val="22"/>
                <w:szCs w:val="22"/>
              </w:rPr>
            </w:pPr>
            <w:r w:rsidRPr="00C658CD">
              <w:rPr>
                <w:b/>
                <w:sz w:val="22"/>
                <w:szCs w:val="22"/>
              </w:rPr>
              <w:t>Surname:</w:t>
            </w:r>
          </w:p>
        </w:tc>
        <w:tc>
          <w:tcPr>
            <w:tcW w:w="7879" w:type="dxa"/>
          </w:tcPr>
          <w:p w14:paraId="3AB47FF8" w14:textId="79560229" w:rsidR="00593BC6" w:rsidRPr="00C658CD" w:rsidRDefault="00EC67E5" w:rsidP="00EA64E7">
            <w:pPr>
              <w:spacing w:after="120"/>
              <w:rPr>
                <w:sz w:val="22"/>
                <w:szCs w:val="22"/>
              </w:rPr>
            </w:pPr>
            <w:r>
              <w:rPr>
                <w:sz w:val="22"/>
                <w:szCs w:val="22"/>
              </w:rPr>
              <w:t>Heinemann</w:t>
            </w:r>
          </w:p>
        </w:tc>
      </w:tr>
      <w:tr w:rsidR="00593BC6" w:rsidRPr="00C658CD" w14:paraId="2D70246E" w14:textId="77777777" w:rsidTr="00EC67E5">
        <w:trPr>
          <w:cantSplit/>
          <w:trHeight w:val="280"/>
        </w:trPr>
        <w:tc>
          <w:tcPr>
            <w:tcW w:w="2309" w:type="dxa"/>
            <w:gridSpan w:val="3"/>
          </w:tcPr>
          <w:p w14:paraId="024B7BE1" w14:textId="77777777" w:rsidR="00593BC6" w:rsidRPr="00C658CD" w:rsidRDefault="00593BC6" w:rsidP="00EA64E7">
            <w:pPr>
              <w:spacing w:after="120"/>
              <w:rPr>
                <w:b/>
                <w:sz w:val="22"/>
                <w:szCs w:val="22"/>
              </w:rPr>
            </w:pPr>
          </w:p>
        </w:tc>
        <w:tc>
          <w:tcPr>
            <w:tcW w:w="7879" w:type="dxa"/>
          </w:tcPr>
          <w:p w14:paraId="24DC2B26" w14:textId="77777777" w:rsidR="00593BC6" w:rsidRPr="00C658CD" w:rsidRDefault="00593BC6" w:rsidP="00EA64E7">
            <w:pPr>
              <w:spacing w:after="120"/>
              <w:rPr>
                <w:sz w:val="22"/>
                <w:szCs w:val="22"/>
              </w:rPr>
            </w:pPr>
          </w:p>
        </w:tc>
      </w:tr>
      <w:tr w:rsidR="00593BC6" w:rsidRPr="00C658CD" w14:paraId="6960F46D" w14:textId="77777777" w:rsidTr="00EC67E5">
        <w:trPr>
          <w:cantSplit/>
          <w:trHeight w:val="270"/>
        </w:trPr>
        <w:tc>
          <w:tcPr>
            <w:tcW w:w="2309" w:type="dxa"/>
            <w:gridSpan w:val="3"/>
          </w:tcPr>
          <w:p w14:paraId="42324F5A" w14:textId="77777777" w:rsidR="00593BC6" w:rsidRPr="00C658CD" w:rsidRDefault="00593BC6" w:rsidP="00EA64E7">
            <w:pPr>
              <w:spacing w:after="120"/>
              <w:rPr>
                <w:b/>
                <w:sz w:val="22"/>
                <w:szCs w:val="22"/>
              </w:rPr>
            </w:pPr>
            <w:r w:rsidRPr="00C658CD">
              <w:rPr>
                <w:b/>
                <w:sz w:val="22"/>
                <w:szCs w:val="22"/>
              </w:rPr>
              <w:t>Given Name:</w:t>
            </w:r>
          </w:p>
        </w:tc>
        <w:tc>
          <w:tcPr>
            <w:tcW w:w="7879" w:type="dxa"/>
          </w:tcPr>
          <w:p w14:paraId="1F1AFCCD" w14:textId="0B624E04" w:rsidR="00593BC6" w:rsidRPr="00C658CD" w:rsidRDefault="00EC67E5" w:rsidP="00EA64E7">
            <w:pPr>
              <w:spacing w:after="120"/>
              <w:rPr>
                <w:sz w:val="22"/>
                <w:szCs w:val="22"/>
              </w:rPr>
            </w:pPr>
            <w:r>
              <w:rPr>
                <w:sz w:val="22"/>
                <w:szCs w:val="22"/>
              </w:rPr>
              <w:t>Jack A</w:t>
            </w:r>
          </w:p>
        </w:tc>
      </w:tr>
      <w:tr w:rsidR="00593BC6" w:rsidRPr="00C658CD" w14:paraId="4D0E31D1" w14:textId="77777777" w:rsidTr="00EC67E5">
        <w:trPr>
          <w:cantSplit/>
          <w:trHeight w:val="280"/>
        </w:trPr>
        <w:tc>
          <w:tcPr>
            <w:tcW w:w="2309" w:type="dxa"/>
            <w:gridSpan w:val="3"/>
          </w:tcPr>
          <w:p w14:paraId="478DDD07" w14:textId="77777777" w:rsidR="00593BC6" w:rsidRPr="00C658CD" w:rsidRDefault="00593BC6" w:rsidP="00EA64E7">
            <w:pPr>
              <w:spacing w:after="120"/>
              <w:rPr>
                <w:b/>
                <w:sz w:val="22"/>
                <w:szCs w:val="22"/>
              </w:rPr>
            </w:pPr>
          </w:p>
        </w:tc>
        <w:tc>
          <w:tcPr>
            <w:tcW w:w="7879" w:type="dxa"/>
          </w:tcPr>
          <w:p w14:paraId="286530CF" w14:textId="77777777" w:rsidR="00593BC6" w:rsidRPr="00C658CD" w:rsidRDefault="00593BC6" w:rsidP="00EA64E7">
            <w:pPr>
              <w:spacing w:after="120"/>
              <w:rPr>
                <w:sz w:val="22"/>
                <w:szCs w:val="22"/>
              </w:rPr>
            </w:pPr>
          </w:p>
        </w:tc>
      </w:tr>
      <w:tr w:rsidR="00593BC6" w:rsidRPr="00FF1A2A" w14:paraId="1C3067B8" w14:textId="77777777" w:rsidTr="00EC67E5">
        <w:trPr>
          <w:cantSplit/>
          <w:trHeight w:val="270"/>
        </w:trPr>
        <w:tc>
          <w:tcPr>
            <w:tcW w:w="2309" w:type="dxa"/>
            <w:gridSpan w:val="3"/>
          </w:tcPr>
          <w:p w14:paraId="3499F6BE" w14:textId="77777777" w:rsidR="00593BC6" w:rsidRPr="00C658CD" w:rsidRDefault="00593BC6" w:rsidP="00EA64E7">
            <w:pPr>
              <w:spacing w:after="120"/>
              <w:rPr>
                <w:b/>
                <w:sz w:val="22"/>
                <w:szCs w:val="22"/>
              </w:rPr>
            </w:pPr>
            <w:r w:rsidRPr="00C658CD">
              <w:rPr>
                <w:b/>
                <w:sz w:val="22"/>
                <w:szCs w:val="22"/>
              </w:rPr>
              <w:t>Government</w:t>
            </w:r>
          </w:p>
        </w:tc>
        <w:tc>
          <w:tcPr>
            <w:tcW w:w="7879" w:type="dxa"/>
          </w:tcPr>
          <w:p w14:paraId="119BAC5F" w14:textId="77777777" w:rsidR="00593BC6" w:rsidRPr="00F86F63" w:rsidRDefault="00593BC6" w:rsidP="00EA64E7">
            <w:pPr>
              <w:spacing w:after="120"/>
              <w:rPr>
                <w:sz w:val="22"/>
                <w:szCs w:val="22"/>
              </w:rPr>
            </w:pPr>
          </w:p>
        </w:tc>
      </w:tr>
      <w:tr w:rsidR="00593BC6" w:rsidRPr="00C658CD" w14:paraId="590623FC" w14:textId="77777777" w:rsidTr="00EC67E5">
        <w:trPr>
          <w:cantSplit/>
          <w:trHeight w:val="280"/>
        </w:trPr>
        <w:tc>
          <w:tcPr>
            <w:tcW w:w="2309" w:type="dxa"/>
            <w:gridSpan w:val="3"/>
          </w:tcPr>
          <w:p w14:paraId="0807C1F5" w14:textId="77777777" w:rsidR="00593BC6" w:rsidRPr="00C658CD" w:rsidRDefault="00593BC6" w:rsidP="00EA64E7">
            <w:pPr>
              <w:spacing w:after="120"/>
              <w:rPr>
                <w:b/>
                <w:sz w:val="22"/>
                <w:szCs w:val="22"/>
              </w:rPr>
            </w:pPr>
            <w:r w:rsidRPr="00C658CD">
              <w:rPr>
                <w:b/>
                <w:sz w:val="22"/>
                <w:szCs w:val="22"/>
              </w:rPr>
              <w:t>(if applicable):</w:t>
            </w:r>
          </w:p>
        </w:tc>
        <w:tc>
          <w:tcPr>
            <w:tcW w:w="7879" w:type="dxa"/>
          </w:tcPr>
          <w:p w14:paraId="2CA88BC1" w14:textId="77777777" w:rsidR="00593BC6" w:rsidRPr="00C658CD" w:rsidRDefault="00593BC6" w:rsidP="00EA64E7">
            <w:pPr>
              <w:spacing w:after="120"/>
              <w:rPr>
                <w:sz w:val="22"/>
                <w:szCs w:val="22"/>
              </w:rPr>
            </w:pPr>
          </w:p>
        </w:tc>
      </w:tr>
      <w:tr w:rsidR="00593BC6" w:rsidRPr="00C658CD" w14:paraId="131D5B27" w14:textId="77777777" w:rsidTr="00EC67E5">
        <w:trPr>
          <w:cantSplit/>
          <w:trHeight w:val="270"/>
        </w:trPr>
        <w:tc>
          <w:tcPr>
            <w:tcW w:w="2309" w:type="dxa"/>
            <w:gridSpan w:val="3"/>
          </w:tcPr>
          <w:p w14:paraId="5B9F4F37" w14:textId="77777777" w:rsidR="00593BC6" w:rsidRPr="00C658CD" w:rsidRDefault="00593BC6" w:rsidP="00EA64E7">
            <w:pPr>
              <w:spacing w:after="120"/>
              <w:rPr>
                <w:b/>
                <w:sz w:val="22"/>
                <w:szCs w:val="22"/>
              </w:rPr>
            </w:pPr>
          </w:p>
        </w:tc>
        <w:tc>
          <w:tcPr>
            <w:tcW w:w="7879" w:type="dxa"/>
          </w:tcPr>
          <w:p w14:paraId="09AED490" w14:textId="77777777" w:rsidR="00593BC6" w:rsidRPr="00C658CD" w:rsidRDefault="00593BC6" w:rsidP="00EA64E7">
            <w:pPr>
              <w:spacing w:after="120"/>
              <w:rPr>
                <w:sz w:val="22"/>
                <w:szCs w:val="22"/>
              </w:rPr>
            </w:pPr>
          </w:p>
        </w:tc>
      </w:tr>
      <w:tr w:rsidR="00593BC6" w:rsidRPr="00C658CD" w14:paraId="2C8FC01D" w14:textId="77777777" w:rsidTr="00EC67E5">
        <w:trPr>
          <w:cantSplit/>
          <w:trHeight w:val="270"/>
        </w:trPr>
        <w:tc>
          <w:tcPr>
            <w:tcW w:w="2309" w:type="dxa"/>
            <w:gridSpan w:val="3"/>
          </w:tcPr>
          <w:p w14:paraId="683E9B8A" w14:textId="77777777" w:rsidR="00593BC6" w:rsidRPr="00C658CD" w:rsidRDefault="00593BC6" w:rsidP="00EA64E7">
            <w:pPr>
              <w:spacing w:after="120"/>
              <w:rPr>
                <w:b/>
                <w:sz w:val="22"/>
                <w:szCs w:val="22"/>
              </w:rPr>
            </w:pPr>
            <w:r w:rsidRPr="00C658CD">
              <w:rPr>
                <w:b/>
                <w:sz w:val="22"/>
                <w:szCs w:val="22"/>
              </w:rPr>
              <w:t>Organization:</w:t>
            </w:r>
          </w:p>
        </w:tc>
        <w:tc>
          <w:tcPr>
            <w:tcW w:w="7879" w:type="dxa"/>
          </w:tcPr>
          <w:p w14:paraId="44E1FC10" w14:textId="4A2D63D3" w:rsidR="00593BC6" w:rsidRPr="00C658CD" w:rsidRDefault="00EC67E5" w:rsidP="00EA64E7">
            <w:pPr>
              <w:spacing w:after="120"/>
              <w:rPr>
                <w:sz w:val="22"/>
                <w:szCs w:val="22"/>
              </w:rPr>
            </w:pPr>
            <w:r>
              <w:rPr>
                <w:sz w:val="22"/>
                <w:szCs w:val="22"/>
              </w:rPr>
              <w:t>Centre for Integrated Research in Biosafety, University of Canterbury, Christchurch, New Zealand</w:t>
            </w:r>
          </w:p>
        </w:tc>
      </w:tr>
      <w:tr w:rsidR="00593BC6" w:rsidRPr="00C658CD" w14:paraId="3ED36EA3" w14:textId="77777777" w:rsidTr="00EC67E5">
        <w:trPr>
          <w:cantSplit/>
          <w:trHeight w:val="233"/>
        </w:trPr>
        <w:tc>
          <w:tcPr>
            <w:tcW w:w="2309" w:type="dxa"/>
            <w:gridSpan w:val="3"/>
          </w:tcPr>
          <w:p w14:paraId="21C9EB42" w14:textId="77777777" w:rsidR="00593BC6" w:rsidRPr="00C658CD" w:rsidRDefault="00593BC6" w:rsidP="00EA64E7">
            <w:pPr>
              <w:spacing w:after="120"/>
              <w:rPr>
                <w:b/>
                <w:sz w:val="22"/>
                <w:szCs w:val="22"/>
              </w:rPr>
            </w:pPr>
          </w:p>
        </w:tc>
        <w:tc>
          <w:tcPr>
            <w:tcW w:w="7879" w:type="dxa"/>
          </w:tcPr>
          <w:p w14:paraId="5A530AD5" w14:textId="77777777" w:rsidR="00593BC6" w:rsidRPr="00C658CD" w:rsidRDefault="00593BC6" w:rsidP="00EA64E7">
            <w:pPr>
              <w:spacing w:after="120"/>
              <w:rPr>
                <w:sz w:val="22"/>
                <w:szCs w:val="22"/>
              </w:rPr>
            </w:pPr>
          </w:p>
        </w:tc>
      </w:tr>
      <w:tr w:rsidR="00593BC6" w:rsidRPr="00C658CD" w14:paraId="329D03C5" w14:textId="77777777" w:rsidTr="00EC67E5">
        <w:trPr>
          <w:cantSplit/>
          <w:trHeight w:val="233"/>
        </w:trPr>
        <w:tc>
          <w:tcPr>
            <w:tcW w:w="2309" w:type="dxa"/>
            <w:gridSpan w:val="3"/>
          </w:tcPr>
          <w:p w14:paraId="50483436" w14:textId="77777777" w:rsidR="00593BC6" w:rsidRPr="00C658CD" w:rsidRDefault="00593BC6" w:rsidP="00EA64E7">
            <w:pPr>
              <w:spacing w:after="120"/>
              <w:rPr>
                <w:b/>
                <w:sz w:val="22"/>
                <w:szCs w:val="22"/>
              </w:rPr>
            </w:pPr>
            <w:r w:rsidRPr="00C658CD">
              <w:rPr>
                <w:b/>
                <w:sz w:val="22"/>
                <w:szCs w:val="22"/>
              </w:rPr>
              <w:t>E-mail:</w:t>
            </w:r>
          </w:p>
        </w:tc>
        <w:tc>
          <w:tcPr>
            <w:tcW w:w="7879" w:type="dxa"/>
          </w:tcPr>
          <w:p w14:paraId="7D07E304" w14:textId="2A559718" w:rsidR="00593BC6" w:rsidRPr="00C658CD" w:rsidRDefault="00EC67E5" w:rsidP="00EA64E7">
            <w:pPr>
              <w:spacing w:after="120"/>
              <w:rPr>
                <w:sz w:val="22"/>
                <w:szCs w:val="22"/>
              </w:rPr>
            </w:pPr>
            <w:r>
              <w:rPr>
                <w:sz w:val="22"/>
                <w:szCs w:val="22"/>
              </w:rPr>
              <w:t>Jack.heinemann@canterbury.ac.nz</w:t>
            </w:r>
          </w:p>
        </w:tc>
      </w:tr>
      <w:tr w:rsidR="00593BC6" w:rsidRPr="00C658CD" w14:paraId="59BA55E5" w14:textId="77777777" w:rsidTr="00EC67E5">
        <w:trPr>
          <w:cantSplit/>
          <w:trHeight w:val="233"/>
        </w:trPr>
        <w:tc>
          <w:tcPr>
            <w:tcW w:w="2309" w:type="dxa"/>
            <w:gridSpan w:val="3"/>
          </w:tcPr>
          <w:p w14:paraId="4CA66506" w14:textId="77777777" w:rsidR="00593BC6" w:rsidRPr="00C658CD" w:rsidRDefault="00593BC6" w:rsidP="00EA64E7">
            <w:pPr>
              <w:spacing w:after="120"/>
              <w:rPr>
                <w:b/>
                <w:sz w:val="22"/>
                <w:szCs w:val="22"/>
              </w:rPr>
            </w:pPr>
          </w:p>
        </w:tc>
        <w:tc>
          <w:tcPr>
            <w:tcW w:w="7879" w:type="dxa"/>
          </w:tcPr>
          <w:p w14:paraId="267E6375" w14:textId="77777777" w:rsidR="00593BC6" w:rsidRPr="00C658CD" w:rsidRDefault="00593BC6" w:rsidP="00EA64E7">
            <w:pPr>
              <w:spacing w:after="120"/>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64E7">
            <w:pPr>
              <w:spacing w:after="120"/>
              <w:rPr>
                <w:b/>
                <w:sz w:val="22"/>
                <w:szCs w:val="22"/>
              </w:rPr>
            </w:pPr>
          </w:p>
          <w:p w14:paraId="05933792" w14:textId="14B8E253" w:rsidR="00593BC6" w:rsidRPr="00C658CD" w:rsidRDefault="00593BC6" w:rsidP="00EA64E7">
            <w:pPr>
              <w:spacing w:after="120"/>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64E7">
            <w:pPr>
              <w:spacing w:after="120"/>
              <w:rPr>
                <w:b/>
                <w:sz w:val="22"/>
                <w:szCs w:val="22"/>
              </w:rPr>
            </w:pPr>
          </w:p>
        </w:tc>
      </w:tr>
      <w:tr w:rsidR="00593BC6" w:rsidRPr="00C658CD" w14:paraId="2A5F8AC1" w14:textId="77777777" w:rsidTr="00EC67E5">
        <w:trPr>
          <w:cantSplit/>
          <w:trHeight w:val="233"/>
        </w:trPr>
        <w:tc>
          <w:tcPr>
            <w:tcW w:w="1096" w:type="dxa"/>
          </w:tcPr>
          <w:p w14:paraId="6C0FFA1B" w14:textId="77777777" w:rsidR="00593BC6" w:rsidRPr="00C658CD" w:rsidRDefault="00593BC6" w:rsidP="00EA64E7">
            <w:pPr>
              <w:spacing w:after="120"/>
              <w:rPr>
                <w:b/>
                <w:sz w:val="22"/>
                <w:szCs w:val="22"/>
              </w:rPr>
            </w:pPr>
            <w:r w:rsidRPr="00C658CD">
              <w:rPr>
                <w:b/>
                <w:sz w:val="22"/>
                <w:szCs w:val="22"/>
              </w:rPr>
              <w:t>Page</w:t>
            </w:r>
            <w:r w:rsidR="00F94D0C">
              <w:rPr>
                <w:b/>
                <w:sz w:val="22"/>
                <w:szCs w:val="22"/>
              </w:rPr>
              <w:t xml:space="preserve"> #</w:t>
            </w:r>
          </w:p>
        </w:tc>
        <w:tc>
          <w:tcPr>
            <w:tcW w:w="1109" w:type="dxa"/>
          </w:tcPr>
          <w:p w14:paraId="3BFAC210" w14:textId="77777777" w:rsidR="00593BC6" w:rsidRPr="00C658CD" w:rsidRDefault="005411E6" w:rsidP="00EA64E7">
            <w:pPr>
              <w:spacing w:after="120"/>
              <w:rPr>
                <w:b/>
                <w:sz w:val="22"/>
                <w:szCs w:val="22"/>
              </w:rPr>
            </w:pPr>
            <w:r>
              <w:rPr>
                <w:b/>
                <w:sz w:val="22"/>
                <w:szCs w:val="22"/>
              </w:rPr>
              <w:t xml:space="preserve">Line </w:t>
            </w:r>
            <w:r w:rsidR="00135D96">
              <w:rPr>
                <w:b/>
                <w:sz w:val="22"/>
                <w:szCs w:val="22"/>
              </w:rPr>
              <w:t>#</w:t>
            </w:r>
          </w:p>
        </w:tc>
        <w:tc>
          <w:tcPr>
            <w:tcW w:w="7983" w:type="dxa"/>
            <w:gridSpan w:val="2"/>
          </w:tcPr>
          <w:p w14:paraId="1DF3BB27" w14:textId="77777777" w:rsidR="00593BC6" w:rsidRPr="00C658CD" w:rsidRDefault="00593BC6" w:rsidP="00EA64E7">
            <w:pPr>
              <w:spacing w:after="120"/>
              <w:rPr>
                <w:b/>
                <w:sz w:val="22"/>
                <w:szCs w:val="22"/>
              </w:rPr>
            </w:pPr>
            <w:r w:rsidRPr="00C658CD">
              <w:rPr>
                <w:b/>
                <w:sz w:val="22"/>
                <w:szCs w:val="22"/>
              </w:rPr>
              <w:t>Comment</w:t>
            </w:r>
          </w:p>
        </w:tc>
      </w:tr>
      <w:tr w:rsidR="00593BC6" w:rsidRPr="00AD22DE" w14:paraId="4A4D44A2" w14:textId="77777777" w:rsidTr="00EC67E5">
        <w:trPr>
          <w:cantSplit/>
          <w:trHeight w:val="233"/>
        </w:trPr>
        <w:tc>
          <w:tcPr>
            <w:tcW w:w="1096" w:type="dxa"/>
          </w:tcPr>
          <w:p w14:paraId="7D986775" w14:textId="124C9D95" w:rsidR="00593BC6" w:rsidRPr="00F86F63" w:rsidRDefault="007F48F7" w:rsidP="00EA64E7">
            <w:pPr>
              <w:spacing w:after="120"/>
              <w:rPr>
                <w:sz w:val="22"/>
                <w:szCs w:val="22"/>
              </w:rPr>
            </w:pPr>
            <w:r>
              <w:rPr>
                <w:sz w:val="22"/>
                <w:szCs w:val="22"/>
              </w:rPr>
              <w:t>65</w:t>
            </w:r>
          </w:p>
        </w:tc>
        <w:tc>
          <w:tcPr>
            <w:tcW w:w="1109" w:type="dxa"/>
          </w:tcPr>
          <w:p w14:paraId="5AC5FC2C" w14:textId="5FD2ACE5" w:rsidR="00593BC6" w:rsidRPr="00F86F63" w:rsidRDefault="007F48F7" w:rsidP="00EA64E7">
            <w:pPr>
              <w:spacing w:after="120"/>
              <w:rPr>
                <w:sz w:val="22"/>
                <w:szCs w:val="22"/>
              </w:rPr>
            </w:pPr>
            <w:r>
              <w:rPr>
                <w:sz w:val="22"/>
                <w:szCs w:val="22"/>
              </w:rPr>
              <w:t>20-32</w:t>
            </w:r>
          </w:p>
        </w:tc>
        <w:tc>
          <w:tcPr>
            <w:tcW w:w="7983" w:type="dxa"/>
            <w:gridSpan w:val="2"/>
          </w:tcPr>
          <w:p w14:paraId="156E7248" w14:textId="77777777" w:rsidR="005757E4" w:rsidRDefault="005757E4" w:rsidP="00EA64E7">
            <w:pPr>
              <w:spacing w:after="120"/>
              <w:rPr>
                <w:sz w:val="22"/>
                <w:szCs w:val="22"/>
              </w:rPr>
            </w:pPr>
            <w:r>
              <w:rPr>
                <w:sz w:val="22"/>
                <w:szCs w:val="22"/>
              </w:rPr>
              <w:t>I suggest that the paragraph be revised to separate these falsely conflated alternative viewpoints on the rationale for governance.</w:t>
            </w:r>
          </w:p>
          <w:p w14:paraId="6FC8EDA5" w14:textId="5D1ABEDB" w:rsidR="005757E4" w:rsidRDefault="00ED7EEB" w:rsidP="00EA64E7">
            <w:pPr>
              <w:spacing w:after="120"/>
              <w:rPr>
                <w:sz w:val="22"/>
                <w:szCs w:val="22"/>
              </w:rPr>
            </w:pPr>
            <w:r>
              <w:rPr>
                <w:sz w:val="22"/>
                <w:szCs w:val="22"/>
              </w:rPr>
              <w:t>The current document perpetuates a particular framing of the perspectives on</w:t>
            </w:r>
            <w:r w:rsidR="005757E4">
              <w:rPr>
                <w:sz w:val="22"/>
                <w:szCs w:val="22"/>
              </w:rPr>
              <w:t xml:space="preserve"> (1)</w:t>
            </w:r>
            <w:r>
              <w:rPr>
                <w:sz w:val="22"/>
                <w:szCs w:val="22"/>
              </w:rPr>
              <w:t xml:space="preserve"> why gene technologies should be </w:t>
            </w:r>
            <w:r w:rsidR="005757E4" w:rsidRPr="005757E4">
              <w:rPr>
                <w:i/>
                <w:sz w:val="22"/>
                <w:szCs w:val="22"/>
              </w:rPr>
              <w:t>governed</w:t>
            </w:r>
            <w:r>
              <w:rPr>
                <w:sz w:val="22"/>
                <w:szCs w:val="22"/>
              </w:rPr>
              <w:t xml:space="preserve"> with</w:t>
            </w:r>
            <w:r w:rsidR="005757E4">
              <w:rPr>
                <w:sz w:val="22"/>
                <w:szCs w:val="22"/>
              </w:rPr>
              <w:t xml:space="preserve"> (2)</w:t>
            </w:r>
            <w:r>
              <w:rPr>
                <w:sz w:val="22"/>
                <w:szCs w:val="22"/>
              </w:rPr>
              <w:t xml:space="preserve"> how</w:t>
            </w:r>
            <w:r w:rsidR="005757E4">
              <w:rPr>
                <w:sz w:val="22"/>
                <w:szCs w:val="22"/>
              </w:rPr>
              <w:t xml:space="preserve"> (or why)</w:t>
            </w:r>
            <w:r>
              <w:rPr>
                <w:sz w:val="22"/>
                <w:szCs w:val="22"/>
              </w:rPr>
              <w:t xml:space="preserve"> they should be </w:t>
            </w:r>
            <w:r w:rsidRPr="005757E4">
              <w:rPr>
                <w:i/>
                <w:sz w:val="22"/>
                <w:szCs w:val="22"/>
              </w:rPr>
              <w:t>regulated</w:t>
            </w:r>
            <w:r w:rsidR="007F48F7">
              <w:rPr>
                <w:sz w:val="22"/>
                <w:szCs w:val="22"/>
              </w:rPr>
              <w:t>. This is seen in the describing of the viewpoints as “biotechnological developments being inherently risky” or “these technologies not presenting any unique or</w:t>
            </w:r>
            <w:r w:rsidR="007F48F7">
              <w:rPr>
                <w:rFonts w:ascii="Calibri" w:hAnsi="Calibri" w:cs="Calibri"/>
                <w:sz w:val="22"/>
                <w:szCs w:val="22"/>
              </w:rPr>
              <w:t xml:space="preserve"> </w:t>
            </w:r>
            <w:r w:rsidR="007F48F7">
              <w:rPr>
                <w:sz w:val="22"/>
                <w:szCs w:val="22"/>
              </w:rPr>
              <w:t xml:space="preserve">novel risks”. The former frames the rationale for risk assessment and the latter what is evaluated in a risk assessment, which are not different sides of the same coin. </w:t>
            </w:r>
            <w:r w:rsidR="007F48F7" w:rsidRPr="005757E4">
              <w:rPr>
                <w:b/>
                <w:sz w:val="22"/>
                <w:szCs w:val="22"/>
              </w:rPr>
              <w:t>The inherent property of technology is that it changes the gearing ratio between human activity and the outcome of human activity</w:t>
            </w:r>
            <w:r w:rsidR="007F48F7">
              <w:rPr>
                <w:sz w:val="22"/>
                <w:szCs w:val="22"/>
              </w:rPr>
              <w:t xml:space="preserve"> </w:t>
            </w:r>
            <w:r w:rsidR="008F11B5">
              <w:rPr>
                <w:sz w:val="22"/>
                <w:szCs w:val="22"/>
              </w:rPr>
              <w:fldChar w:fldCharType="begin"/>
            </w:r>
            <w:r w:rsidR="008F11B5">
              <w:rPr>
                <w:sz w:val="22"/>
                <w:szCs w:val="22"/>
              </w:rPr>
              <w:instrText xml:space="preserve"> ADDIN EN.CITE &lt;EndNote&gt;&lt;Cite&gt;&lt;Author&gt;Heinemann&lt;/Author&gt;&lt;Year&gt;2021&lt;/Year&gt;&lt;RecNum&gt;241&lt;/RecNum&gt;&lt;DisplayText&gt;(Heinemann et al. 2021)&lt;/DisplayText&gt;&lt;record&gt;&lt;rec-number&gt;241&lt;/rec-number&gt;&lt;foreign-keys&gt;&lt;key app="EN" db-id="2ttxesr272tsr3eexs7xt091astsx2z0dzw2" timestamp="1615883687"&gt;241&lt;/key&gt;&lt;/foreign-keys&gt;&lt;ref-type name="Journal Article"&gt;17&lt;/ref-type&gt;&lt;contributors&gt;&lt;authors&gt;&lt;author&gt;Heinemann, Jack A.&lt;/author&gt;&lt;author&gt;Paull, Deborah J.&lt;/author&gt;&lt;author&gt;Walker, Sophie&lt;/author&gt;&lt;author&gt;Kurenbach, Brigitta&lt;/author&gt;&lt;/authors&gt;&lt;/contributors&gt;&lt;titles&gt;&lt;title&gt;Differentiated impacts of human interventions on nature: Scaling the conversation on regulation of gene technologies&lt;/title&gt;&lt;secondary-title&gt;Elementa: Science of the Anthropocene&lt;/secondary-title&gt;&lt;alt-title&gt;Elem Sci Anth&lt;/alt-title&gt;&lt;/titles&gt;&lt;alt-periodical&gt;&lt;full-title&gt;Elem Sci Anth&lt;/full-title&gt;&lt;abbr-1&gt;Elem Sci Anth&lt;/abbr-1&gt;&lt;/alt-periodical&gt;&lt;volume&gt;9&lt;/volume&gt;&lt;number&gt;1&lt;/number&gt;&lt;dates&gt;&lt;year&gt;2021&lt;/year&gt;&lt;/dates&gt;&lt;isbn&gt;2325-1026&lt;/isbn&gt;&lt;urls&gt;&lt;related-urls&gt;&lt;url&gt;https://doi.org/10.1525/elementa.2021.00086&lt;/url&gt;&lt;/related-urls&gt;&lt;/urls&gt;&lt;custom1&gt;00086&lt;/custom1&gt;&lt;electronic-resource-num&gt;10.1525/elementa.2021.00086&lt;/electronic-resource-num&gt;&lt;access-date&gt;3/16/2021&lt;/access-date&gt;&lt;/record&gt;&lt;/Cite&gt;&lt;/EndNote&gt;</w:instrText>
            </w:r>
            <w:r w:rsidR="008F11B5">
              <w:rPr>
                <w:sz w:val="22"/>
                <w:szCs w:val="22"/>
              </w:rPr>
              <w:fldChar w:fldCharType="separate"/>
            </w:r>
            <w:r w:rsidR="008F11B5">
              <w:rPr>
                <w:noProof/>
                <w:sz w:val="22"/>
                <w:szCs w:val="22"/>
              </w:rPr>
              <w:t>(Heinemann et al. 2021)</w:t>
            </w:r>
            <w:r w:rsidR="008F11B5">
              <w:rPr>
                <w:sz w:val="22"/>
                <w:szCs w:val="22"/>
              </w:rPr>
              <w:fldChar w:fldCharType="end"/>
            </w:r>
            <w:r w:rsidR="007F48F7">
              <w:rPr>
                <w:sz w:val="22"/>
                <w:szCs w:val="22"/>
              </w:rPr>
              <w:t>.</w:t>
            </w:r>
          </w:p>
          <w:p w14:paraId="20395A76" w14:textId="40137924" w:rsidR="00593BC6" w:rsidRDefault="007F48F7" w:rsidP="00EA64E7">
            <w:pPr>
              <w:spacing w:after="120"/>
              <w:rPr>
                <w:sz w:val="22"/>
                <w:szCs w:val="22"/>
              </w:rPr>
            </w:pPr>
            <w:r>
              <w:rPr>
                <w:sz w:val="22"/>
                <w:szCs w:val="22"/>
              </w:rPr>
              <w:t>“Traditional breeding” is generally regarded as relatively slow</w:t>
            </w:r>
            <w:r w:rsidR="005757E4">
              <w:rPr>
                <w:sz w:val="22"/>
                <w:szCs w:val="22"/>
              </w:rPr>
              <w:t xml:space="preserve"> compared to what can be achieved using gene technologies. The pace of traditional breeding</w:t>
            </w:r>
            <w:r>
              <w:rPr>
                <w:sz w:val="22"/>
                <w:szCs w:val="22"/>
              </w:rPr>
              <w:t xml:space="preserve"> defin</w:t>
            </w:r>
            <w:r w:rsidR="005757E4">
              <w:rPr>
                <w:sz w:val="22"/>
                <w:szCs w:val="22"/>
              </w:rPr>
              <w:t>es</w:t>
            </w:r>
            <w:r>
              <w:rPr>
                <w:sz w:val="22"/>
                <w:szCs w:val="22"/>
              </w:rPr>
              <w:t xml:space="preserve"> the baseline condition of how much human effort</w:t>
            </w:r>
            <w:r w:rsidR="00EC67E5">
              <w:rPr>
                <w:sz w:val="22"/>
                <w:szCs w:val="22"/>
              </w:rPr>
              <w:t xml:space="preserve"> is needed to change</w:t>
            </w:r>
            <w:r>
              <w:rPr>
                <w:sz w:val="22"/>
                <w:szCs w:val="22"/>
              </w:rPr>
              <w:t xml:space="preserve"> outcomes. Technology gears up the scale of change by human intervention and along with it the inseparable load of unintended outcomes that are possible because of the process or the product. That is why technology itself is a suitable trigger for regulation</w:t>
            </w:r>
            <w:r w:rsidR="00BD647F">
              <w:rPr>
                <w:sz w:val="22"/>
                <w:szCs w:val="22"/>
              </w:rPr>
              <w:t xml:space="preserve"> (a trigger provided by governance)</w:t>
            </w:r>
            <w:r>
              <w:rPr>
                <w:sz w:val="22"/>
                <w:szCs w:val="22"/>
              </w:rPr>
              <w:t xml:space="preserve">, as it is in a number of other cases where technology </w:t>
            </w:r>
            <w:r w:rsidR="005757E4">
              <w:rPr>
                <w:sz w:val="22"/>
                <w:szCs w:val="22"/>
              </w:rPr>
              <w:t>catalyses</w:t>
            </w:r>
            <w:r>
              <w:rPr>
                <w:sz w:val="22"/>
                <w:szCs w:val="22"/>
              </w:rPr>
              <w:t xml:space="preserve"> activity with grand geographical scale potential, such as nuclear power and weapons. </w:t>
            </w:r>
            <w:r w:rsidR="005757E4">
              <w:rPr>
                <w:sz w:val="22"/>
                <w:szCs w:val="22"/>
              </w:rPr>
              <w:t xml:space="preserve">The equivalent non-sequitur framing there would look like: “nuclear fission developments being inherently risky” </w:t>
            </w:r>
            <w:r w:rsidR="005757E4" w:rsidRPr="00BD647F">
              <w:rPr>
                <w:b/>
                <w:i/>
                <w:sz w:val="22"/>
                <w:szCs w:val="22"/>
              </w:rPr>
              <w:t>or</w:t>
            </w:r>
            <w:r w:rsidR="005757E4">
              <w:rPr>
                <w:sz w:val="22"/>
                <w:szCs w:val="22"/>
              </w:rPr>
              <w:t xml:space="preserve"> “these technologies not presenting any unique or novel risks” because after all atoms decay all the time in nature.</w:t>
            </w:r>
          </w:p>
          <w:p w14:paraId="19FF06EE" w14:textId="7FAB04C6" w:rsidR="005757E4" w:rsidRDefault="005757E4" w:rsidP="00EA64E7">
            <w:pPr>
              <w:spacing w:after="120"/>
              <w:rPr>
                <w:sz w:val="22"/>
                <w:szCs w:val="22"/>
              </w:rPr>
            </w:pPr>
            <w:r>
              <w:rPr>
                <w:sz w:val="22"/>
                <w:szCs w:val="22"/>
              </w:rPr>
              <w:lastRenderedPageBreak/>
              <w:t>The ability of human activity to align atoms with different energy potentials to create a chain reaction, and to concentrate the different species of atoms to achieve a threshold of explosive power, or even to just release radiation (</w:t>
            </w:r>
            <w:r w:rsidR="00AA5C88">
              <w:rPr>
                <w:sz w:val="22"/>
                <w:szCs w:val="22"/>
              </w:rPr>
              <w:t xml:space="preserve">weapons vs </w:t>
            </w:r>
            <w:r>
              <w:rPr>
                <w:sz w:val="22"/>
                <w:szCs w:val="22"/>
              </w:rPr>
              <w:t xml:space="preserve">medical applications) is the reason why nuclear technology should be regulated. How it should be assessed for risk is then informed by what is expected to be the outcome of the technology </w:t>
            </w:r>
            <w:r w:rsidR="008F11B5">
              <w:rPr>
                <w:sz w:val="22"/>
                <w:szCs w:val="22"/>
              </w:rPr>
              <w:fldChar w:fldCharType="begin"/>
            </w:r>
            <w:r w:rsidR="008F11B5">
              <w:rPr>
                <w:sz w:val="22"/>
                <w:szCs w:val="22"/>
              </w:rPr>
              <w:instrText xml:space="preserve"> ADDIN EN.CITE &lt;EndNote&gt;&lt;Cite&gt;&lt;Author&gt;Heinemann&lt;/Author&gt;&lt;Year&gt;2021&lt;/Year&gt;&lt;RecNum&gt;241&lt;/RecNum&gt;&lt;DisplayText&gt;(Heinemann et al. 2021)&lt;/DisplayText&gt;&lt;record&gt;&lt;rec-number&gt;241&lt;/rec-number&gt;&lt;foreign-keys&gt;&lt;key app="EN" db-id="2ttxesr272tsr3eexs7xt091astsx2z0dzw2" timestamp="1615883687"&gt;241&lt;/key&gt;&lt;/foreign-keys&gt;&lt;ref-type name="Journal Article"&gt;17&lt;/ref-type&gt;&lt;contributors&gt;&lt;authors&gt;&lt;author&gt;Heinemann, Jack A.&lt;/author&gt;&lt;author&gt;Paull, Deborah J.&lt;/author&gt;&lt;author&gt;Walker, Sophie&lt;/author&gt;&lt;author&gt;Kurenbach, Brigitta&lt;/author&gt;&lt;/authors&gt;&lt;/contributors&gt;&lt;titles&gt;&lt;title&gt;Differentiated impacts of human interventions on nature: Scaling the conversation on regulation of gene technologies&lt;/title&gt;&lt;secondary-title&gt;Elementa: Science of the Anthropocene&lt;/secondary-title&gt;&lt;alt-title&gt;Elem Sci Anth&lt;/alt-title&gt;&lt;/titles&gt;&lt;alt-periodical&gt;&lt;full-title&gt;Elem Sci Anth&lt;/full-title&gt;&lt;abbr-1&gt;Elem Sci Anth&lt;/abbr-1&gt;&lt;/alt-periodical&gt;&lt;volume&gt;9&lt;/volume&gt;&lt;number&gt;1&lt;/number&gt;&lt;dates&gt;&lt;year&gt;2021&lt;/year&gt;&lt;/dates&gt;&lt;isbn&gt;2325-1026&lt;/isbn&gt;&lt;urls&gt;&lt;related-urls&gt;&lt;url&gt;https://doi.org/10.1525/elementa.2021.00086&lt;/url&gt;&lt;/related-urls&gt;&lt;/urls&gt;&lt;custom1&gt;00086&lt;/custom1&gt;&lt;electronic-resource-num&gt;10.1525/elementa.2021.00086&lt;/electronic-resource-num&gt;&lt;access-date&gt;3/16/2021&lt;/access-date&gt;&lt;/record&gt;&lt;/Cite&gt;&lt;/EndNote&gt;</w:instrText>
            </w:r>
            <w:r w:rsidR="008F11B5">
              <w:rPr>
                <w:sz w:val="22"/>
                <w:szCs w:val="22"/>
              </w:rPr>
              <w:fldChar w:fldCharType="separate"/>
            </w:r>
            <w:r w:rsidR="008F11B5">
              <w:rPr>
                <w:noProof/>
                <w:sz w:val="22"/>
                <w:szCs w:val="22"/>
              </w:rPr>
              <w:t>(Heinemann et al. 2021)</w:t>
            </w:r>
            <w:r w:rsidR="008F11B5">
              <w:rPr>
                <w:sz w:val="22"/>
                <w:szCs w:val="22"/>
              </w:rPr>
              <w:fldChar w:fldCharType="end"/>
            </w:r>
            <w:r>
              <w:rPr>
                <w:sz w:val="22"/>
                <w:szCs w:val="22"/>
              </w:rPr>
              <w:t>.</w:t>
            </w:r>
          </w:p>
          <w:p w14:paraId="786809CF" w14:textId="67984332" w:rsidR="00BD647F" w:rsidRPr="00F86F63" w:rsidRDefault="00BD647F" w:rsidP="00EA64E7">
            <w:pPr>
              <w:spacing w:after="120"/>
              <w:rPr>
                <w:sz w:val="22"/>
                <w:szCs w:val="22"/>
              </w:rPr>
            </w:pPr>
            <w:r>
              <w:rPr>
                <w:sz w:val="22"/>
                <w:szCs w:val="22"/>
              </w:rPr>
              <w:t xml:space="preserve">In this regard, synthetic biology is like any other manifestation of gene technology. </w:t>
            </w:r>
          </w:p>
        </w:tc>
      </w:tr>
      <w:tr w:rsidR="00593BC6" w:rsidRPr="00AD22DE" w14:paraId="12F556C9" w14:textId="77777777" w:rsidTr="00EC67E5">
        <w:trPr>
          <w:cantSplit/>
          <w:trHeight w:val="233"/>
        </w:trPr>
        <w:tc>
          <w:tcPr>
            <w:tcW w:w="1096" w:type="dxa"/>
          </w:tcPr>
          <w:p w14:paraId="114ECD33" w14:textId="1272A09A" w:rsidR="00593BC6" w:rsidRPr="00F86F63" w:rsidRDefault="00BD647F" w:rsidP="00EA64E7">
            <w:pPr>
              <w:spacing w:after="120"/>
              <w:rPr>
                <w:sz w:val="22"/>
                <w:szCs w:val="22"/>
              </w:rPr>
            </w:pPr>
            <w:r>
              <w:rPr>
                <w:sz w:val="22"/>
                <w:szCs w:val="22"/>
              </w:rPr>
              <w:lastRenderedPageBreak/>
              <w:t>65</w:t>
            </w:r>
          </w:p>
        </w:tc>
        <w:tc>
          <w:tcPr>
            <w:tcW w:w="1109" w:type="dxa"/>
          </w:tcPr>
          <w:p w14:paraId="1722E8E8" w14:textId="325F75CA" w:rsidR="00593BC6" w:rsidRPr="00F86F63" w:rsidRDefault="00BD647F" w:rsidP="00EA64E7">
            <w:pPr>
              <w:spacing w:after="120"/>
              <w:rPr>
                <w:sz w:val="22"/>
                <w:szCs w:val="22"/>
              </w:rPr>
            </w:pPr>
            <w:r>
              <w:rPr>
                <w:sz w:val="22"/>
                <w:szCs w:val="22"/>
              </w:rPr>
              <w:t>33-44</w:t>
            </w:r>
          </w:p>
        </w:tc>
        <w:tc>
          <w:tcPr>
            <w:tcW w:w="7983" w:type="dxa"/>
            <w:gridSpan w:val="2"/>
          </w:tcPr>
          <w:p w14:paraId="314DDBC8" w14:textId="103C3BD8" w:rsidR="00593BC6" w:rsidRPr="00F86F63" w:rsidRDefault="00BD647F" w:rsidP="00EA64E7">
            <w:pPr>
              <w:spacing w:after="120"/>
              <w:rPr>
                <w:sz w:val="22"/>
                <w:szCs w:val="22"/>
              </w:rPr>
            </w:pPr>
            <w:r>
              <w:rPr>
                <w:sz w:val="22"/>
                <w:szCs w:val="22"/>
              </w:rPr>
              <w:t xml:space="preserve">The above would align better with this paragraph which in essence is saying the use of </w:t>
            </w:r>
            <w:proofErr w:type="spellStart"/>
            <w:r>
              <w:rPr>
                <w:sz w:val="22"/>
                <w:szCs w:val="22"/>
              </w:rPr>
              <w:t>syn</w:t>
            </w:r>
            <w:proofErr w:type="spellEnd"/>
            <w:r>
              <w:rPr>
                <w:sz w:val="22"/>
                <w:szCs w:val="22"/>
              </w:rPr>
              <w:t xml:space="preserve"> bio will likely be assessed for risk. The question then is not whether to govern, but whether assessment currently is suited to predicting the likelihood of adverse effects from all applications of synthetic biology.</w:t>
            </w:r>
          </w:p>
        </w:tc>
      </w:tr>
      <w:tr w:rsidR="00D854C6" w:rsidRPr="00AD22DE" w14:paraId="786AB29D" w14:textId="77777777" w:rsidTr="00EC67E5">
        <w:trPr>
          <w:cantSplit/>
          <w:trHeight w:val="233"/>
        </w:trPr>
        <w:tc>
          <w:tcPr>
            <w:tcW w:w="1096" w:type="dxa"/>
          </w:tcPr>
          <w:p w14:paraId="21B17419" w14:textId="02179C92" w:rsidR="00D854C6" w:rsidRDefault="00D854C6" w:rsidP="00EA64E7">
            <w:pPr>
              <w:spacing w:after="120"/>
              <w:rPr>
                <w:sz w:val="22"/>
                <w:szCs w:val="22"/>
              </w:rPr>
            </w:pPr>
            <w:r>
              <w:rPr>
                <w:sz w:val="22"/>
                <w:szCs w:val="22"/>
              </w:rPr>
              <w:t>65</w:t>
            </w:r>
            <w:r w:rsidR="00A126C5">
              <w:rPr>
                <w:sz w:val="22"/>
                <w:szCs w:val="22"/>
              </w:rPr>
              <w:t>-</w:t>
            </w:r>
          </w:p>
          <w:p w14:paraId="690F094D" w14:textId="0DEB0A50" w:rsidR="00D854C6" w:rsidRPr="00F86F63" w:rsidRDefault="00A126C5" w:rsidP="00EA64E7">
            <w:pPr>
              <w:spacing w:after="120"/>
              <w:rPr>
                <w:sz w:val="22"/>
                <w:szCs w:val="22"/>
              </w:rPr>
            </w:pPr>
            <w:r>
              <w:rPr>
                <w:sz w:val="22"/>
                <w:szCs w:val="22"/>
              </w:rPr>
              <w:t>-</w:t>
            </w:r>
            <w:r w:rsidR="00D854C6">
              <w:rPr>
                <w:sz w:val="22"/>
                <w:szCs w:val="22"/>
              </w:rPr>
              <w:t>66</w:t>
            </w:r>
          </w:p>
        </w:tc>
        <w:tc>
          <w:tcPr>
            <w:tcW w:w="1109" w:type="dxa"/>
          </w:tcPr>
          <w:p w14:paraId="38242CA1" w14:textId="5EDE36D9" w:rsidR="00D854C6" w:rsidRDefault="00D854C6" w:rsidP="00EA64E7">
            <w:pPr>
              <w:spacing w:after="120"/>
              <w:rPr>
                <w:sz w:val="22"/>
                <w:szCs w:val="22"/>
              </w:rPr>
            </w:pPr>
            <w:r>
              <w:rPr>
                <w:sz w:val="22"/>
                <w:szCs w:val="22"/>
              </w:rPr>
              <w:t>46</w:t>
            </w:r>
          </w:p>
          <w:p w14:paraId="00E4B63A" w14:textId="0CF763A0" w:rsidR="00D854C6" w:rsidRPr="00F86F63" w:rsidRDefault="00D854C6" w:rsidP="00EA64E7">
            <w:pPr>
              <w:spacing w:after="120"/>
              <w:rPr>
                <w:sz w:val="22"/>
                <w:szCs w:val="22"/>
              </w:rPr>
            </w:pPr>
            <w:r>
              <w:rPr>
                <w:sz w:val="22"/>
                <w:szCs w:val="22"/>
              </w:rPr>
              <w:t>8</w:t>
            </w:r>
          </w:p>
        </w:tc>
        <w:tc>
          <w:tcPr>
            <w:tcW w:w="7983" w:type="dxa"/>
            <w:gridSpan w:val="2"/>
          </w:tcPr>
          <w:p w14:paraId="60ED4FEE" w14:textId="77777777" w:rsidR="00D854C6" w:rsidRDefault="00D854C6" w:rsidP="00EA64E7">
            <w:pPr>
              <w:spacing w:after="120"/>
              <w:rPr>
                <w:sz w:val="22"/>
                <w:szCs w:val="22"/>
              </w:rPr>
            </w:pPr>
            <w:r>
              <w:rPr>
                <w:sz w:val="22"/>
                <w:szCs w:val="22"/>
              </w:rPr>
              <w:t>These sentences are internally inconsistent and contradictory. The paragraph begins by saying both that a wide range of positions have been taken (and thus implying that there are a substantial number of countries taking positions) to a sentence or two later saying that almost no countries have declared a position but where they have it is based on just one, the metaphor of a mimic of nature. Either a wide range, or a narrow range, which is it?</w:t>
            </w:r>
          </w:p>
          <w:p w14:paraId="612F8E15" w14:textId="641B3138" w:rsidR="00D854C6" w:rsidRPr="00F86F63" w:rsidRDefault="00D854C6" w:rsidP="00EA64E7">
            <w:pPr>
              <w:spacing w:after="120"/>
              <w:rPr>
                <w:sz w:val="22"/>
                <w:szCs w:val="22"/>
              </w:rPr>
            </w:pPr>
            <w:r>
              <w:rPr>
                <w:sz w:val="22"/>
                <w:szCs w:val="22"/>
              </w:rPr>
              <w:t>The loudest voices, and countries with the resources to make their voices loud, have been those who argue some nature equivalence logic.</w:t>
            </w:r>
            <w:r w:rsidR="00AA5C88">
              <w:rPr>
                <w:sz w:val="22"/>
                <w:szCs w:val="22"/>
              </w:rPr>
              <w:t xml:space="preserve"> (See comment below related to text on page 86.)</w:t>
            </w:r>
            <w:r>
              <w:rPr>
                <w:sz w:val="22"/>
                <w:szCs w:val="22"/>
              </w:rPr>
              <w:t xml:space="preserve"> In my view the number of countries taking a position has been small and are defined by a narrow spectrum of economic interests and cultural similarities.</w:t>
            </w:r>
          </w:p>
        </w:tc>
      </w:tr>
      <w:tr w:rsidR="00D854C6" w:rsidRPr="00AD22DE" w14:paraId="077ECF3C" w14:textId="77777777" w:rsidTr="00EC67E5">
        <w:trPr>
          <w:cantSplit/>
          <w:trHeight w:val="233"/>
        </w:trPr>
        <w:tc>
          <w:tcPr>
            <w:tcW w:w="1096" w:type="dxa"/>
          </w:tcPr>
          <w:p w14:paraId="3053276C" w14:textId="1B9A1B57" w:rsidR="00D854C6" w:rsidRPr="00F86F63" w:rsidRDefault="00A126C5" w:rsidP="00EA64E7">
            <w:pPr>
              <w:spacing w:after="120"/>
              <w:rPr>
                <w:sz w:val="22"/>
                <w:szCs w:val="22"/>
              </w:rPr>
            </w:pPr>
            <w:r>
              <w:rPr>
                <w:sz w:val="22"/>
                <w:szCs w:val="22"/>
              </w:rPr>
              <w:t>66</w:t>
            </w:r>
          </w:p>
        </w:tc>
        <w:tc>
          <w:tcPr>
            <w:tcW w:w="1109" w:type="dxa"/>
          </w:tcPr>
          <w:p w14:paraId="011C33C7" w14:textId="058555F9" w:rsidR="00D854C6" w:rsidRPr="00F86F63" w:rsidRDefault="00A126C5" w:rsidP="00EA64E7">
            <w:pPr>
              <w:spacing w:after="120"/>
              <w:rPr>
                <w:sz w:val="22"/>
                <w:szCs w:val="22"/>
              </w:rPr>
            </w:pPr>
            <w:r>
              <w:rPr>
                <w:sz w:val="22"/>
                <w:szCs w:val="22"/>
              </w:rPr>
              <w:t>9-33</w:t>
            </w:r>
          </w:p>
        </w:tc>
        <w:tc>
          <w:tcPr>
            <w:tcW w:w="7983" w:type="dxa"/>
            <w:gridSpan w:val="2"/>
          </w:tcPr>
          <w:p w14:paraId="59537D2E" w14:textId="3FC6696D" w:rsidR="00D854C6" w:rsidRDefault="00A126C5" w:rsidP="00EA64E7">
            <w:pPr>
              <w:spacing w:after="120"/>
              <w:rPr>
                <w:sz w:val="22"/>
                <w:szCs w:val="22"/>
              </w:rPr>
            </w:pPr>
            <w:r>
              <w:rPr>
                <w:sz w:val="22"/>
                <w:szCs w:val="22"/>
              </w:rPr>
              <w:t>What this paragraph demonstrates is that there is no internally consistent approach being taken by the example countries. Their choices of inclusion or exclusion are case-by-case</w:t>
            </w:r>
            <w:r w:rsidR="00EA64E7">
              <w:rPr>
                <w:sz w:val="22"/>
                <w:szCs w:val="22"/>
              </w:rPr>
              <w:t>, as in plants vs animals in the US. The Japanese and Brazilian examples leave the reader unclear as to whether the determinations deregulate all plants or just those two mentioned, one in each country.</w:t>
            </w:r>
            <w:r w:rsidR="00DC756C">
              <w:rPr>
                <w:sz w:val="22"/>
                <w:szCs w:val="22"/>
              </w:rPr>
              <w:t xml:space="preserve"> This also applies to lines 41-47.</w:t>
            </w:r>
          </w:p>
          <w:p w14:paraId="31FB0F18" w14:textId="4033BB63" w:rsidR="00EA64E7" w:rsidRPr="00F86F63" w:rsidRDefault="00EA64E7" w:rsidP="00EA64E7">
            <w:pPr>
              <w:spacing w:after="120"/>
              <w:rPr>
                <w:sz w:val="22"/>
                <w:szCs w:val="22"/>
              </w:rPr>
            </w:pPr>
            <w:r>
              <w:rPr>
                <w:sz w:val="22"/>
                <w:szCs w:val="22"/>
              </w:rPr>
              <w:t xml:space="preserve">In short, this paragraph looks </w:t>
            </w:r>
            <w:r w:rsidR="00AA5C88">
              <w:rPr>
                <w:sz w:val="22"/>
                <w:szCs w:val="22"/>
              </w:rPr>
              <w:t>contrived</w:t>
            </w:r>
            <w:r>
              <w:rPr>
                <w:sz w:val="22"/>
                <w:szCs w:val="22"/>
              </w:rPr>
              <w:t xml:space="preserve"> to use a variety of disjointed observations to fit a predetermined narrative. I suggest deleting lines 9-33.</w:t>
            </w:r>
            <w:r w:rsidR="00DC756C">
              <w:rPr>
                <w:sz w:val="22"/>
                <w:szCs w:val="22"/>
              </w:rPr>
              <w:t xml:space="preserve"> Same for 41-47.</w:t>
            </w:r>
            <w:r>
              <w:rPr>
                <w:sz w:val="22"/>
                <w:szCs w:val="22"/>
              </w:rPr>
              <w:t xml:space="preserve"> Lines 34-40 are succinct summaries of the facts</w:t>
            </w:r>
            <w:r w:rsidR="00A36F22">
              <w:rPr>
                <w:sz w:val="22"/>
                <w:szCs w:val="22"/>
              </w:rPr>
              <w:t xml:space="preserve"> and the paragraphs p </w:t>
            </w:r>
            <w:proofErr w:type="gramStart"/>
            <w:r w:rsidR="00A36F22">
              <w:rPr>
                <w:sz w:val="22"/>
                <w:szCs w:val="22"/>
              </w:rPr>
              <w:t>66 line</w:t>
            </w:r>
            <w:proofErr w:type="gramEnd"/>
            <w:r w:rsidR="00A36F22">
              <w:rPr>
                <w:sz w:val="22"/>
                <w:szCs w:val="22"/>
              </w:rPr>
              <w:t xml:space="preserve"> 48-67 line 10 follow </w:t>
            </w:r>
            <w:r w:rsidR="00670409">
              <w:rPr>
                <w:sz w:val="22"/>
                <w:szCs w:val="22"/>
              </w:rPr>
              <w:t>consistently</w:t>
            </w:r>
            <w:r w:rsidR="00A36F22">
              <w:rPr>
                <w:sz w:val="22"/>
                <w:szCs w:val="22"/>
              </w:rPr>
              <w:t xml:space="preserve"> from 34-40.</w:t>
            </w:r>
          </w:p>
        </w:tc>
      </w:tr>
      <w:tr w:rsidR="00D854C6" w:rsidRPr="00AD22DE" w14:paraId="31B1A49C" w14:textId="77777777" w:rsidTr="00EC67E5">
        <w:trPr>
          <w:cantSplit/>
          <w:trHeight w:val="233"/>
        </w:trPr>
        <w:tc>
          <w:tcPr>
            <w:tcW w:w="1096" w:type="dxa"/>
          </w:tcPr>
          <w:p w14:paraId="26E0E2AA" w14:textId="581F7C08" w:rsidR="00D854C6" w:rsidRPr="00F86F63" w:rsidRDefault="00E71500" w:rsidP="00EA64E7">
            <w:pPr>
              <w:spacing w:after="120"/>
              <w:rPr>
                <w:sz w:val="22"/>
                <w:szCs w:val="22"/>
              </w:rPr>
            </w:pPr>
            <w:r>
              <w:rPr>
                <w:sz w:val="22"/>
                <w:szCs w:val="22"/>
              </w:rPr>
              <w:t>66</w:t>
            </w:r>
          </w:p>
        </w:tc>
        <w:tc>
          <w:tcPr>
            <w:tcW w:w="1109" w:type="dxa"/>
          </w:tcPr>
          <w:p w14:paraId="1C6455E2" w14:textId="7AC2CCDD" w:rsidR="00D854C6" w:rsidRPr="00F86F63" w:rsidRDefault="00E71500" w:rsidP="00EA64E7">
            <w:pPr>
              <w:spacing w:after="120"/>
              <w:rPr>
                <w:sz w:val="22"/>
                <w:szCs w:val="22"/>
              </w:rPr>
            </w:pPr>
            <w:r>
              <w:rPr>
                <w:sz w:val="22"/>
                <w:szCs w:val="22"/>
              </w:rPr>
              <w:t>40</w:t>
            </w:r>
          </w:p>
        </w:tc>
        <w:tc>
          <w:tcPr>
            <w:tcW w:w="7983" w:type="dxa"/>
            <w:gridSpan w:val="2"/>
          </w:tcPr>
          <w:p w14:paraId="503F912F" w14:textId="1BA8AA6C" w:rsidR="00D854C6" w:rsidRPr="00F86F63" w:rsidRDefault="00E71500" w:rsidP="00EA64E7">
            <w:pPr>
              <w:spacing w:after="120"/>
              <w:rPr>
                <w:sz w:val="22"/>
                <w:szCs w:val="22"/>
              </w:rPr>
            </w:pPr>
            <w:r>
              <w:rPr>
                <w:sz w:val="22"/>
                <w:szCs w:val="22"/>
              </w:rPr>
              <w:t>Please balance th</w:t>
            </w:r>
            <w:r w:rsidR="00DC756C">
              <w:rPr>
                <w:sz w:val="22"/>
                <w:szCs w:val="22"/>
              </w:rPr>
              <w:t>e article</w:t>
            </w:r>
            <w:r>
              <w:rPr>
                <w:sz w:val="22"/>
                <w:szCs w:val="22"/>
              </w:rPr>
              <w:t xml:space="preserve"> reference </w:t>
            </w:r>
            <w:proofErr w:type="spellStart"/>
            <w:r>
              <w:rPr>
                <w:sz w:val="22"/>
                <w:szCs w:val="22"/>
              </w:rPr>
              <w:t>Fritsche</w:t>
            </w:r>
            <w:proofErr w:type="spellEnd"/>
            <w:r>
              <w:rPr>
                <w:sz w:val="22"/>
                <w:szCs w:val="22"/>
              </w:rPr>
              <w:t xml:space="preserve">, S., </w:t>
            </w:r>
            <w:proofErr w:type="spellStart"/>
            <w:r>
              <w:rPr>
                <w:sz w:val="22"/>
                <w:szCs w:val="22"/>
              </w:rPr>
              <w:t>Poovaiah</w:t>
            </w:r>
            <w:proofErr w:type="spellEnd"/>
            <w:r>
              <w:rPr>
                <w:sz w:val="22"/>
                <w:szCs w:val="22"/>
              </w:rPr>
              <w:t xml:space="preserve">, C., </w:t>
            </w:r>
            <w:proofErr w:type="spellStart"/>
            <w:r>
              <w:rPr>
                <w:sz w:val="22"/>
                <w:szCs w:val="22"/>
              </w:rPr>
              <w:t>MacRae</w:t>
            </w:r>
            <w:proofErr w:type="spellEnd"/>
            <w:r>
              <w:rPr>
                <w:sz w:val="22"/>
                <w:szCs w:val="22"/>
              </w:rPr>
              <w:t xml:space="preserve">, E., &amp; </w:t>
            </w:r>
            <w:proofErr w:type="spellStart"/>
            <w:r>
              <w:rPr>
                <w:sz w:val="22"/>
                <w:szCs w:val="22"/>
              </w:rPr>
              <w:t>Thorlby</w:t>
            </w:r>
            <w:proofErr w:type="spellEnd"/>
            <w:r>
              <w:rPr>
                <w:sz w:val="22"/>
                <w:szCs w:val="22"/>
              </w:rPr>
              <w:t xml:space="preserve">, G. (2018) with </w:t>
            </w:r>
            <w:r w:rsidR="00DC756C">
              <w:rPr>
                <w:sz w:val="22"/>
                <w:szCs w:val="22"/>
              </w:rPr>
              <w:t>the CBD initiated book chapter:</w:t>
            </w:r>
            <w:r w:rsidR="00DC756C" w:rsidRPr="00DC756C">
              <w:rPr>
                <w:color w:val="000000" w:themeColor="text1"/>
                <w:lang w:val="en-US" w:eastAsia="en-US"/>
              </w:rPr>
              <w:t xml:space="preserve"> </w:t>
            </w:r>
            <w:r w:rsidR="00DC756C" w:rsidRPr="00DC756C">
              <w:rPr>
                <w:sz w:val="22"/>
                <w:szCs w:val="22"/>
                <w:lang w:val="en-US"/>
              </w:rPr>
              <w:t xml:space="preserve">Heinemann, J.A., </w:t>
            </w:r>
            <w:proofErr w:type="spellStart"/>
            <w:r w:rsidR="00DC756C" w:rsidRPr="00DC756C">
              <w:rPr>
                <w:sz w:val="22"/>
                <w:szCs w:val="22"/>
                <w:lang w:val="en-US"/>
              </w:rPr>
              <w:t>Coray</w:t>
            </w:r>
            <w:proofErr w:type="spellEnd"/>
            <w:r w:rsidR="00DC756C" w:rsidRPr="00DC756C">
              <w:rPr>
                <w:sz w:val="22"/>
                <w:szCs w:val="22"/>
                <w:lang w:val="en-US"/>
              </w:rPr>
              <w:t xml:space="preserve"> D.S. and </w:t>
            </w:r>
            <w:proofErr w:type="spellStart"/>
            <w:r w:rsidR="00DC756C" w:rsidRPr="00DC756C">
              <w:rPr>
                <w:sz w:val="22"/>
                <w:szCs w:val="22"/>
                <w:lang w:val="en-US"/>
              </w:rPr>
              <w:t>Kurenbach</w:t>
            </w:r>
            <w:proofErr w:type="spellEnd"/>
            <w:r w:rsidR="00DC756C" w:rsidRPr="00DC756C">
              <w:rPr>
                <w:sz w:val="22"/>
                <w:szCs w:val="22"/>
                <w:lang w:val="en-US"/>
              </w:rPr>
              <w:t xml:space="preserve">, B. GMO Rules and Regulations in New Zealand In GMOs: Implications for Biodiversity Conservation and Ecological Processes. Edited by D.L. Hawksworth and A. </w:t>
            </w:r>
            <w:proofErr w:type="spellStart"/>
            <w:r w:rsidR="00DC756C" w:rsidRPr="00DC756C">
              <w:rPr>
                <w:sz w:val="22"/>
                <w:szCs w:val="22"/>
                <w:lang w:val="en-US"/>
              </w:rPr>
              <w:t>Chaurasia</w:t>
            </w:r>
            <w:proofErr w:type="spellEnd"/>
            <w:r w:rsidR="00DC756C" w:rsidRPr="00DC756C">
              <w:rPr>
                <w:sz w:val="22"/>
                <w:szCs w:val="22"/>
                <w:lang w:val="en-US"/>
              </w:rPr>
              <w:t>. Springer-Nature https://doi.org/10.1007/978-3-030-53183-6</w:t>
            </w:r>
            <w:r w:rsidR="00D854C6">
              <w:rPr>
                <w:sz w:val="22"/>
                <w:szCs w:val="22"/>
              </w:rPr>
              <w:t xml:space="preserve"> </w:t>
            </w:r>
          </w:p>
        </w:tc>
      </w:tr>
      <w:tr w:rsidR="00D854C6" w:rsidRPr="00AD22DE" w14:paraId="7DA9A366" w14:textId="77777777" w:rsidTr="00EC67E5">
        <w:trPr>
          <w:cantSplit/>
          <w:trHeight w:val="233"/>
        </w:trPr>
        <w:tc>
          <w:tcPr>
            <w:tcW w:w="1096" w:type="dxa"/>
          </w:tcPr>
          <w:p w14:paraId="0704BF74" w14:textId="0E287372" w:rsidR="00D854C6" w:rsidRPr="00F86F63" w:rsidRDefault="00D854C6" w:rsidP="00EA64E7">
            <w:pPr>
              <w:spacing w:after="120"/>
              <w:rPr>
                <w:sz w:val="22"/>
                <w:szCs w:val="22"/>
              </w:rPr>
            </w:pPr>
            <w:r>
              <w:rPr>
                <w:sz w:val="22"/>
                <w:szCs w:val="22"/>
              </w:rPr>
              <w:t>66</w:t>
            </w:r>
          </w:p>
        </w:tc>
        <w:tc>
          <w:tcPr>
            <w:tcW w:w="1109" w:type="dxa"/>
          </w:tcPr>
          <w:p w14:paraId="5C318341" w14:textId="7B9040EE" w:rsidR="00D854C6" w:rsidRPr="00F86F63" w:rsidRDefault="00D854C6" w:rsidP="00EA64E7">
            <w:pPr>
              <w:spacing w:after="120"/>
              <w:rPr>
                <w:sz w:val="22"/>
                <w:szCs w:val="22"/>
              </w:rPr>
            </w:pPr>
            <w:r>
              <w:rPr>
                <w:sz w:val="22"/>
                <w:szCs w:val="22"/>
              </w:rPr>
              <w:t>6-8</w:t>
            </w:r>
          </w:p>
        </w:tc>
        <w:tc>
          <w:tcPr>
            <w:tcW w:w="7983" w:type="dxa"/>
            <w:gridSpan w:val="2"/>
          </w:tcPr>
          <w:p w14:paraId="728544B4" w14:textId="6817E98A" w:rsidR="00D854C6" w:rsidRPr="00F86F63" w:rsidRDefault="00D854C6" w:rsidP="00EA64E7">
            <w:pPr>
              <w:spacing w:after="120"/>
              <w:rPr>
                <w:sz w:val="22"/>
                <w:szCs w:val="22"/>
              </w:rPr>
            </w:pPr>
            <w:r>
              <w:rPr>
                <w:sz w:val="22"/>
                <w:szCs w:val="22"/>
              </w:rPr>
              <w:t>This section should have more recent references.</w:t>
            </w:r>
          </w:p>
        </w:tc>
      </w:tr>
      <w:tr w:rsidR="003B2908" w:rsidRPr="00AD22DE" w14:paraId="27D65F93" w14:textId="77777777" w:rsidTr="00EC67E5">
        <w:trPr>
          <w:cantSplit/>
          <w:trHeight w:val="233"/>
        </w:trPr>
        <w:tc>
          <w:tcPr>
            <w:tcW w:w="1096" w:type="dxa"/>
          </w:tcPr>
          <w:p w14:paraId="6FEE838D" w14:textId="60BF2FD2" w:rsidR="003B2908" w:rsidRPr="00F86F63" w:rsidRDefault="003B2908" w:rsidP="003B2908">
            <w:pPr>
              <w:spacing w:after="120"/>
              <w:rPr>
                <w:sz w:val="22"/>
                <w:szCs w:val="22"/>
              </w:rPr>
            </w:pPr>
            <w:r>
              <w:rPr>
                <w:sz w:val="22"/>
                <w:szCs w:val="22"/>
              </w:rPr>
              <w:t>66</w:t>
            </w:r>
          </w:p>
        </w:tc>
        <w:tc>
          <w:tcPr>
            <w:tcW w:w="1109" w:type="dxa"/>
          </w:tcPr>
          <w:p w14:paraId="2C39B009" w14:textId="2576566D" w:rsidR="003B2908" w:rsidRPr="00F86F63" w:rsidRDefault="003B2908" w:rsidP="003B2908">
            <w:pPr>
              <w:spacing w:after="120"/>
              <w:rPr>
                <w:sz w:val="22"/>
                <w:szCs w:val="22"/>
              </w:rPr>
            </w:pPr>
            <w:r>
              <w:rPr>
                <w:sz w:val="22"/>
                <w:szCs w:val="22"/>
              </w:rPr>
              <w:t>16-17</w:t>
            </w:r>
          </w:p>
        </w:tc>
        <w:tc>
          <w:tcPr>
            <w:tcW w:w="7983" w:type="dxa"/>
            <w:gridSpan w:val="2"/>
          </w:tcPr>
          <w:p w14:paraId="3C230DD4" w14:textId="1E57596D" w:rsidR="003B2908" w:rsidRPr="00F86F63" w:rsidRDefault="003B2908" w:rsidP="003B2908">
            <w:pPr>
              <w:spacing w:after="120"/>
              <w:rPr>
                <w:sz w:val="22"/>
                <w:szCs w:val="22"/>
              </w:rPr>
            </w:pPr>
            <w:r>
              <w:rPr>
                <w:sz w:val="22"/>
                <w:szCs w:val="22"/>
              </w:rPr>
              <w:t xml:space="preserve">This line would be strengthened by a reference. It could be </w:t>
            </w:r>
            <w:r w:rsidR="008F11B5">
              <w:rPr>
                <w:sz w:val="22"/>
                <w:szCs w:val="22"/>
              </w:rPr>
              <w:fldChar w:fldCharType="begin"/>
            </w:r>
            <w:r w:rsidR="008F11B5">
              <w:rPr>
                <w:sz w:val="22"/>
                <w:szCs w:val="22"/>
              </w:rPr>
              <w:instrText xml:space="preserve"> ADDIN EN.CITE &lt;EndNote&gt;&lt;Cite&gt;&lt;Author&gt;Heinemann&lt;/Author&gt;&lt;Year&gt;2021&lt;/Year&gt;&lt;RecNum&gt;241&lt;/RecNum&gt;&lt;DisplayText&gt;(Heinemann et al. 2021)&lt;/DisplayText&gt;&lt;record&gt;&lt;rec-number&gt;241&lt;/rec-number&gt;&lt;foreign-keys&gt;&lt;key app="EN" db-id="2ttxesr272tsr3eexs7xt091astsx2z0dzw2" timestamp="1615883687"&gt;241&lt;/key&gt;&lt;/foreign-keys&gt;&lt;ref-type name="Journal Article"&gt;17&lt;/ref-type&gt;&lt;contributors&gt;&lt;authors&gt;&lt;author&gt;Heinemann, Jack A.&lt;/author&gt;&lt;author&gt;Paull, Deborah J.&lt;/author&gt;&lt;author&gt;Walker, Sophie&lt;/author&gt;&lt;author&gt;Kurenbach, Brigitta&lt;/author&gt;&lt;/authors&gt;&lt;/contributors&gt;&lt;titles&gt;&lt;title&gt;Differentiated impacts of human interventions on nature: Scaling the conversation on regulation of gene technologies&lt;/title&gt;&lt;secondary-title&gt;Elementa: Science of the Anthropocene&lt;/secondary-title&gt;&lt;alt-title&gt;Elem Sci Anth&lt;/alt-title&gt;&lt;/titles&gt;&lt;alt-periodical&gt;&lt;full-title&gt;Elem Sci Anth&lt;/full-title&gt;&lt;abbr-1&gt;Elem Sci Anth&lt;/abbr-1&gt;&lt;/alt-periodical&gt;&lt;volume&gt;9&lt;/volume&gt;&lt;number&gt;1&lt;/number&gt;&lt;dates&gt;&lt;year&gt;2021&lt;/year&gt;&lt;/dates&gt;&lt;isbn&gt;2325-1026&lt;/isbn&gt;&lt;urls&gt;&lt;related-urls&gt;&lt;url&gt;https://doi.org/10.1525/elementa.2021.00086&lt;/url&gt;&lt;/related-urls&gt;&lt;/urls&gt;&lt;custom1&gt;00086&lt;/custom1&gt;&lt;electronic-resource-num&gt;10.1525/elementa.2021.00086&lt;/electronic-resource-num&gt;&lt;access-date&gt;3/16/2021&lt;/access-date&gt;&lt;/record&gt;&lt;/Cite&gt;&lt;/EndNote&gt;</w:instrText>
            </w:r>
            <w:r w:rsidR="008F11B5">
              <w:rPr>
                <w:sz w:val="22"/>
                <w:szCs w:val="22"/>
              </w:rPr>
              <w:fldChar w:fldCharType="separate"/>
            </w:r>
            <w:r w:rsidR="008F11B5">
              <w:rPr>
                <w:noProof/>
                <w:sz w:val="22"/>
                <w:szCs w:val="22"/>
              </w:rPr>
              <w:t>(Heinemann et al. 2021)</w:t>
            </w:r>
            <w:r w:rsidR="008F11B5">
              <w:rPr>
                <w:sz w:val="22"/>
                <w:szCs w:val="22"/>
              </w:rPr>
              <w:fldChar w:fldCharType="end"/>
            </w:r>
            <w:r>
              <w:rPr>
                <w:sz w:val="22"/>
                <w:szCs w:val="22"/>
              </w:rPr>
              <w:t xml:space="preserve"> among others.</w:t>
            </w:r>
          </w:p>
        </w:tc>
      </w:tr>
      <w:tr w:rsidR="003B2908" w:rsidRPr="00AD22DE" w14:paraId="7F41CC7E" w14:textId="77777777" w:rsidTr="00EC67E5">
        <w:trPr>
          <w:cantSplit/>
          <w:trHeight w:val="233"/>
        </w:trPr>
        <w:tc>
          <w:tcPr>
            <w:tcW w:w="1096" w:type="dxa"/>
          </w:tcPr>
          <w:p w14:paraId="661D50E8" w14:textId="39A3842C" w:rsidR="003B2908" w:rsidRPr="00F86F63" w:rsidRDefault="003B2908" w:rsidP="003B2908">
            <w:pPr>
              <w:spacing w:after="120"/>
              <w:rPr>
                <w:sz w:val="22"/>
                <w:szCs w:val="22"/>
              </w:rPr>
            </w:pPr>
            <w:r>
              <w:rPr>
                <w:sz w:val="22"/>
                <w:szCs w:val="22"/>
              </w:rPr>
              <w:t>68</w:t>
            </w:r>
          </w:p>
        </w:tc>
        <w:tc>
          <w:tcPr>
            <w:tcW w:w="1109" w:type="dxa"/>
          </w:tcPr>
          <w:p w14:paraId="0DB5D191" w14:textId="51126406" w:rsidR="003B2908" w:rsidRPr="00F86F63" w:rsidRDefault="003B2908" w:rsidP="003B2908">
            <w:pPr>
              <w:spacing w:after="120"/>
              <w:rPr>
                <w:sz w:val="22"/>
                <w:szCs w:val="22"/>
              </w:rPr>
            </w:pPr>
            <w:r>
              <w:rPr>
                <w:sz w:val="22"/>
                <w:szCs w:val="22"/>
              </w:rPr>
              <w:t>1-3</w:t>
            </w:r>
          </w:p>
        </w:tc>
        <w:tc>
          <w:tcPr>
            <w:tcW w:w="7983" w:type="dxa"/>
            <w:gridSpan w:val="2"/>
          </w:tcPr>
          <w:p w14:paraId="13354FC4" w14:textId="001201F9" w:rsidR="003B2908" w:rsidRPr="00F86F63" w:rsidRDefault="003B2908" w:rsidP="003B2908">
            <w:pPr>
              <w:spacing w:after="120"/>
              <w:rPr>
                <w:sz w:val="22"/>
                <w:szCs w:val="22"/>
              </w:rPr>
            </w:pPr>
            <w:r>
              <w:rPr>
                <w:sz w:val="22"/>
                <w:szCs w:val="22"/>
              </w:rPr>
              <w:t xml:space="preserve">This line would be strengthened by a reference. I suggest </w:t>
            </w:r>
            <w:r w:rsidR="008F11B5">
              <w:rPr>
                <w:sz w:val="22"/>
                <w:szCs w:val="22"/>
              </w:rPr>
              <w:fldChar w:fldCharType="begin"/>
            </w:r>
            <w:r w:rsidR="008F11B5">
              <w:rPr>
                <w:sz w:val="22"/>
                <w:szCs w:val="22"/>
              </w:rPr>
              <w:instrText xml:space="preserve"> ADDIN EN.CITE &lt;EndNote&gt;&lt;Cite&gt;&lt;Author&gt;Heinemann&lt;/Author&gt;&lt;Year&gt;2019&lt;/Year&gt;&lt;RecNum&gt;118&lt;/RecNum&gt;&lt;DisplayText&gt;(Heinemann 2019)&lt;/DisplayText&gt;&lt;record&gt;&lt;rec-number&gt;118&lt;/rec-number&gt;&lt;foreign-keys&gt;&lt;key app="EN" db-id="2ttxesr272tsr3eexs7xt091astsx2z0dzw2" timestamp="1573497266"&gt;118&lt;/key&gt;&lt;/foreign-keys&gt;&lt;ref-type name="Journal Article"&gt;17&lt;/ref-type&gt;&lt;contributors&gt;&lt;authors&gt;&lt;author&gt;Heinemann, J. A.&lt;/author&gt;&lt;/authors&gt;&lt;/contributors&gt;&lt;titles&gt;&lt;title&gt;Should dsRNA treatments applied in outdoor environments be regulated?&lt;/title&gt;&lt;secondary-title&gt;Environment International&lt;/secondary-title&gt;&lt;alt-title&gt;Environ. Int&lt;/alt-title&gt;&lt;/titles&gt;&lt;periodical&gt;&lt;full-title&gt;Environment International&lt;/full-title&gt;&lt;abbr-1&gt;Environ. Int&lt;/abbr-1&gt;&lt;/periodical&gt;&lt;alt-periodical&gt;&lt;full-title&gt;Environment International&lt;/full-title&gt;&lt;abbr-1&gt;Environ. Int&lt;/abbr-1&gt;&lt;/alt-periodical&gt;&lt;pages&gt;104856&lt;/pages&gt;&lt;volume&gt;132&lt;/volume&gt;&lt;dates&gt;&lt;year&gt;2019&lt;/year&gt;&lt;/dates&gt;&lt;urls&gt;&lt;/urls&gt;&lt;/record&gt;&lt;/Cite&gt;&lt;/EndNote&gt;</w:instrText>
            </w:r>
            <w:r w:rsidR="008F11B5">
              <w:rPr>
                <w:sz w:val="22"/>
                <w:szCs w:val="22"/>
              </w:rPr>
              <w:fldChar w:fldCharType="separate"/>
            </w:r>
            <w:r w:rsidR="008F11B5">
              <w:rPr>
                <w:noProof/>
                <w:sz w:val="22"/>
                <w:szCs w:val="22"/>
              </w:rPr>
              <w:t>(Heinemann 2019)</w:t>
            </w:r>
            <w:r w:rsidR="008F11B5">
              <w:rPr>
                <w:sz w:val="22"/>
                <w:szCs w:val="22"/>
              </w:rPr>
              <w:fldChar w:fldCharType="end"/>
            </w:r>
            <w:r>
              <w:rPr>
                <w:sz w:val="22"/>
                <w:szCs w:val="22"/>
              </w:rPr>
              <w:t xml:space="preserve"> which is already used in other places.</w:t>
            </w:r>
          </w:p>
        </w:tc>
      </w:tr>
      <w:tr w:rsidR="003B2908" w:rsidRPr="00AD22DE" w14:paraId="21C2AC39" w14:textId="77777777" w:rsidTr="00EC67E5">
        <w:trPr>
          <w:cantSplit/>
          <w:trHeight w:val="233"/>
        </w:trPr>
        <w:tc>
          <w:tcPr>
            <w:tcW w:w="1096" w:type="dxa"/>
          </w:tcPr>
          <w:p w14:paraId="1A4F0A1E" w14:textId="349A4F70" w:rsidR="003B2908" w:rsidRPr="00F86F63" w:rsidRDefault="003B2908" w:rsidP="003B2908">
            <w:pPr>
              <w:spacing w:after="120"/>
              <w:rPr>
                <w:sz w:val="22"/>
                <w:szCs w:val="22"/>
              </w:rPr>
            </w:pPr>
            <w:r>
              <w:rPr>
                <w:sz w:val="22"/>
                <w:szCs w:val="22"/>
              </w:rPr>
              <w:t>68</w:t>
            </w:r>
          </w:p>
        </w:tc>
        <w:tc>
          <w:tcPr>
            <w:tcW w:w="1109" w:type="dxa"/>
          </w:tcPr>
          <w:p w14:paraId="6543DC9D" w14:textId="69ED147B" w:rsidR="003B2908" w:rsidRPr="00F86F63" w:rsidRDefault="003B2908" w:rsidP="003B2908">
            <w:pPr>
              <w:spacing w:after="120"/>
              <w:rPr>
                <w:sz w:val="22"/>
                <w:szCs w:val="22"/>
              </w:rPr>
            </w:pPr>
            <w:r>
              <w:rPr>
                <w:sz w:val="22"/>
                <w:szCs w:val="22"/>
              </w:rPr>
              <w:t>5-7</w:t>
            </w:r>
          </w:p>
        </w:tc>
        <w:tc>
          <w:tcPr>
            <w:tcW w:w="7983" w:type="dxa"/>
            <w:gridSpan w:val="2"/>
          </w:tcPr>
          <w:p w14:paraId="380A15C5" w14:textId="4DF2EAEC" w:rsidR="003B2908" w:rsidRDefault="003B2908" w:rsidP="003B2908">
            <w:pPr>
              <w:spacing w:after="120"/>
              <w:rPr>
                <w:sz w:val="22"/>
                <w:szCs w:val="22"/>
              </w:rPr>
            </w:pPr>
            <w:r>
              <w:rPr>
                <w:sz w:val="22"/>
                <w:szCs w:val="22"/>
              </w:rPr>
              <w:t>This sentence projects a pre-determined conclusion as if it were a fact. In saying that topical treatments are non-transgenic, the report is implying that this is a settled issue of science. It is not. Instead it draws upon unofficial definitions of what are genes and other genetic material are as held by some. In fact, in two peer reviewed publications, we demonstrate that both the scientific literature and industry patent claims</w:t>
            </w:r>
            <w:r w:rsidR="00AA5C88">
              <w:rPr>
                <w:sz w:val="22"/>
                <w:szCs w:val="22"/>
              </w:rPr>
              <w:t xml:space="preserve"> (with included experimental evidence)</w:t>
            </w:r>
            <w:r>
              <w:rPr>
                <w:sz w:val="22"/>
                <w:szCs w:val="22"/>
              </w:rPr>
              <w:t xml:space="preserve"> converge on the heritability of topical RNA treatments both via long lived (hundreds of generations so far) effects from single exposure treatments and RNA-RNA recombination in eukaryotic organisms with stable RNA </w:t>
            </w:r>
            <w:r>
              <w:rPr>
                <w:sz w:val="22"/>
                <w:szCs w:val="22"/>
              </w:rPr>
              <w:lastRenderedPageBreak/>
              <w:t>components of their genome (</w:t>
            </w:r>
            <w:proofErr w:type="spellStart"/>
            <w:r>
              <w:rPr>
                <w:sz w:val="22"/>
                <w:szCs w:val="22"/>
              </w:rPr>
              <w:t>ie</w:t>
            </w:r>
            <w:proofErr w:type="spellEnd"/>
            <w:r>
              <w:rPr>
                <w:sz w:val="22"/>
                <w:szCs w:val="22"/>
              </w:rPr>
              <w:t>, fungi)</w:t>
            </w:r>
            <w:r w:rsidR="0018076B">
              <w:rPr>
                <w:sz w:val="22"/>
                <w:szCs w:val="22"/>
              </w:rPr>
              <w:t xml:space="preserve"> </w:t>
            </w:r>
            <w:r w:rsidR="008F11B5">
              <w:rPr>
                <w:sz w:val="22"/>
                <w:szCs w:val="22"/>
              </w:rPr>
              <w:fldChar w:fldCharType="begin"/>
            </w:r>
            <w:r w:rsidR="008F11B5">
              <w:rPr>
                <w:sz w:val="22"/>
                <w:szCs w:val="22"/>
              </w:rPr>
              <w:instrText xml:space="preserve"> ADDIN EN.CITE &lt;EndNote&gt;&lt;Cite&gt;&lt;Author&gt;Heinemann&lt;/Author&gt;&lt;Year&gt;2019&lt;/Year&gt;&lt;RecNum&gt;118&lt;/RecNum&gt;&lt;DisplayText&gt;(Heinemann 2019; Heinemann and Walker 2019)&lt;/DisplayText&gt;&lt;record&gt;&lt;rec-number&gt;118&lt;/rec-number&gt;&lt;foreign-keys&gt;&lt;key app="EN" db-id="2ttxesr272tsr3eexs7xt091astsx2z0dzw2" timestamp="1573497266"&gt;118&lt;/key&gt;&lt;/foreign-keys&gt;&lt;ref-type name="Journal Article"&gt;17&lt;/ref-type&gt;&lt;contributors&gt;&lt;authors&gt;&lt;author&gt;Heinemann, J. A.&lt;/author&gt;&lt;/authors&gt;&lt;/contributors&gt;&lt;titles&gt;&lt;title&gt;Should dsRNA treatments applied in outdoor environments be regulated?&lt;/title&gt;&lt;secondary-title&gt;Environment International&lt;/secondary-title&gt;&lt;alt-title&gt;Environ. Int&lt;/alt-title&gt;&lt;/titles&gt;&lt;periodical&gt;&lt;full-title&gt;Environment International&lt;/full-title&gt;&lt;abbr-1&gt;Environ. Int&lt;/abbr-1&gt;&lt;/periodical&gt;&lt;alt-periodical&gt;&lt;full-title&gt;Environment International&lt;/full-title&gt;&lt;abbr-1&gt;Environ. Int&lt;/abbr-1&gt;&lt;/alt-periodical&gt;&lt;pages&gt;104856&lt;/pages&gt;&lt;volume&gt;132&lt;/volume&gt;&lt;dates&gt;&lt;year&gt;2019&lt;/year&gt;&lt;/dates&gt;&lt;urls&gt;&lt;/urls&gt;&lt;/record&gt;&lt;/Cite&gt;&lt;Cite&gt;&lt;Author&gt;Heinemann&lt;/Author&gt;&lt;Year&gt;2019&lt;/Year&gt;&lt;RecNum&gt;85&lt;/RecNum&gt;&lt;record&gt;&lt;rec-number&gt;85&lt;/rec-number&gt;&lt;foreign-keys&gt;&lt;key app="EN" db-id="2ttxesr272tsr3eexs7xt091astsx2z0dzw2" timestamp="1571632921"&gt;85&lt;/key&gt;&lt;/foreign-keys&gt;&lt;ref-type name="Journal Article"&gt;17&lt;/ref-type&gt;&lt;contributors&gt;&lt;authors&gt;&lt;author&gt;Heinemann, J. A.&lt;/author&gt;&lt;author&gt;Walker, S.&lt;/author&gt;&lt;/authors&gt;&lt;/contributors&gt;&lt;titles&gt;&lt;title&gt;Environmentally applied nucleic acids and proteins for purposes of engineering changes to genes and other genetic material&lt;/title&gt;&lt;secondary-title&gt;Biosafety and Health&lt;/secondary-title&gt;&lt;alt-title&gt;Biosafety Health&lt;/alt-title&gt;&lt;/titles&gt;&lt;periodical&gt;&lt;full-title&gt;Biosafety and Health&lt;/full-title&gt;&lt;abbr-1&gt;Biosafety Health&lt;/abbr-1&gt;&lt;/periodical&gt;&lt;alt-periodical&gt;&lt;full-title&gt;Biosafety and Health&lt;/full-title&gt;&lt;abbr-1&gt;Biosafety Health&lt;/abbr-1&gt;&lt;/alt-periodical&gt;&lt;pages&gt;113-123&lt;/pages&gt;&lt;volume&gt;1&lt;/volume&gt;&lt;dates&gt;&lt;year&gt;2019&lt;/year&gt;&lt;/dates&gt;&lt;urls&gt;&lt;/urls&gt;&lt;/record&gt;&lt;/Cite&gt;&lt;/EndNote&gt;</w:instrText>
            </w:r>
            <w:r w:rsidR="008F11B5">
              <w:rPr>
                <w:sz w:val="22"/>
                <w:szCs w:val="22"/>
              </w:rPr>
              <w:fldChar w:fldCharType="separate"/>
            </w:r>
            <w:r w:rsidR="008F11B5">
              <w:rPr>
                <w:noProof/>
                <w:sz w:val="22"/>
                <w:szCs w:val="22"/>
              </w:rPr>
              <w:t>(Heinemann 2019; Heinemann and Walker 2019)</w:t>
            </w:r>
            <w:r w:rsidR="008F11B5">
              <w:rPr>
                <w:sz w:val="22"/>
                <w:szCs w:val="22"/>
              </w:rPr>
              <w:fldChar w:fldCharType="end"/>
            </w:r>
            <w:r>
              <w:rPr>
                <w:sz w:val="22"/>
                <w:szCs w:val="22"/>
              </w:rPr>
              <w:t xml:space="preserve">. Both of these publications are known to the AHTEG and </w:t>
            </w:r>
            <w:r w:rsidR="0018076B">
              <w:rPr>
                <w:sz w:val="22"/>
                <w:szCs w:val="22"/>
              </w:rPr>
              <w:t>are cited</w:t>
            </w:r>
            <w:r>
              <w:rPr>
                <w:sz w:val="22"/>
                <w:szCs w:val="22"/>
              </w:rPr>
              <w:t xml:space="preserve"> elsewhere in the report</w:t>
            </w:r>
            <w:r w:rsidR="0018076B">
              <w:rPr>
                <w:sz w:val="22"/>
                <w:szCs w:val="22"/>
              </w:rPr>
              <w:t xml:space="preserve"> (although for side points)</w:t>
            </w:r>
            <w:r>
              <w:rPr>
                <w:sz w:val="22"/>
                <w:szCs w:val="22"/>
              </w:rPr>
              <w:t>, so it should be possible to balance this paragraph appropriately with the contrasting point of view</w:t>
            </w:r>
            <w:r w:rsidR="0018076B">
              <w:rPr>
                <w:sz w:val="22"/>
                <w:szCs w:val="22"/>
              </w:rPr>
              <w:t xml:space="preserve"> and extensive evidence for it</w:t>
            </w:r>
            <w:r>
              <w:rPr>
                <w:sz w:val="22"/>
                <w:szCs w:val="22"/>
              </w:rPr>
              <w:t>.</w:t>
            </w:r>
            <w:r w:rsidR="0018076B">
              <w:rPr>
                <w:sz w:val="22"/>
                <w:szCs w:val="22"/>
              </w:rPr>
              <w:t xml:space="preserve"> The AHTEG cannot ignore away inconvenient science.</w:t>
            </w:r>
          </w:p>
          <w:p w14:paraId="36820734" w14:textId="77777777" w:rsidR="0018076B" w:rsidRPr="0018076B" w:rsidRDefault="0018076B" w:rsidP="0018076B">
            <w:pPr>
              <w:spacing w:after="120"/>
              <w:rPr>
                <w:sz w:val="22"/>
                <w:szCs w:val="22"/>
                <w:lang w:val="en-US"/>
              </w:rPr>
            </w:pPr>
            <w:r>
              <w:rPr>
                <w:sz w:val="22"/>
                <w:szCs w:val="22"/>
              </w:rPr>
              <w:t xml:space="preserve">The key analysis missing in this section is that there is no basis for assessing the risk of topical (spray, ingestion etc) exposures because they violate point one of Annex III of the Protocol: </w:t>
            </w:r>
          </w:p>
          <w:p w14:paraId="355B1B20" w14:textId="7412A5FE" w:rsidR="0018076B" w:rsidRPr="0018076B" w:rsidRDefault="0018076B" w:rsidP="0018076B">
            <w:pPr>
              <w:numPr>
                <w:ilvl w:val="0"/>
                <w:numId w:val="1"/>
              </w:numPr>
              <w:spacing w:after="120"/>
              <w:rPr>
                <w:sz w:val="22"/>
                <w:szCs w:val="22"/>
                <w:lang w:val="en-US"/>
              </w:rPr>
            </w:pPr>
            <w:r>
              <w:rPr>
                <w:sz w:val="22"/>
                <w:szCs w:val="22"/>
                <w:lang w:val="en-US"/>
              </w:rPr>
              <w:t>“</w:t>
            </w:r>
            <w:r w:rsidRPr="0018076B">
              <w:rPr>
                <w:sz w:val="22"/>
                <w:szCs w:val="22"/>
                <w:lang w:val="en-US"/>
              </w:rPr>
              <w:t>An identification of any novel genotypic and phenotypic characteristics associated with the living modified organism that may have adverse effects on biological diversity in the likely potential receiving environment, taking also into account risks to human health;</w:t>
            </w:r>
            <w:r>
              <w:rPr>
                <w:sz w:val="22"/>
                <w:szCs w:val="22"/>
                <w:lang w:val="en-US"/>
              </w:rPr>
              <w:t>”</w:t>
            </w:r>
          </w:p>
          <w:p w14:paraId="4CCDEC80" w14:textId="36261D20" w:rsidR="003B2908" w:rsidRDefault="0018076B" w:rsidP="003B2908">
            <w:pPr>
              <w:spacing w:after="120"/>
              <w:rPr>
                <w:sz w:val="22"/>
                <w:szCs w:val="22"/>
              </w:rPr>
            </w:pPr>
            <w:r>
              <w:rPr>
                <w:sz w:val="22"/>
                <w:szCs w:val="22"/>
              </w:rPr>
              <w:t>because by definition many topical applications will not control exposures, particularly to small and ubiquitous organisms that do inherit the modification. This includes fungi and importantly protozoa, many of which are not even</w:t>
            </w:r>
            <w:r w:rsidR="00AA5C88">
              <w:rPr>
                <w:sz w:val="22"/>
                <w:szCs w:val="22"/>
              </w:rPr>
              <w:t xml:space="preserve"> yet</w:t>
            </w:r>
            <w:r>
              <w:rPr>
                <w:sz w:val="22"/>
                <w:szCs w:val="22"/>
              </w:rPr>
              <w:t xml:space="preserve"> described.</w:t>
            </w:r>
          </w:p>
          <w:p w14:paraId="77736A51" w14:textId="295580C9" w:rsidR="0018076B" w:rsidRPr="00F86F63" w:rsidRDefault="0018076B" w:rsidP="003B2908">
            <w:pPr>
              <w:spacing w:after="120"/>
              <w:rPr>
                <w:sz w:val="22"/>
                <w:szCs w:val="22"/>
              </w:rPr>
            </w:pPr>
            <w:r>
              <w:rPr>
                <w:sz w:val="22"/>
                <w:szCs w:val="22"/>
              </w:rPr>
              <w:t>The AHTEG should feature this particular issue with no less fairness than it did the gene drive section where exposure analysis is challenged, and in the case of RNA technology, probably impossible in open air use.</w:t>
            </w:r>
          </w:p>
        </w:tc>
      </w:tr>
      <w:tr w:rsidR="003B2908" w:rsidRPr="00C658CD" w14:paraId="6817A6D0" w14:textId="77777777" w:rsidTr="00EC67E5">
        <w:trPr>
          <w:cantSplit/>
          <w:trHeight w:val="233"/>
        </w:trPr>
        <w:tc>
          <w:tcPr>
            <w:tcW w:w="1096" w:type="dxa"/>
          </w:tcPr>
          <w:p w14:paraId="4455D7DB" w14:textId="6570C7A8" w:rsidR="003B2908" w:rsidRPr="00F86F63" w:rsidRDefault="0018076B" w:rsidP="003B2908">
            <w:pPr>
              <w:spacing w:after="120"/>
              <w:rPr>
                <w:sz w:val="22"/>
                <w:szCs w:val="22"/>
              </w:rPr>
            </w:pPr>
            <w:r>
              <w:rPr>
                <w:sz w:val="22"/>
                <w:szCs w:val="22"/>
              </w:rPr>
              <w:lastRenderedPageBreak/>
              <w:t>68</w:t>
            </w:r>
          </w:p>
        </w:tc>
        <w:tc>
          <w:tcPr>
            <w:tcW w:w="1109" w:type="dxa"/>
          </w:tcPr>
          <w:p w14:paraId="2C46BB89" w14:textId="3D0F79DB" w:rsidR="003B2908" w:rsidRPr="00F86F63" w:rsidRDefault="0018076B" w:rsidP="003B2908">
            <w:pPr>
              <w:spacing w:after="120"/>
              <w:rPr>
                <w:sz w:val="22"/>
                <w:szCs w:val="22"/>
              </w:rPr>
            </w:pPr>
            <w:r>
              <w:rPr>
                <w:sz w:val="22"/>
                <w:szCs w:val="22"/>
              </w:rPr>
              <w:t>14-27</w:t>
            </w:r>
          </w:p>
        </w:tc>
        <w:tc>
          <w:tcPr>
            <w:tcW w:w="7983" w:type="dxa"/>
            <w:gridSpan w:val="2"/>
          </w:tcPr>
          <w:p w14:paraId="41144A27" w14:textId="45C0C180" w:rsidR="009D6461" w:rsidRDefault="003D6164" w:rsidP="003D6164">
            <w:pPr>
              <w:spacing w:after="120"/>
              <w:rPr>
                <w:sz w:val="22"/>
                <w:szCs w:val="22"/>
                <w:lang w:val="en-AU"/>
              </w:rPr>
            </w:pPr>
            <w:r w:rsidRPr="003D6164">
              <w:rPr>
                <w:sz w:val="22"/>
                <w:szCs w:val="22"/>
                <w:lang w:val="en-AU"/>
              </w:rPr>
              <w:t>I would also point out that by</w:t>
            </w:r>
            <w:r>
              <w:rPr>
                <w:sz w:val="22"/>
                <w:szCs w:val="22"/>
                <w:lang w:val="en-AU"/>
              </w:rPr>
              <w:t xml:space="preserve"> Australia’s decision to exempt a highly defined and limited scope of</w:t>
            </w:r>
            <w:r w:rsidRPr="003D6164">
              <w:rPr>
                <w:sz w:val="22"/>
                <w:szCs w:val="22"/>
                <w:lang w:val="en-AU"/>
              </w:rPr>
              <w:t xml:space="preserve"> external treatments of organisms with dsRNA </w:t>
            </w:r>
            <w:r>
              <w:rPr>
                <w:sz w:val="22"/>
                <w:szCs w:val="22"/>
                <w:lang w:val="en-AU"/>
              </w:rPr>
              <w:t>from the GMO</w:t>
            </w:r>
            <w:r w:rsidRPr="003D6164">
              <w:rPr>
                <w:sz w:val="22"/>
                <w:szCs w:val="22"/>
                <w:lang w:val="en-AU"/>
              </w:rPr>
              <w:t xml:space="preserve"> regulations, </w:t>
            </w:r>
            <w:r w:rsidRPr="003D6164">
              <w:rPr>
                <w:i/>
                <w:sz w:val="22"/>
                <w:szCs w:val="22"/>
                <w:lang w:val="en-AU"/>
              </w:rPr>
              <w:t>they had not arrived at the conclusion that treatments do not create genetically modified organisms under regulations</w:t>
            </w:r>
            <w:r w:rsidRPr="003D6164">
              <w:rPr>
                <w:sz w:val="22"/>
                <w:szCs w:val="22"/>
                <w:lang w:val="en-AU"/>
              </w:rPr>
              <w:t>.</w:t>
            </w:r>
            <w:r>
              <w:rPr>
                <w:sz w:val="22"/>
                <w:szCs w:val="22"/>
                <w:lang w:val="en-AU"/>
              </w:rPr>
              <w:t xml:space="preserve"> Indeed, the list of limitations to the exemptions make clear that</w:t>
            </w:r>
            <w:r w:rsidR="00280F5C">
              <w:rPr>
                <w:sz w:val="22"/>
                <w:szCs w:val="22"/>
                <w:lang w:val="en-AU"/>
              </w:rPr>
              <w:t xml:space="preserve"> the technology can produce GMOs, as per the conversion of the RNA into DNA or through direct transfer of viruses or the potential for RNA-RNA recombination of</w:t>
            </w:r>
            <w:r w:rsidR="00AA5C88">
              <w:rPr>
                <w:sz w:val="22"/>
                <w:szCs w:val="22"/>
                <w:lang w:val="en-AU"/>
              </w:rPr>
              <w:t xml:space="preserve"> even partial</w:t>
            </w:r>
            <w:r w:rsidR="00280F5C">
              <w:rPr>
                <w:sz w:val="22"/>
                <w:szCs w:val="22"/>
                <w:lang w:val="en-AU"/>
              </w:rPr>
              <w:t xml:space="preserve"> viruses.</w:t>
            </w:r>
            <w:r w:rsidR="004C1790">
              <w:rPr>
                <w:sz w:val="22"/>
                <w:szCs w:val="22"/>
                <w:lang w:val="en-AU"/>
              </w:rPr>
              <w:t xml:space="preserve"> Therefore, they have </w:t>
            </w:r>
            <w:proofErr w:type="gramStart"/>
            <w:r w:rsidR="004C1790">
              <w:rPr>
                <w:sz w:val="22"/>
                <w:szCs w:val="22"/>
                <w:lang w:val="en-AU"/>
              </w:rPr>
              <w:t>made a decision</w:t>
            </w:r>
            <w:proofErr w:type="gramEnd"/>
            <w:r w:rsidR="004C1790">
              <w:rPr>
                <w:sz w:val="22"/>
                <w:szCs w:val="22"/>
                <w:lang w:val="en-AU"/>
              </w:rPr>
              <w:t xml:space="preserve"> with specific relevance to how to regulate rather than whether to govern. (See comment above related to page 65 lines 20-32).</w:t>
            </w:r>
          </w:p>
          <w:p w14:paraId="30953B7B" w14:textId="6A92A864" w:rsidR="003D6164" w:rsidRPr="00C658CD" w:rsidRDefault="009D6461" w:rsidP="003D6164">
            <w:pPr>
              <w:spacing w:after="120"/>
              <w:rPr>
                <w:sz w:val="22"/>
                <w:szCs w:val="22"/>
              </w:rPr>
            </w:pPr>
            <w:r>
              <w:rPr>
                <w:sz w:val="22"/>
                <w:szCs w:val="22"/>
              </w:rPr>
              <w:t>Moreover, this is entirely different to what New Zealand did. Note, that New Zealand recalled that decision and issued a</w:t>
            </w:r>
            <w:r w:rsidR="00AA5C88">
              <w:rPr>
                <w:sz w:val="22"/>
                <w:szCs w:val="22"/>
              </w:rPr>
              <w:t xml:space="preserve"> new determination with</w:t>
            </w:r>
            <w:r>
              <w:rPr>
                <w:sz w:val="22"/>
                <w:szCs w:val="22"/>
              </w:rPr>
              <w:t xml:space="preserve"> much more limited scope.</w:t>
            </w:r>
            <w:r w:rsidR="001C2204">
              <w:rPr>
                <w:sz w:val="22"/>
                <w:szCs w:val="22"/>
              </w:rPr>
              <w:t xml:space="preserve">  </w:t>
            </w:r>
            <w:r w:rsidR="003D6164" w:rsidRPr="00C658CD">
              <w:rPr>
                <w:sz w:val="22"/>
                <w:szCs w:val="22"/>
              </w:rPr>
              <w:t xml:space="preserve"> </w:t>
            </w:r>
          </w:p>
        </w:tc>
      </w:tr>
      <w:tr w:rsidR="0018076B" w:rsidRPr="00C658CD" w14:paraId="101DC49E" w14:textId="77777777" w:rsidTr="00EC67E5">
        <w:trPr>
          <w:cantSplit/>
          <w:trHeight w:val="233"/>
        </w:trPr>
        <w:tc>
          <w:tcPr>
            <w:tcW w:w="1096" w:type="dxa"/>
          </w:tcPr>
          <w:p w14:paraId="31C431EE" w14:textId="1B0444C2" w:rsidR="0018076B" w:rsidRDefault="003D6164" w:rsidP="003B2908">
            <w:pPr>
              <w:spacing w:after="120"/>
              <w:rPr>
                <w:sz w:val="22"/>
                <w:szCs w:val="22"/>
              </w:rPr>
            </w:pPr>
            <w:r>
              <w:rPr>
                <w:sz w:val="22"/>
                <w:szCs w:val="22"/>
              </w:rPr>
              <w:t>68 and elsewhere</w:t>
            </w:r>
          </w:p>
        </w:tc>
        <w:tc>
          <w:tcPr>
            <w:tcW w:w="1109" w:type="dxa"/>
          </w:tcPr>
          <w:p w14:paraId="4EBC58A4" w14:textId="77777777" w:rsidR="0018076B" w:rsidRDefault="0018076B" w:rsidP="003B2908">
            <w:pPr>
              <w:spacing w:after="120"/>
              <w:rPr>
                <w:sz w:val="22"/>
                <w:szCs w:val="22"/>
              </w:rPr>
            </w:pPr>
          </w:p>
        </w:tc>
        <w:tc>
          <w:tcPr>
            <w:tcW w:w="7983" w:type="dxa"/>
            <w:gridSpan w:val="2"/>
          </w:tcPr>
          <w:p w14:paraId="2AA17BF9" w14:textId="1753025C" w:rsidR="0018076B" w:rsidRDefault="003D6164" w:rsidP="003B2908">
            <w:pPr>
              <w:spacing w:after="120"/>
              <w:rPr>
                <w:sz w:val="22"/>
                <w:szCs w:val="22"/>
              </w:rPr>
            </w:pPr>
            <w:r>
              <w:rPr>
                <w:sz w:val="22"/>
                <w:szCs w:val="22"/>
              </w:rPr>
              <w:t>Please do not reduce the external use of dsRNA to “sprays”. External use can be achieved using a variety of very different mechanisms and this should be acknowledged and explained to avoid oversimplification and ongoing use of semantics to narrow the discussion. For example, uptake of pesticidal dsRNA via roots may not be a spray, but still could result in a variety of different exposure pathways depending on organism, from ingestion by pest</w:t>
            </w:r>
            <w:r w:rsidR="00AA5C88">
              <w:rPr>
                <w:sz w:val="22"/>
                <w:szCs w:val="22"/>
              </w:rPr>
              <w:t>s</w:t>
            </w:r>
            <w:r>
              <w:rPr>
                <w:sz w:val="22"/>
                <w:szCs w:val="22"/>
              </w:rPr>
              <w:t xml:space="preserve"> to contact by fungi.</w:t>
            </w:r>
          </w:p>
        </w:tc>
      </w:tr>
      <w:tr w:rsidR="0018076B" w:rsidRPr="00C658CD" w14:paraId="478B05DD" w14:textId="77777777" w:rsidTr="00EC67E5">
        <w:trPr>
          <w:cantSplit/>
          <w:trHeight w:val="233"/>
        </w:trPr>
        <w:tc>
          <w:tcPr>
            <w:tcW w:w="1096" w:type="dxa"/>
          </w:tcPr>
          <w:p w14:paraId="153817E8" w14:textId="008519B4" w:rsidR="0018076B" w:rsidRDefault="004C1790" w:rsidP="003B2908">
            <w:pPr>
              <w:spacing w:after="120"/>
              <w:rPr>
                <w:sz w:val="22"/>
                <w:szCs w:val="22"/>
              </w:rPr>
            </w:pPr>
            <w:r>
              <w:rPr>
                <w:sz w:val="22"/>
                <w:szCs w:val="22"/>
              </w:rPr>
              <w:t>70</w:t>
            </w:r>
          </w:p>
        </w:tc>
        <w:tc>
          <w:tcPr>
            <w:tcW w:w="1109" w:type="dxa"/>
          </w:tcPr>
          <w:p w14:paraId="23F9CE30" w14:textId="639F1BA9" w:rsidR="0018076B" w:rsidRDefault="004C1790" w:rsidP="003B2908">
            <w:pPr>
              <w:spacing w:after="120"/>
              <w:rPr>
                <w:sz w:val="22"/>
                <w:szCs w:val="22"/>
              </w:rPr>
            </w:pPr>
            <w:r>
              <w:rPr>
                <w:sz w:val="22"/>
                <w:szCs w:val="22"/>
              </w:rPr>
              <w:t>12-13</w:t>
            </w:r>
          </w:p>
        </w:tc>
        <w:tc>
          <w:tcPr>
            <w:tcW w:w="7983" w:type="dxa"/>
            <w:gridSpan w:val="2"/>
          </w:tcPr>
          <w:p w14:paraId="4167D60A" w14:textId="073C7AC8" w:rsidR="0018076B" w:rsidRDefault="004C1790" w:rsidP="003B2908">
            <w:pPr>
              <w:spacing w:after="120"/>
              <w:rPr>
                <w:sz w:val="22"/>
                <w:szCs w:val="22"/>
              </w:rPr>
            </w:pPr>
            <w:r>
              <w:rPr>
                <w:sz w:val="22"/>
                <w:szCs w:val="22"/>
              </w:rPr>
              <w:t>Not toxic genes. Genes that would result in the production of toxins.</w:t>
            </w:r>
          </w:p>
        </w:tc>
      </w:tr>
      <w:tr w:rsidR="0018076B" w:rsidRPr="00C658CD" w14:paraId="5AB69459" w14:textId="77777777" w:rsidTr="00EC67E5">
        <w:trPr>
          <w:cantSplit/>
          <w:trHeight w:val="233"/>
        </w:trPr>
        <w:tc>
          <w:tcPr>
            <w:tcW w:w="1096" w:type="dxa"/>
          </w:tcPr>
          <w:p w14:paraId="6D4E73C4" w14:textId="571D1380" w:rsidR="0018076B" w:rsidRDefault="0002177E" w:rsidP="003B2908">
            <w:pPr>
              <w:spacing w:after="120"/>
              <w:rPr>
                <w:sz w:val="22"/>
                <w:szCs w:val="22"/>
              </w:rPr>
            </w:pPr>
            <w:r>
              <w:rPr>
                <w:sz w:val="22"/>
                <w:szCs w:val="22"/>
              </w:rPr>
              <w:t>70</w:t>
            </w:r>
          </w:p>
        </w:tc>
        <w:tc>
          <w:tcPr>
            <w:tcW w:w="1109" w:type="dxa"/>
          </w:tcPr>
          <w:p w14:paraId="75BC2102" w14:textId="03D9A502" w:rsidR="0018076B" w:rsidRDefault="00B9552D" w:rsidP="003B2908">
            <w:pPr>
              <w:spacing w:after="120"/>
              <w:rPr>
                <w:sz w:val="22"/>
                <w:szCs w:val="22"/>
              </w:rPr>
            </w:pPr>
            <w:r>
              <w:rPr>
                <w:sz w:val="22"/>
                <w:szCs w:val="22"/>
              </w:rPr>
              <w:t>14-18</w:t>
            </w:r>
          </w:p>
        </w:tc>
        <w:tc>
          <w:tcPr>
            <w:tcW w:w="7983" w:type="dxa"/>
            <w:gridSpan w:val="2"/>
          </w:tcPr>
          <w:p w14:paraId="4D4B3ED7" w14:textId="187AE793" w:rsidR="0018076B" w:rsidRPr="0002177E" w:rsidRDefault="00B9552D" w:rsidP="00255BBC">
            <w:pPr>
              <w:spacing w:after="120"/>
              <w:rPr>
                <w:sz w:val="22"/>
                <w:szCs w:val="22"/>
              </w:rPr>
            </w:pPr>
            <w:r>
              <w:rPr>
                <w:sz w:val="22"/>
                <w:szCs w:val="22"/>
              </w:rPr>
              <w:t>This is a particular interpretation of the post Asilomar time. In fact, Asilomar participants had a variety of views</w:t>
            </w:r>
            <w:r w:rsidR="00255BBC">
              <w:rPr>
                <w:sz w:val="22"/>
                <w:szCs w:val="22"/>
              </w:rPr>
              <w:t xml:space="preserve"> </w:t>
            </w:r>
            <w:r w:rsidR="008F11B5">
              <w:rPr>
                <w:sz w:val="22"/>
                <w:szCs w:val="22"/>
              </w:rPr>
              <w:fldChar w:fldCharType="begin"/>
            </w:r>
            <w:r w:rsidR="008F11B5">
              <w:rPr>
                <w:sz w:val="22"/>
                <w:szCs w:val="22"/>
              </w:rPr>
              <w:instrText xml:space="preserve"> ADDIN EN.CITE &lt;EndNote&gt;&lt;Cite&gt;&lt;Author&gt;Russell&lt;/Author&gt;&lt;Year&gt;1975&lt;/Year&gt;&lt;RecNum&gt;243&lt;/RecNum&gt;&lt;DisplayText&gt;(Russell 1975)&lt;/DisplayText&gt;&lt;record&gt;&lt;rec-number&gt;243&lt;/rec-number&gt;&lt;foreign-keys&gt;&lt;key app="EN" db-id="2ttxesr272tsr3eexs7xt091astsx2z0dzw2" timestamp="1625540796"&gt;243&lt;/key&gt;&lt;/foreign-keys&gt;&lt;ref-type name="Journal Article"&gt;17&lt;/ref-type&gt;&lt;contributors&gt;&lt;authors&gt;&lt;author&gt;Russell, C.&lt;/author&gt;&lt;/authors&gt;&lt;/contributors&gt;&lt;titles&gt;&lt;title&gt;Recombinant DNA molecules: biologists draft genetic research guidelines&lt;/title&gt;&lt;secondary-title&gt;Bioscience&lt;/secondary-title&gt;&lt;alt-title&gt;Biosci&lt;/alt-title&gt;&lt;/titles&gt;&lt;periodical&gt;&lt;full-title&gt;Bioscience&lt;/full-title&gt;&lt;abbr-1&gt;Biosci&lt;/abbr-1&gt;&lt;/periodical&gt;&lt;alt-periodical&gt;&lt;full-title&gt;Bioscience&lt;/full-title&gt;&lt;abbr-1&gt;Biosci&lt;/abbr-1&gt;&lt;/alt-periodical&gt;&lt;pages&gt;237–240+277-278&lt;/pages&gt;&lt;volume&gt;25&lt;/volume&gt;&lt;dates&gt;&lt;year&gt;1975&lt;/year&gt;&lt;/dates&gt;&lt;urls&gt;&lt;related-urls&gt;&lt;url&gt;http://www.jstor.org/stable/1296986 .&lt;/url&gt;&lt;/related-urls&gt;&lt;/urls&gt;&lt;/record&gt;&lt;/Cite&gt;&lt;/EndNote&gt;</w:instrText>
            </w:r>
            <w:r w:rsidR="008F11B5">
              <w:rPr>
                <w:sz w:val="22"/>
                <w:szCs w:val="22"/>
              </w:rPr>
              <w:fldChar w:fldCharType="separate"/>
            </w:r>
            <w:r w:rsidR="008F11B5">
              <w:rPr>
                <w:noProof/>
                <w:sz w:val="22"/>
                <w:szCs w:val="22"/>
              </w:rPr>
              <w:t>(Russell 1975)</w:t>
            </w:r>
            <w:r w:rsidR="008F11B5">
              <w:rPr>
                <w:sz w:val="22"/>
                <w:szCs w:val="22"/>
              </w:rPr>
              <w:fldChar w:fldCharType="end"/>
            </w:r>
            <w:r>
              <w:rPr>
                <w:sz w:val="22"/>
                <w:szCs w:val="22"/>
              </w:rPr>
              <w:t>. What is missing in this</w:t>
            </w:r>
            <w:r w:rsidR="00255BBC">
              <w:rPr>
                <w:sz w:val="22"/>
                <w:szCs w:val="22"/>
              </w:rPr>
              <w:t xml:space="preserve"> and later</w:t>
            </w:r>
            <w:r>
              <w:rPr>
                <w:sz w:val="22"/>
                <w:szCs w:val="22"/>
              </w:rPr>
              <w:t xml:space="preserve"> paragraph</w:t>
            </w:r>
            <w:r w:rsidR="00255BBC">
              <w:rPr>
                <w:sz w:val="22"/>
                <w:szCs w:val="22"/>
              </w:rPr>
              <w:t>s</w:t>
            </w:r>
            <w:r>
              <w:rPr>
                <w:sz w:val="22"/>
                <w:szCs w:val="22"/>
              </w:rPr>
              <w:t xml:space="preserve"> is the view of Brenner and others that the essence of the need to regulate was in the ability of gene technologies to allow rapid changes across many dimensional scales.</w:t>
            </w:r>
            <w:r w:rsidR="00255BBC">
              <w:rPr>
                <w:sz w:val="22"/>
                <w:szCs w:val="22"/>
              </w:rPr>
              <w:t xml:space="preserve"> </w:t>
            </w:r>
            <w:r w:rsidR="0002177E">
              <w:rPr>
                <w:sz w:val="22"/>
                <w:szCs w:val="22"/>
              </w:rPr>
              <w:t>R</w:t>
            </w:r>
            <w:r w:rsidR="00255BBC">
              <w:rPr>
                <w:sz w:val="22"/>
                <w:szCs w:val="22"/>
              </w:rPr>
              <w:t xml:space="preserve">eported at the time was the fear of some scientific leaders, such as James Watson, Joshua Lederberg and David Baltimore, </w:t>
            </w:r>
            <w:r w:rsidR="00AA5C88">
              <w:rPr>
                <w:sz w:val="22"/>
                <w:szCs w:val="22"/>
              </w:rPr>
              <w:t>that without</w:t>
            </w:r>
            <w:r w:rsidR="00255BBC">
              <w:rPr>
                <w:sz w:val="22"/>
                <w:szCs w:val="22"/>
              </w:rPr>
              <w:t xml:space="preserve"> ‘self-governance’ a hypothetical bureaucracy </w:t>
            </w:r>
            <w:r w:rsidR="00AA5C88">
              <w:rPr>
                <w:sz w:val="22"/>
                <w:szCs w:val="22"/>
              </w:rPr>
              <w:t>would</w:t>
            </w:r>
            <w:r w:rsidR="00255BBC">
              <w:rPr>
                <w:sz w:val="22"/>
                <w:szCs w:val="22"/>
              </w:rPr>
              <w:t xml:space="preserve"> imposed governance. As Baltimore said at the time </w:t>
            </w:r>
            <w:r w:rsidR="00255BBC">
              <w:rPr>
                <w:sz w:val="22"/>
                <w:szCs w:val="22"/>
                <w:lang w:val="en-US"/>
              </w:rPr>
              <w:t>“</w:t>
            </w:r>
            <w:r w:rsidR="00255BBC" w:rsidRPr="00255BBC">
              <w:rPr>
                <w:sz w:val="22"/>
                <w:szCs w:val="22"/>
                <w:lang w:val="en-US"/>
              </w:rPr>
              <w:t>We have to do what we're doing.</w:t>
            </w:r>
            <w:r w:rsidR="00255BBC">
              <w:rPr>
                <w:sz w:val="22"/>
                <w:szCs w:val="22"/>
                <w:lang w:val="en-US"/>
              </w:rPr>
              <w:t xml:space="preserve"> </w:t>
            </w:r>
            <w:r w:rsidR="00255BBC" w:rsidRPr="00255BBC">
              <w:rPr>
                <w:sz w:val="22"/>
                <w:szCs w:val="22"/>
                <w:lang w:val="en-US"/>
              </w:rPr>
              <w:t>Otherwise someone else will come in</w:t>
            </w:r>
            <w:r w:rsidR="00255BBC">
              <w:rPr>
                <w:sz w:val="22"/>
                <w:szCs w:val="22"/>
                <w:lang w:val="en-US"/>
              </w:rPr>
              <w:t xml:space="preserve"> </w:t>
            </w:r>
            <w:r w:rsidR="00255BBC" w:rsidRPr="00255BBC">
              <w:rPr>
                <w:sz w:val="22"/>
                <w:szCs w:val="22"/>
                <w:lang w:val="en-US"/>
              </w:rPr>
              <w:t>and do it for us”</w:t>
            </w:r>
            <w:r w:rsidR="0002177E">
              <w:rPr>
                <w:sz w:val="22"/>
                <w:szCs w:val="22"/>
                <w:lang w:val="en-US"/>
              </w:rPr>
              <w:t xml:space="preserve"> </w:t>
            </w:r>
            <w:r w:rsidR="008F11B5">
              <w:rPr>
                <w:sz w:val="22"/>
                <w:szCs w:val="22"/>
              </w:rPr>
              <w:fldChar w:fldCharType="begin"/>
            </w:r>
            <w:r w:rsidR="008F11B5">
              <w:rPr>
                <w:sz w:val="22"/>
                <w:szCs w:val="22"/>
              </w:rPr>
              <w:instrText xml:space="preserve"> ADDIN EN.CITE &lt;EndNote&gt;&lt;Cite&gt;&lt;Author&gt;Russell&lt;/Author&gt;&lt;Year&gt;1975&lt;/Year&gt;&lt;RecNum&gt;243&lt;/RecNum&gt;&lt;DisplayText&gt;(Russell 1975)&lt;/DisplayText&gt;&lt;record&gt;&lt;rec-number&gt;243&lt;/rec-number&gt;&lt;foreign-keys&gt;&lt;key app="EN" db-id="2ttxesr272tsr3eexs7xt091astsx2z0dzw2" timestamp="1625540796"&gt;243&lt;/key&gt;&lt;/foreign-keys&gt;&lt;ref-type name="Journal Article"&gt;17&lt;/ref-type&gt;&lt;contributors&gt;&lt;authors&gt;&lt;author&gt;Russell, C.&lt;/author&gt;&lt;/authors&gt;&lt;/contributors&gt;&lt;titles&gt;&lt;title&gt;Recombinant DNA molecules: biologists draft genetic research guidelines&lt;/title&gt;&lt;secondary-title&gt;Bioscience&lt;/secondary-title&gt;&lt;alt-title&gt;Biosci&lt;/alt-title&gt;&lt;/titles&gt;&lt;periodical&gt;&lt;full-title&gt;Bioscience&lt;/full-title&gt;&lt;abbr-1&gt;Biosci&lt;/abbr-1&gt;&lt;/periodical&gt;&lt;alt-periodical&gt;&lt;full-title&gt;Bioscience&lt;/full-title&gt;&lt;abbr-1&gt;Biosci&lt;/abbr-1&gt;&lt;/alt-periodical&gt;&lt;pages&gt;237–240+277-278&lt;/pages&gt;&lt;volume&gt;25&lt;/volume&gt;&lt;dates&gt;&lt;year&gt;1975&lt;/year&gt;&lt;/dates&gt;&lt;urls&gt;&lt;related-urls&gt;&lt;url&gt;http://www.jstor.org/stable/1296986 .&lt;/url&gt;&lt;/related-urls&gt;&lt;/urls&gt;&lt;/record&gt;&lt;/Cite&gt;&lt;/EndNote&gt;</w:instrText>
            </w:r>
            <w:r w:rsidR="008F11B5">
              <w:rPr>
                <w:sz w:val="22"/>
                <w:szCs w:val="22"/>
              </w:rPr>
              <w:fldChar w:fldCharType="separate"/>
            </w:r>
            <w:r w:rsidR="008F11B5">
              <w:rPr>
                <w:noProof/>
                <w:sz w:val="22"/>
                <w:szCs w:val="22"/>
              </w:rPr>
              <w:t>(Russell 1975)</w:t>
            </w:r>
            <w:r w:rsidR="008F11B5">
              <w:rPr>
                <w:sz w:val="22"/>
                <w:szCs w:val="22"/>
              </w:rPr>
              <w:fldChar w:fldCharType="end"/>
            </w:r>
            <w:r w:rsidR="0002177E">
              <w:rPr>
                <w:sz w:val="22"/>
                <w:szCs w:val="22"/>
              </w:rPr>
              <w:t>.</w:t>
            </w:r>
            <w:r w:rsidR="00255BBC">
              <w:rPr>
                <w:sz w:val="22"/>
                <w:szCs w:val="22"/>
                <w:lang w:val="en-US"/>
              </w:rPr>
              <w:t xml:space="preserve"> This was not a reflective endorsement of the efficacy of self-governance, but instead as Lederberg put it, an attempt to avoid </w:t>
            </w:r>
            <w:r w:rsidR="00AA5C88">
              <w:rPr>
                <w:sz w:val="22"/>
                <w:szCs w:val="22"/>
                <w:lang w:val="en-US"/>
              </w:rPr>
              <w:t>even guidance</w:t>
            </w:r>
            <w:r w:rsidR="00255BBC">
              <w:rPr>
                <w:sz w:val="22"/>
                <w:szCs w:val="22"/>
                <w:lang w:val="en-US"/>
              </w:rPr>
              <w:t xml:space="preserve"> because </w:t>
            </w:r>
            <w:r w:rsidR="00AA5C88">
              <w:rPr>
                <w:sz w:val="22"/>
                <w:szCs w:val="22"/>
                <w:lang w:val="en-US"/>
              </w:rPr>
              <w:t>it</w:t>
            </w:r>
            <w:r w:rsidR="00255BBC">
              <w:rPr>
                <w:sz w:val="22"/>
                <w:szCs w:val="22"/>
                <w:lang w:val="en-US"/>
              </w:rPr>
              <w:t xml:space="preserve"> might become “</w:t>
            </w:r>
            <w:r w:rsidR="00255BBC" w:rsidRPr="00255BBC">
              <w:rPr>
                <w:sz w:val="22"/>
                <w:szCs w:val="22"/>
                <w:lang w:val="en-US"/>
              </w:rPr>
              <w:t>crystallized into</w:t>
            </w:r>
            <w:r w:rsidR="00255BBC">
              <w:rPr>
                <w:sz w:val="22"/>
                <w:szCs w:val="22"/>
                <w:lang w:val="en-US"/>
              </w:rPr>
              <w:t xml:space="preserve"> </w:t>
            </w:r>
            <w:r w:rsidR="00255BBC" w:rsidRPr="00255BBC">
              <w:rPr>
                <w:sz w:val="22"/>
                <w:szCs w:val="22"/>
                <w:lang w:val="en-US"/>
              </w:rPr>
              <w:t>legislation</w:t>
            </w:r>
            <w:r w:rsidR="00255BBC">
              <w:rPr>
                <w:sz w:val="22"/>
                <w:szCs w:val="22"/>
                <w:lang w:val="en-US"/>
              </w:rPr>
              <w:t>”</w:t>
            </w:r>
            <w:r w:rsidR="0002177E">
              <w:rPr>
                <w:sz w:val="22"/>
                <w:szCs w:val="22"/>
                <w:lang w:val="en-US"/>
              </w:rPr>
              <w:t xml:space="preserve"> </w:t>
            </w:r>
            <w:r w:rsidR="008F11B5">
              <w:rPr>
                <w:sz w:val="22"/>
                <w:szCs w:val="22"/>
              </w:rPr>
              <w:fldChar w:fldCharType="begin"/>
            </w:r>
            <w:r w:rsidR="008F11B5">
              <w:rPr>
                <w:sz w:val="22"/>
                <w:szCs w:val="22"/>
              </w:rPr>
              <w:instrText xml:space="preserve"> ADDIN EN.CITE &lt;EndNote&gt;&lt;Cite&gt;&lt;Author&gt;Russell&lt;/Author&gt;&lt;Year&gt;1975&lt;/Year&gt;&lt;RecNum&gt;243&lt;/RecNum&gt;&lt;DisplayText&gt;(Russell 1975)&lt;/DisplayText&gt;&lt;record&gt;&lt;rec-number&gt;243&lt;/rec-number&gt;&lt;foreign-keys&gt;&lt;key app="EN" db-id="2ttxesr272tsr3eexs7xt091astsx2z0dzw2" timestamp="1625540796"&gt;243&lt;/key&gt;&lt;/foreign-keys&gt;&lt;ref-type name="Journal Article"&gt;17&lt;/ref-type&gt;&lt;contributors&gt;&lt;authors&gt;&lt;author&gt;Russell, C.&lt;/author&gt;&lt;/authors&gt;&lt;/contributors&gt;&lt;titles&gt;&lt;title&gt;Recombinant DNA molecules: biologists draft genetic research guidelines&lt;/title&gt;&lt;secondary-title&gt;Bioscience&lt;/secondary-title&gt;&lt;alt-title&gt;Biosci&lt;/alt-title&gt;&lt;/titles&gt;&lt;periodical&gt;&lt;full-title&gt;Bioscience&lt;/full-title&gt;&lt;abbr-1&gt;Biosci&lt;/abbr-1&gt;&lt;/periodical&gt;&lt;alt-periodical&gt;&lt;full-title&gt;Bioscience&lt;/full-title&gt;&lt;abbr-1&gt;Biosci&lt;/abbr-1&gt;&lt;/alt-periodical&gt;&lt;pages&gt;237–240+277-278&lt;/pages&gt;&lt;volume&gt;25&lt;/volume&gt;&lt;dates&gt;&lt;year&gt;1975&lt;/year&gt;&lt;/dates&gt;&lt;urls&gt;&lt;related-urls&gt;&lt;url&gt;http://www.jstor.org/stable/1296986 .&lt;/url&gt;&lt;/related-urls&gt;&lt;/urls&gt;&lt;/record&gt;&lt;/Cite&gt;&lt;/EndNote&gt;</w:instrText>
            </w:r>
            <w:r w:rsidR="008F11B5">
              <w:rPr>
                <w:sz w:val="22"/>
                <w:szCs w:val="22"/>
              </w:rPr>
              <w:fldChar w:fldCharType="separate"/>
            </w:r>
            <w:r w:rsidR="008F11B5">
              <w:rPr>
                <w:noProof/>
                <w:sz w:val="22"/>
                <w:szCs w:val="22"/>
              </w:rPr>
              <w:t>(Russell 1975)</w:t>
            </w:r>
            <w:r w:rsidR="008F11B5">
              <w:rPr>
                <w:sz w:val="22"/>
                <w:szCs w:val="22"/>
              </w:rPr>
              <w:fldChar w:fldCharType="end"/>
            </w:r>
            <w:r w:rsidR="0002177E">
              <w:rPr>
                <w:sz w:val="22"/>
                <w:szCs w:val="22"/>
              </w:rPr>
              <w:t>.</w:t>
            </w:r>
          </w:p>
        </w:tc>
      </w:tr>
      <w:tr w:rsidR="0018076B" w:rsidRPr="00C658CD" w14:paraId="4BDDE5F3" w14:textId="77777777" w:rsidTr="00EC67E5">
        <w:trPr>
          <w:cantSplit/>
          <w:trHeight w:val="233"/>
        </w:trPr>
        <w:tc>
          <w:tcPr>
            <w:tcW w:w="1096" w:type="dxa"/>
          </w:tcPr>
          <w:p w14:paraId="0FA0578F" w14:textId="3F99F2DC" w:rsidR="0018076B" w:rsidRDefault="0002177E" w:rsidP="003B2908">
            <w:pPr>
              <w:spacing w:after="120"/>
              <w:rPr>
                <w:sz w:val="22"/>
                <w:szCs w:val="22"/>
              </w:rPr>
            </w:pPr>
            <w:r>
              <w:rPr>
                <w:sz w:val="22"/>
                <w:szCs w:val="22"/>
              </w:rPr>
              <w:lastRenderedPageBreak/>
              <w:t>72</w:t>
            </w:r>
          </w:p>
        </w:tc>
        <w:tc>
          <w:tcPr>
            <w:tcW w:w="1109" w:type="dxa"/>
          </w:tcPr>
          <w:p w14:paraId="154BCC8A" w14:textId="037D41BB" w:rsidR="0018076B" w:rsidRDefault="0002177E" w:rsidP="003B2908">
            <w:pPr>
              <w:spacing w:after="120"/>
              <w:rPr>
                <w:sz w:val="22"/>
                <w:szCs w:val="22"/>
              </w:rPr>
            </w:pPr>
            <w:r>
              <w:rPr>
                <w:sz w:val="22"/>
                <w:szCs w:val="22"/>
              </w:rPr>
              <w:t>7-37</w:t>
            </w:r>
          </w:p>
        </w:tc>
        <w:tc>
          <w:tcPr>
            <w:tcW w:w="7983" w:type="dxa"/>
            <w:gridSpan w:val="2"/>
          </w:tcPr>
          <w:p w14:paraId="17F27778" w14:textId="7D77E6A6" w:rsidR="0018076B" w:rsidRDefault="0002177E" w:rsidP="00255BBC">
            <w:pPr>
              <w:autoSpaceDE w:val="0"/>
              <w:autoSpaceDN w:val="0"/>
              <w:adjustRightInd w:val="0"/>
              <w:rPr>
                <w:sz w:val="22"/>
                <w:szCs w:val="22"/>
              </w:rPr>
            </w:pPr>
            <w:r>
              <w:rPr>
                <w:sz w:val="22"/>
                <w:szCs w:val="22"/>
              </w:rPr>
              <w:t>Is this a paid advertisement? Why doesn’t ETC get a nice explanatory endorsement too? What is the purpose of section 7.3.4?</w:t>
            </w:r>
            <w:r w:rsidR="00425E36">
              <w:rPr>
                <w:sz w:val="22"/>
                <w:szCs w:val="22"/>
              </w:rPr>
              <w:t xml:space="preserve"> If it is an attempt to illustrate spontaneous self-</w:t>
            </w:r>
            <w:r w:rsidR="00CA49DC">
              <w:rPr>
                <w:sz w:val="22"/>
                <w:szCs w:val="22"/>
              </w:rPr>
              <w:t>regulation</w:t>
            </w:r>
            <w:r w:rsidR="00425E36">
              <w:rPr>
                <w:sz w:val="22"/>
                <w:szCs w:val="22"/>
              </w:rPr>
              <w:t>, then it needs to have a research basis where its anticipated risk mitigation tactics have been independently verified and effectiveness thoroughly investigated.</w:t>
            </w:r>
          </w:p>
        </w:tc>
      </w:tr>
      <w:tr w:rsidR="0002177E" w:rsidRPr="00C658CD" w14:paraId="099FAC0C" w14:textId="77777777" w:rsidTr="00EC67E5">
        <w:trPr>
          <w:cantSplit/>
          <w:trHeight w:val="233"/>
        </w:trPr>
        <w:tc>
          <w:tcPr>
            <w:tcW w:w="1096" w:type="dxa"/>
          </w:tcPr>
          <w:p w14:paraId="1B4B3AC8" w14:textId="5B20ACDA" w:rsidR="0002177E" w:rsidRDefault="0002177E" w:rsidP="003B2908">
            <w:pPr>
              <w:spacing w:after="120"/>
              <w:rPr>
                <w:sz w:val="22"/>
                <w:szCs w:val="22"/>
              </w:rPr>
            </w:pPr>
            <w:r>
              <w:rPr>
                <w:sz w:val="22"/>
                <w:szCs w:val="22"/>
              </w:rPr>
              <w:t>72</w:t>
            </w:r>
          </w:p>
        </w:tc>
        <w:tc>
          <w:tcPr>
            <w:tcW w:w="1109" w:type="dxa"/>
          </w:tcPr>
          <w:p w14:paraId="301AC8C6" w14:textId="46F2C6C9" w:rsidR="0002177E" w:rsidRDefault="0002177E" w:rsidP="003B2908">
            <w:pPr>
              <w:spacing w:after="120"/>
              <w:rPr>
                <w:sz w:val="22"/>
                <w:szCs w:val="22"/>
              </w:rPr>
            </w:pPr>
            <w:r>
              <w:rPr>
                <w:sz w:val="22"/>
                <w:szCs w:val="22"/>
              </w:rPr>
              <w:t>13-15</w:t>
            </w:r>
          </w:p>
        </w:tc>
        <w:tc>
          <w:tcPr>
            <w:tcW w:w="7983" w:type="dxa"/>
            <w:gridSpan w:val="2"/>
          </w:tcPr>
          <w:p w14:paraId="0E951DAA" w14:textId="5C6C1EA9" w:rsidR="0002177E" w:rsidRDefault="0002177E" w:rsidP="00255BBC">
            <w:pPr>
              <w:autoSpaceDE w:val="0"/>
              <w:autoSpaceDN w:val="0"/>
              <w:adjustRightInd w:val="0"/>
              <w:rPr>
                <w:sz w:val="22"/>
                <w:szCs w:val="22"/>
              </w:rPr>
            </w:pPr>
            <w:r>
              <w:rPr>
                <w:sz w:val="22"/>
                <w:szCs w:val="22"/>
              </w:rPr>
              <w:t xml:space="preserve">Here is an example of the uncritical nature of this section. It describes a framework that already </w:t>
            </w:r>
            <w:r w:rsidRPr="0002177E">
              <w:rPr>
                <w:i/>
                <w:sz w:val="22"/>
                <w:szCs w:val="22"/>
              </w:rPr>
              <w:t>endorses</w:t>
            </w:r>
            <w:r>
              <w:rPr>
                <w:sz w:val="22"/>
                <w:szCs w:val="22"/>
              </w:rPr>
              <w:t xml:space="preserve"> a commercial-technological vision while cementing a view of risk narrowly defined by that described by a certain subset of technical experts </w:t>
            </w:r>
            <w:r w:rsidR="008F11B5">
              <w:rPr>
                <w:sz w:val="22"/>
                <w:szCs w:val="22"/>
              </w:rPr>
              <w:fldChar w:fldCharType="begin">
                <w:fldData xml:space="preserve">PEVuZE5vdGU+PENpdGU+PEF1dGhvcj5IZXJyZXJvPC9BdXRob3I+PFllYXI+MjAxNTwvWWVhcj48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</w:fldData>
              </w:fldChar>
            </w:r>
            <w:r w:rsidR="008F11B5">
              <w:rPr>
                <w:sz w:val="22"/>
                <w:szCs w:val="22"/>
              </w:rPr>
              <w:instrText xml:space="preserve"> ADDIN EN.CITE </w:instrText>
            </w:r>
            <w:r w:rsidR="008F11B5">
              <w:rPr>
                <w:sz w:val="22"/>
                <w:szCs w:val="22"/>
              </w:rPr>
              <w:fldChar w:fldCharType="begin">
                <w:fldData xml:space="preserve">PEVuZE5vdGU+PENpdGU+PEF1dGhvcj5IZXJyZXJvPC9BdXRob3I+PFllYXI+MjAxNTwvWWVhcj48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</w:fldData>
              </w:fldChar>
            </w:r>
            <w:r w:rsidR="008F11B5">
              <w:rPr>
                <w:sz w:val="22"/>
                <w:szCs w:val="22"/>
              </w:rPr>
              <w:instrText xml:space="preserve"> ADDIN EN.CITE.DATA </w:instrText>
            </w:r>
            <w:r w:rsidR="008F11B5">
              <w:rPr>
                <w:sz w:val="22"/>
                <w:szCs w:val="22"/>
              </w:rPr>
            </w:r>
            <w:r w:rsidR="008F11B5">
              <w:rPr>
                <w:sz w:val="22"/>
                <w:szCs w:val="22"/>
              </w:rPr>
              <w:fldChar w:fldCharType="end"/>
            </w:r>
            <w:r w:rsidR="008F11B5">
              <w:rPr>
                <w:sz w:val="22"/>
                <w:szCs w:val="22"/>
              </w:rPr>
              <w:fldChar w:fldCharType="separate"/>
            </w:r>
            <w:r w:rsidR="008F11B5">
              <w:rPr>
                <w:noProof/>
                <w:sz w:val="22"/>
                <w:szCs w:val="22"/>
              </w:rPr>
              <w:t>(Herrero et al. 2015; Montenegro de Wit 2020; Roberts et al. 2020)</w:t>
            </w:r>
            <w:r w:rsidR="008F11B5">
              <w:rPr>
                <w:sz w:val="22"/>
                <w:szCs w:val="22"/>
              </w:rPr>
              <w:fldChar w:fldCharType="end"/>
            </w:r>
            <w:r>
              <w:rPr>
                <w:sz w:val="22"/>
                <w:szCs w:val="22"/>
              </w:rPr>
              <w:t>.</w:t>
            </w:r>
          </w:p>
        </w:tc>
      </w:tr>
      <w:tr w:rsidR="00425E36" w:rsidRPr="00C658CD" w14:paraId="72CDC6CF" w14:textId="77777777" w:rsidTr="00EC67E5">
        <w:trPr>
          <w:cantSplit/>
          <w:trHeight w:val="233"/>
        </w:trPr>
        <w:tc>
          <w:tcPr>
            <w:tcW w:w="1096" w:type="dxa"/>
          </w:tcPr>
          <w:p w14:paraId="6A51A5B2" w14:textId="29246253" w:rsidR="00425E36" w:rsidRDefault="00425E36" w:rsidP="003B2908">
            <w:pPr>
              <w:spacing w:after="120"/>
              <w:rPr>
                <w:sz w:val="22"/>
                <w:szCs w:val="22"/>
              </w:rPr>
            </w:pPr>
            <w:r>
              <w:rPr>
                <w:sz w:val="22"/>
                <w:szCs w:val="22"/>
              </w:rPr>
              <w:t>73</w:t>
            </w:r>
          </w:p>
        </w:tc>
        <w:tc>
          <w:tcPr>
            <w:tcW w:w="1109" w:type="dxa"/>
          </w:tcPr>
          <w:p w14:paraId="594E8E5B" w14:textId="73DCD8F9" w:rsidR="00425E36" w:rsidRDefault="00425E36" w:rsidP="0042494D">
            <w:pPr>
              <w:spacing w:after="120"/>
              <w:rPr>
                <w:sz w:val="22"/>
                <w:szCs w:val="22"/>
              </w:rPr>
            </w:pPr>
            <w:r>
              <w:rPr>
                <w:sz w:val="22"/>
                <w:szCs w:val="22"/>
              </w:rPr>
              <w:t>8-10</w:t>
            </w:r>
          </w:p>
        </w:tc>
        <w:tc>
          <w:tcPr>
            <w:tcW w:w="7983" w:type="dxa"/>
            <w:gridSpan w:val="2"/>
          </w:tcPr>
          <w:p w14:paraId="6E08FF4A" w14:textId="77777777" w:rsidR="00425E36" w:rsidRDefault="00425E36" w:rsidP="0042494D">
            <w:pPr>
              <w:autoSpaceDE w:val="0"/>
              <w:autoSpaceDN w:val="0"/>
              <w:adjustRightInd w:val="0"/>
              <w:spacing w:after="120"/>
              <w:rPr>
                <w:sz w:val="22"/>
                <w:szCs w:val="22"/>
              </w:rPr>
            </w:pPr>
            <w:r>
              <w:rPr>
                <w:sz w:val="22"/>
                <w:szCs w:val="22"/>
              </w:rPr>
              <w:t>This single publication is insufficient to justify the conclusion that regulatory hurdles are the more important barrier to “pro poor” technology. The view is highly contested and there are numerous papers on either side. This paragraph is highly leading.</w:t>
            </w:r>
          </w:p>
          <w:p w14:paraId="35B81A17" w14:textId="0B58C34F" w:rsidR="00425E36" w:rsidRDefault="00450939" w:rsidP="0042494D">
            <w:pPr>
              <w:autoSpaceDE w:val="0"/>
              <w:autoSpaceDN w:val="0"/>
              <w:adjustRightInd w:val="0"/>
              <w:spacing w:after="120"/>
              <w:rPr>
                <w:sz w:val="22"/>
                <w:szCs w:val="22"/>
              </w:rPr>
            </w:pPr>
            <w:r>
              <w:rPr>
                <w:sz w:val="22"/>
                <w:szCs w:val="22"/>
              </w:rPr>
              <w:t>E</w:t>
            </w:r>
            <w:r w:rsidR="00425E36">
              <w:rPr>
                <w:sz w:val="22"/>
                <w:szCs w:val="22"/>
              </w:rPr>
              <w:t>ven the AHTEG does not believe it as they point the finger to IP costs in lines 44-46 as being substantial.</w:t>
            </w:r>
            <w:r w:rsidR="0016752A">
              <w:rPr>
                <w:sz w:val="22"/>
                <w:szCs w:val="22"/>
              </w:rPr>
              <w:t xml:space="preserve"> However, here all that is being accounted for is patent registration fees. These are the smallest costs of IP. The much larger costs come from defending claims</w:t>
            </w:r>
            <w:r w:rsidR="0042494D">
              <w:rPr>
                <w:sz w:val="22"/>
                <w:szCs w:val="22"/>
              </w:rPr>
              <w:t xml:space="preserve">. Therefore, when a true accounting of IP costs is made, it will both undermine the statement in lines 8-10 and dwarf the </w:t>
            </w:r>
            <w:r w:rsidR="00920346">
              <w:rPr>
                <w:sz w:val="22"/>
                <w:szCs w:val="22"/>
              </w:rPr>
              <w:t>figure stated</w:t>
            </w:r>
            <w:r w:rsidR="0042494D">
              <w:rPr>
                <w:sz w:val="22"/>
                <w:szCs w:val="22"/>
              </w:rPr>
              <w:t xml:space="preserve"> in lines 44-46.</w:t>
            </w:r>
          </w:p>
        </w:tc>
      </w:tr>
      <w:tr w:rsidR="0042494D" w:rsidRPr="00C658CD" w14:paraId="10964FBD" w14:textId="77777777" w:rsidTr="00EC67E5">
        <w:trPr>
          <w:cantSplit/>
          <w:trHeight w:val="233"/>
        </w:trPr>
        <w:tc>
          <w:tcPr>
            <w:tcW w:w="1096" w:type="dxa"/>
          </w:tcPr>
          <w:p w14:paraId="6AEBB3FB" w14:textId="663CFEB2" w:rsidR="0042494D" w:rsidRDefault="0042494D" w:rsidP="003B2908">
            <w:pPr>
              <w:spacing w:after="120"/>
              <w:rPr>
                <w:sz w:val="22"/>
                <w:szCs w:val="22"/>
              </w:rPr>
            </w:pPr>
            <w:r>
              <w:rPr>
                <w:sz w:val="22"/>
                <w:szCs w:val="22"/>
              </w:rPr>
              <w:t>86</w:t>
            </w:r>
          </w:p>
        </w:tc>
        <w:tc>
          <w:tcPr>
            <w:tcW w:w="1109" w:type="dxa"/>
          </w:tcPr>
          <w:p w14:paraId="6F64A2E3" w14:textId="4E5F8186" w:rsidR="0042494D" w:rsidRDefault="0042494D" w:rsidP="0042494D">
            <w:pPr>
              <w:spacing w:after="120"/>
              <w:rPr>
                <w:sz w:val="22"/>
                <w:szCs w:val="22"/>
              </w:rPr>
            </w:pPr>
            <w:r>
              <w:rPr>
                <w:sz w:val="22"/>
                <w:szCs w:val="22"/>
              </w:rPr>
              <w:t>1-4</w:t>
            </w:r>
          </w:p>
        </w:tc>
        <w:tc>
          <w:tcPr>
            <w:tcW w:w="7983" w:type="dxa"/>
            <w:gridSpan w:val="2"/>
          </w:tcPr>
          <w:p w14:paraId="3AD883D2" w14:textId="6B76042D" w:rsidR="0042494D" w:rsidRDefault="0042494D" w:rsidP="0042494D">
            <w:pPr>
              <w:autoSpaceDE w:val="0"/>
              <w:autoSpaceDN w:val="0"/>
              <w:adjustRightInd w:val="0"/>
              <w:spacing w:after="120"/>
              <w:rPr>
                <w:sz w:val="22"/>
                <w:szCs w:val="22"/>
              </w:rPr>
            </w:pPr>
            <w:r w:rsidRPr="00450939">
              <w:rPr>
                <w:i/>
                <w:sz w:val="22"/>
                <w:szCs w:val="22"/>
              </w:rPr>
              <w:t>It is more than</w:t>
            </w:r>
            <w:r>
              <w:rPr>
                <w:sz w:val="22"/>
                <w:szCs w:val="22"/>
              </w:rPr>
              <w:t xml:space="preserve"> </w:t>
            </w:r>
            <w:r w:rsidR="00450939">
              <w:rPr>
                <w:sz w:val="22"/>
                <w:szCs w:val="22"/>
              </w:rPr>
              <w:t>“</w:t>
            </w:r>
            <w:r w:rsidRPr="00450939">
              <w:rPr>
                <w:sz w:val="22"/>
                <w:szCs w:val="22"/>
              </w:rPr>
              <w:t>modifications</w:t>
            </w:r>
            <w:r w:rsidR="00450939">
              <w:rPr>
                <w:sz w:val="22"/>
                <w:szCs w:val="22"/>
              </w:rPr>
              <w:t xml:space="preserve"> </w:t>
            </w:r>
            <w:r>
              <w:rPr>
                <w:sz w:val="22"/>
                <w:szCs w:val="22"/>
              </w:rPr>
              <w:t xml:space="preserve">that would not otherwise naturally arise”. The point is that they would not occur in nature without the assistance of the technology to design, create and </w:t>
            </w:r>
            <w:r w:rsidRPr="00450939">
              <w:rPr>
                <w:i/>
                <w:sz w:val="22"/>
                <w:szCs w:val="22"/>
              </w:rPr>
              <w:t>amplify them to a scale that can cause harm</w:t>
            </w:r>
            <w:r>
              <w:rPr>
                <w:sz w:val="22"/>
                <w:szCs w:val="22"/>
              </w:rPr>
              <w:t xml:space="preserve">. For something to occur in nature requires </w:t>
            </w:r>
            <w:r w:rsidRPr="00450939">
              <w:rPr>
                <w:b/>
                <w:sz w:val="22"/>
                <w:szCs w:val="22"/>
              </w:rPr>
              <w:t>more than mutation</w:t>
            </w:r>
            <w:r>
              <w:rPr>
                <w:sz w:val="22"/>
                <w:szCs w:val="22"/>
              </w:rPr>
              <w:t xml:space="preserve">. Despite the genetic deterministic fantasies of X-men and Superman, mutation is not evolution. What occurs in nature requires both mutagenesis to provide variation, and natural selection (in the case of humans, technology) to act on the variation to increase the proportion of some genotypes relative to others. It does not matter for a governance framework whether or not a dangerous phenotype could be caused by the same mutation occurring spontaneously (naturally arise) or through gene technology if the former was never fit enough to increase to numbers that caused harm </w:t>
            </w:r>
            <w:r w:rsidR="008F11B5">
              <w:rPr>
                <w:sz w:val="22"/>
                <w:szCs w:val="22"/>
              </w:rPr>
              <w:fldChar w:fldCharType="begin"/>
            </w:r>
            <w:r w:rsidR="008F11B5">
              <w:rPr>
                <w:sz w:val="22"/>
                <w:szCs w:val="22"/>
              </w:rPr>
              <w:instrText xml:space="preserve"> ADDIN EN.CITE &lt;EndNote&gt;&lt;Cite&gt;&lt;Author&gt;Heinemann&lt;/Author&gt;&lt;Year&gt;2021&lt;/Year&gt;&lt;RecNum&gt;241&lt;/RecNum&gt;&lt;DisplayText&gt;(Heinemann et al. 2021)&lt;/DisplayText&gt;&lt;record&gt;&lt;rec-number&gt;241&lt;/rec-number&gt;&lt;foreign-keys&gt;&lt;key app="EN" db-id="2ttxesr272tsr3eexs7xt091astsx2z0dzw2" timestamp="1615883687"&gt;241&lt;/key&gt;&lt;/foreign-keys&gt;&lt;ref-type name="Journal Article"&gt;17&lt;/ref-type&gt;&lt;contributors&gt;&lt;authors&gt;&lt;author&gt;Heinemann, Jack A.&lt;/author&gt;&lt;author&gt;Paull, Deborah J.&lt;/author&gt;&lt;author&gt;Walker, Sophie&lt;/author&gt;&lt;author&gt;Kurenbach, Brigitta&lt;/author&gt;&lt;/authors&gt;&lt;/contributors&gt;&lt;titles&gt;&lt;title&gt;Differentiated impacts of human interventions on nature: Scaling the conversation on regulation of gene technologies&lt;/title&gt;&lt;secondary-title&gt;Elementa: Science of the Anthropocene&lt;/secondary-title&gt;&lt;alt-title&gt;Elem Sci Anth&lt;/alt-title&gt;&lt;/titles&gt;&lt;alt-periodical&gt;&lt;full-title&gt;Elem Sci Anth&lt;/full-title&gt;&lt;abbr-1&gt;Elem Sci Anth&lt;/abbr-1&gt;&lt;/alt-periodical&gt;&lt;volume&gt;9&lt;/volume&gt;&lt;number&gt;1&lt;/number&gt;&lt;dates&gt;&lt;year&gt;2021&lt;/year&gt;&lt;/dates&gt;&lt;isbn&gt;2325-1026&lt;/isbn&gt;&lt;urls&gt;&lt;related-urls&gt;&lt;url&gt;https://doi.org/10.1525/elementa.2021.00086&lt;/url&gt;&lt;/related-urls&gt;&lt;/urls&gt;&lt;custom1&gt;00086&lt;/custom1&gt;&lt;electronic-resource-num&gt;10.1525/elementa.2021.00086&lt;/electronic-resource-num&gt;&lt;access-date&gt;3/16/2021&lt;/access-date&gt;&lt;/record&gt;&lt;/Cite&gt;&lt;/EndNote&gt;</w:instrText>
            </w:r>
            <w:r w:rsidR="008F11B5">
              <w:rPr>
                <w:sz w:val="22"/>
                <w:szCs w:val="22"/>
              </w:rPr>
              <w:fldChar w:fldCharType="separate"/>
            </w:r>
            <w:r w:rsidR="008F11B5">
              <w:rPr>
                <w:noProof/>
                <w:sz w:val="22"/>
                <w:szCs w:val="22"/>
              </w:rPr>
              <w:t>(Heinemann et al. 2021)</w:t>
            </w:r>
            <w:r w:rsidR="008F11B5">
              <w:rPr>
                <w:sz w:val="22"/>
                <w:szCs w:val="22"/>
              </w:rPr>
              <w:fldChar w:fldCharType="end"/>
            </w:r>
            <w:r>
              <w:rPr>
                <w:sz w:val="22"/>
                <w:szCs w:val="22"/>
              </w:rPr>
              <w:t>.</w:t>
            </w:r>
          </w:p>
          <w:p w14:paraId="02C9BE4D" w14:textId="53687DD6" w:rsidR="00920346" w:rsidRDefault="00920346" w:rsidP="0042494D">
            <w:pPr>
              <w:autoSpaceDE w:val="0"/>
              <w:autoSpaceDN w:val="0"/>
              <w:adjustRightInd w:val="0"/>
              <w:spacing w:after="120"/>
              <w:rPr>
                <w:sz w:val="22"/>
                <w:szCs w:val="22"/>
              </w:rPr>
            </w:pPr>
            <w:r>
              <w:rPr>
                <w:sz w:val="22"/>
                <w:szCs w:val="22"/>
              </w:rPr>
              <w:t xml:space="preserve">This </w:t>
            </w:r>
            <w:r w:rsidR="007645EB">
              <w:rPr>
                <w:sz w:val="22"/>
                <w:szCs w:val="22"/>
              </w:rPr>
              <w:t>mistake</w:t>
            </w:r>
            <w:r>
              <w:rPr>
                <w:sz w:val="22"/>
                <w:szCs w:val="22"/>
              </w:rPr>
              <w:t xml:space="preserve"> </w:t>
            </w:r>
            <w:r w:rsidR="007645EB">
              <w:rPr>
                <w:sz w:val="22"/>
                <w:szCs w:val="22"/>
              </w:rPr>
              <w:t>of failing to</w:t>
            </w:r>
            <w:r>
              <w:rPr>
                <w:sz w:val="22"/>
                <w:szCs w:val="22"/>
              </w:rPr>
              <w:t xml:space="preserve"> differentiate between mutagenesis and evolution as the baseline </w:t>
            </w:r>
            <w:r w:rsidR="007645EB">
              <w:rPr>
                <w:sz w:val="22"/>
                <w:szCs w:val="22"/>
              </w:rPr>
              <w:t>metaphor</w:t>
            </w:r>
            <w:r>
              <w:rPr>
                <w:sz w:val="22"/>
                <w:szCs w:val="22"/>
              </w:rPr>
              <w:t xml:space="preserve"> is being made with frightening frequency. In fact, it is occurring so often it could be said to be evolving.</w:t>
            </w:r>
          </w:p>
        </w:tc>
      </w:tr>
    </w:tbl>
    <w:p w14:paraId="6E675E30" w14:textId="77777777" w:rsidR="00593BC6" w:rsidRDefault="00593BC6" w:rsidP="00EA64E7">
      <w:pPr>
        <w:tabs>
          <w:tab w:val="left" w:pos="7020"/>
        </w:tabs>
        <w:spacing w:after="120"/>
        <w:ind w:right="44"/>
        <w:jc w:val="both"/>
        <w:rPr>
          <w:szCs w:val="22"/>
        </w:rPr>
      </w:pPr>
    </w:p>
    <w:p w14:paraId="0E955578" w14:textId="77777777" w:rsidR="00593BC6" w:rsidRDefault="00593BC6" w:rsidP="00EA64E7">
      <w:pPr>
        <w:tabs>
          <w:tab w:val="left" w:pos="7020"/>
        </w:tabs>
        <w:spacing w:after="120"/>
        <w:ind w:right="44"/>
        <w:jc w:val="both"/>
        <w:rPr>
          <w:szCs w:val="22"/>
        </w:rPr>
      </w:pPr>
    </w:p>
    <w:p w14:paraId="11FCA427" w14:textId="77777777" w:rsidR="00593BC6" w:rsidRDefault="00593BC6" w:rsidP="00EA64E7">
      <w:pPr>
        <w:tabs>
          <w:tab w:val="left" w:pos="7020"/>
        </w:tabs>
        <w:spacing w:after="120"/>
        <w:ind w:right="44"/>
        <w:jc w:val="both"/>
        <w:rPr>
          <w:szCs w:val="22"/>
        </w:rPr>
      </w:pPr>
    </w:p>
    <w:p w14:paraId="584AE925" w14:textId="77777777" w:rsidR="008F11B5" w:rsidRDefault="00593BC6" w:rsidP="00EA64E7">
      <w:pPr>
        <w:pStyle w:val="Footer"/>
        <w:spacing w:after="120"/>
        <w:jc w:val="center"/>
        <w:rPr>
          <w:sz w:val="22"/>
          <w:szCs w:val="22"/>
          <w:lang w:val="en-CA"/>
        </w:rPr>
      </w:pPr>
      <w:r w:rsidRPr="00C658CD">
        <w:rPr>
          <w:sz w:val="22"/>
          <w:szCs w:val="22"/>
          <w:lang w:val="en-CA"/>
        </w:rPr>
        <w:t xml:space="preserve">Please submit your comments to </w:t>
      </w:r>
      <w:hyperlink r:id="rId7" w:history="1">
        <w:r w:rsidRPr="00C658CD">
          <w:rPr>
            <w:rStyle w:val="Hyperlink"/>
            <w:sz w:val="22"/>
            <w:szCs w:val="22"/>
            <w:lang w:val="en-CA"/>
          </w:rPr>
          <w:t>secretariat@cbd.int</w:t>
        </w:r>
      </w:hyperlink>
      <w:r w:rsidRPr="00C658CD">
        <w:rPr>
          <w:sz w:val="22"/>
          <w:szCs w:val="22"/>
          <w:lang w:val="en-CA"/>
        </w:rPr>
        <w:t>.</w:t>
      </w:r>
    </w:p>
    <w:p w14:paraId="23805EFE" w14:textId="77777777" w:rsidR="008F11B5" w:rsidRDefault="008F11B5" w:rsidP="00EA64E7">
      <w:pPr>
        <w:pStyle w:val="Footer"/>
        <w:spacing w:after="120"/>
        <w:jc w:val="center"/>
        <w:rPr>
          <w:sz w:val="22"/>
          <w:szCs w:val="22"/>
          <w:lang w:val="en-CA"/>
        </w:rPr>
      </w:pPr>
    </w:p>
    <w:p w14:paraId="5A6AEF1C" w14:textId="77777777" w:rsidR="008F11B5" w:rsidRPr="008F11B5" w:rsidRDefault="008F11B5" w:rsidP="008F11B5">
      <w:pPr>
        <w:pStyle w:val="EndNoteBibliography"/>
        <w:ind w:left="720" w:hanging="720"/>
        <w:jc w:val="left"/>
        <w:rPr>
          <w:noProof/>
        </w:rPr>
      </w:pPr>
      <w:r>
        <w:fldChar w:fldCharType="begin"/>
      </w:r>
      <w:r>
        <w:instrText xml:space="preserve"> ADDIN EN.REFLIST </w:instrText>
      </w:r>
      <w:r>
        <w:fldChar w:fldCharType="separate"/>
      </w:r>
      <w:r w:rsidRPr="008F11B5">
        <w:rPr>
          <w:noProof/>
        </w:rPr>
        <w:t>Heinemann, J.A. Should dsRNA treatments applied in outdoor environments be regulated? Environ Int 2019;132:104856</w:t>
      </w:r>
    </w:p>
    <w:p w14:paraId="0E3EE1CF" w14:textId="77777777" w:rsidR="008F11B5" w:rsidRPr="008F11B5" w:rsidRDefault="008F11B5" w:rsidP="008F11B5">
      <w:pPr>
        <w:pStyle w:val="EndNoteBibliography"/>
        <w:ind w:left="720" w:hanging="720"/>
        <w:jc w:val="left"/>
        <w:rPr>
          <w:noProof/>
        </w:rPr>
      </w:pPr>
      <w:r w:rsidRPr="008F11B5">
        <w:rPr>
          <w:noProof/>
        </w:rPr>
        <w:t>Heinemann, J.A.; Paull, D.J.; Walker, S.; Kurenbach, B. Differentiated impacts of human interventions on nature: Scaling the conversation on regulation of gene technologies. Elem Sci Anth 2021;9</w:t>
      </w:r>
    </w:p>
    <w:p w14:paraId="710828B3" w14:textId="77777777" w:rsidR="008F11B5" w:rsidRPr="008F11B5" w:rsidRDefault="008F11B5" w:rsidP="008F11B5">
      <w:pPr>
        <w:pStyle w:val="EndNoteBibliography"/>
        <w:ind w:left="720" w:hanging="720"/>
        <w:jc w:val="left"/>
        <w:rPr>
          <w:noProof/>
        </w:rPr>
      </w:pPr>
      <w:r w:rsidRPr="008F11B5">
        <w:rPr>
          <w:noProof/>
        </w:rPr>
        <w:t>Heinemann, J.A.; Walker, S. Environmentally applied nucleic acids and proteins for purposes of engineering changes to genes and other genetic material. Biosafety Health 2019;1:113-123</w:t>
      </w:r>
    </w:p>
    <w:p w14:paraId="7F50007A" w14:textId="77777777" w:rsidR="008F11B5" w:rsidRPr="008F11B5" w:rsidRDefault="008F11B5" w:rsidP="008F11B5">
      <w:pPr>
        <w:pStyle w:val="EndNoteBibliography"/>
        <w:ind w:left="720" w:hanging="720"/>
        <w:jc w:val="left"/>
        <w:rPr>
          <w:noProof/>
        </w:rPr>
      </w:pPr>
      <w:r w:rsidRPr="008F11B5">
        <w:rPr>
          <w:noProof/>
        </w:rPr>
        <w:t>Herrero, A.; Wickson, F.; Binimelis, R. Seeing GMOs from a systems perspective: the need for comparative cartographies of agri/cultures for sustainability assessment. Sustainability 2015;7:11321-11344</w:t>
      </w:r>
    </w:p>
    <w:p w14:paraId="72DFA472" w14:textId="77777777" w:rsidR="008F11B5" w:rsidRPr="008F11B5" w:rsidRDefault="008F11B5" w:rsidP="008F11B5">
      <w:pPr>
        <w:pStyle w:val="EndNoteBibliography"/>
        <w:ind w:left="720" w:hanging="720"/>
        <w:jc w:val="left"/>
        <w:rPr>
          <w:noProof/>
        </w:rPr>
      </w:pPr>
      <w:r w:rsidRPr="008F11B5">
        <w:rPr>
          <w:noProof/>
        </w:rPr>
        <w:lastRenderedPageBreak/>
        <w:t>Montenegro de Wit, M. Democratizing CRISPR? Stories, practices, and politics of science and governance on the agricultural gene editing frontier. Elem Sci Anth 2020;8:9</w:t>
      </w:r>
    </w:p>
    <w:p w14:paraId="5FA1AD41" w14:textId="77777777" w:rsidR="008F11B5" w:rsidRPr="008F11B5" w:rsidRDefault="008F11B5" w:rsidP="008F11B5">
      <w:pPr>
        <w:pStyle w:val="EndNoteBibliography"/>
        <w:ind w:left="720" w:hanging="720"/>
        <w:jc w:val="left"/>
        <w:rPr>
          <w:noProof/>
        </w:rPr>
      </w:pPr>
      <w:r w:rsidRPr="008F11B5">
        <w:rPr>
          <w:noProof/>
        </w:rPr>
        <w:t>Roberts, P.; Herkert, J.; Kuzma, J. Responsible innovation in biotechnology: stakeholder attitudes and implications for research policy. Elem Sci Anth 2020;8:47</w:t>
      </w:r>
    </w:p>
    <w:p w14:paraId="55DC3BFB" w14:textId="77777777" w:rsidR="008F11B5" w:rsidRPr="008F11B5" w:rsidRDefault="008F11B5" w:rsidP="008F11B5">
      <w:pPr>
        <w:pStyle w:val="EndNoteBibliography"/>
        <w:ind w:left="720" w:hanging="720"/>
        <w:jc w:val="left"/>
        <w:rPr>
          <w:noProof/>
        </w:rPr>
      </w:pPr>
      <w:r w:rsidRPr="008F11B5">
        <w:rPr>
          <w:noProof/>
        </w:rPr>
        <w:t>Russell, C. Recombinant DNA molecules: biologists draft genetic research guidelines. Biosci 1975;25:237–240+277-278</w:t>
      </w:r>
    </w:p>
    <w:p w14:paraId="2432318E" w14:textId="58808787" w:rsidR="004D6145" w:rsidRPr="00593BC6" w:rsidRDefault="008F11B5" w:rsidP="008F11B5">
      <w:pPr>
        <w:pStyle w:val="Footer"/>
        <w:spacing w:after="120"/>
        <w:rPr>
          <w:lang w:val="en-CA"/>
        </w:rPr>
      </w:pPr>
      <w:r>
        <w:rPr>
          <w:lang w:val="en-CA"/>
        </w:rPr>
        <w:fldChar w:fldCharType="end"/>
      </w:r>
      <w:bookmarkStart w:id="0" w:name="_GoBack"/>
      <w:bookmarkEnd w:id="0"/>
    </w:p>
    <w:sectPr w:rsidR="004D6145" w:rsidRPr="00593BC6" w:rsidSect="00EA105F">
      <w:headerReference w:type="first" r:id="rId8"/>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DAF9" w14:textId="77777777" w:rsidR="0039441A" w:rsidRDefault="0039441A" w:rsidP="00593BC6">
      <w:r>
        <w:separator/>
      </w:r>
    </w:p>
  </w:endnote>
  <w:endnote w:type="continuationSeparator" w:id="0">
    <w:p w14:paraId="2C83D1F7" w14:textId="77777777" w:rsidR="0039441A" w:rsidRDefault="0039441A"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5C47" w14:textId="77777777" w:rsidR="0039441A" w:rsidRDefault="0039441A" w:rsidP="00593BC6">
      <w:r>
        <w:separator/>
      </w:r>
    </w:p>
  </w:footnote>
  <w:footnote w:type="continuationSeparator" w:id="0">
    <w:p w14:paraId="18A253D4" w14:textId="77777777" w:rsidR="0039441A" w:rsidRDefault="0039441A" w:rsidP="0059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B4B2A"/>
    <w:multiLevelType w:val="hybridMultilevel"/>
    <w:tmpl w:val="AFACDB3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 w15:restartNumberingAfterBreak="0">
    <w:nsid w:val="58FC03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93404C"/>
    <w:multiLevelType w:val="hybridMultilevel"/>
    <w:tmpl w:val="47C922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Environment Intl modifi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txesr272tsr3eexs7xt091astsx2z0dzw2&quot;&gt;New Techniques Library-Converted&lt;record-ids&gt;&lt;item&gt;85&lt;/item&gt;&lt;item&gt;118&lt;/item&gt;&lt;item&gt;230&lt;/item&gt;&lt;item&gt;231&lt;/item&gt;&lt;item&gt;232&lt;/item&gt;&lt;item&gt;241&lt;/item&gt;&lt;item&gt;243&lt;/item&gt;&lt;/record-ids&gt;&lt;/item&gt;&lt;/Libraries&gt;"/>
  </w:docVars>
  <w:rsids>
    <w:rsidRoot w:val="00593BC6"/>
    <w:rsid w:val="0002177E"/>
    <w:rsid w:val="00054613"/>
    <w:rsid w:val="00091F4D"/>
    <w:rsid w:val="000A54FC"/>
    <w:rsid w:val="000E2E07"/>
    <w:rsid w:val="00135D96"/>
    <w:rsid w:val="0016752A"/>
    <w:rsid w:val="0018076B"/>
    <w:rsid w:val="001C2204"/>
    <w:rsid w:val="0024383F"/>
    <w:rsid w:val="00255BBC"/>
    <w:rsid w:val="00280F5C"/>
    <w:rsid w:val="00293F84"/>
    <w:rsid w:val="0032155A"/>
    <w:rsid w:val="00363EF2"/>
    <w:rsid w:val="003925B2"/>
    <w:rsid w:val="00393449"/>
    <w:rsid w:val="0039441A"/>
    <w:rsid w:val="003B2908"/>
    <w:rsid w:val="003C5737"/>
    <w:rsid w:val="003D6164"/>
    <w:rsid w:val="0042494D"/>
    <w:rsid w:val="00425E36"/>
    <w:rsid w:val="00430349"/>
    <w:rsid w:val="00450939"/>
    <w:rsid w:val="004B6042"/>
    <w:rsid w:val="004C1790"/>
    <w:rsid w:val="004D6145"/>
    <w:rsid w:val="004E426F"/>
    <w:rsid w:val="00524BE0"/>
    <w:rsid w:val="005411E6"/>
    <w:rsid w:val="005757E4"/>
    <w:rsid w:val="00593BC6"/>
    <w:rsid w:val="00594E31"/>
    <w:rsid w:val="005C4C24"/>
    <w:rsid w:val="00652D1D"/>
    <w:rsid w:val="00661020"/>
    <w:rsid w:val="00670409"/>
    <w:rsid w:val="00735FF1"/>
    <w:rsid w:val="007645EB"/>
    <w:rsid w:val="00780EC4"/>
    <w:rsid w:val="007F48F7"/>
    <w:rsid w:val="00816D46"/>
    <w:rsid w:val="00854B69"/>
    <w:rsid w:val="00872EB7"/>
    <w:rsid w:val="008C05B8"/>
    <w:rsid w:val="008F11B5"/>
    <w:rsid w:val="00920346"/>
    <w:rsid w:val="00991F51"/>
    <w:rsid w:val="009D6461"/>
    <w:rsid w:val="00A05BE6"/>
    <w:rsid w:val="00A126C5"/>
    <w:rsid w:val="00A36F22"/>
    <w:rsid w:val="00A545C6"/>
    <w:rsid w:val="00AA5C88"/>
    <w:rsid w:val="00AD22DE"/>
    <w:rsid w:val="00B30682"/>
    <w:rsid w:val="00B373CC"/>
    <w:rsid w:val="00B662B0"/>
    <w:rsid w:val="00B87953"/>
    <w:rsid w:val="00B9552D"/>
    <w:rsid w:val="00BB14D8"/>
    <w:rsid w:val="00BD5D26"/>
    <w:rsid w:val="00BD647F"/>
    <w:rsid w:val="00C33566"/>
    <w:rsid w:val="00CA49DC"/>
    <w:rsid w:val="00D60758"/>
    <w:rsid w:val="00D854C6"/>
    <w:rsid w:val="00D97576"/>
    <w:rsid w:val="00DC756C"/>
    <w:rsid w:val="00DD4F55"/>
    <w:rsid w:val="00E227B2"/>
    <w:rsid w:val="00E71500"/>
    <w:rsid w:val="00E77533"/>
    <w:rsid w:val="00EA105F"/>
    <w:rsid w:val="00EA64E7"/>
    <w:rsid w:val="00EC67E5"/>
    <w:rsid w:val="00ED7EEB"/>
    <w:rsid w:val="00EE0418"/>
    <w:rsid w:val="00EF27E3"/>
    <w:rsid w:val="00F73C17"/>
    <w:rsid w:val="00F754C0"/>
    <w:rsid w:val="00F8658F"/>
    <w:rsid w:val="00F86F63"/>
    <w:rsid w:val="00F94D0C"/>
    <w:rsid w:val="00FB07C1"/>
    <w:rsid w:val="00FB1BA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3D6164"/>
    <w:rPr>
      <w:sz w:val="20"/>
      <w:szCs w:val="20"/>
    </w:rPr>
  </w:style>
  <w:style w:type="character" w:customStyle="1" w:styleId="FootnoteTextChar">
    <w:name w:val="Footnote Text Char"/>
    <w:basedOn w:val="DefaultParagraphFont"/>
    <w:link w:val="FootnoteText"/>
    <w:uiPriority w:val="99"/>
    <w:semiHidden/>
    <w:rsid w:val="003D6164"/>
    <w:rPr>
      <w:rFonts w:ascii="Times New Roman" w:eastAsia="Times New Roman" w:hAnsi="Times New Roman"/>
      <w:lang w:val="en-GB"/>
    </w:rPr>
  </w:style>
  <w:style w:type="character" w:styleId="FootnoteReference">
    <w:name w:val="footnote reference"/>
    <w:rsid w:val="003D6164"/>
    <w:rPr>
      <w:vertAlign w:val="superscript"/>
    </w:rPr>
  </w:style>
  <w:style w:type="paragraph" w:customStyle="1" w:styleId="EndNoteBibliographyTitle">
    <w:name w:val="EndNote Bibliography Title"/>
    <w:basedOn w:val="Normal"/>
    <w:link w:val="EndNoteBibliographyTitleChar"/>
    <w:rsid w:val="008F11B5"/>
    <w:pPr>
      <w:jc w:val="center"/>
    </w:pPr>
    <w:rPr>
      <w:lang w:val="en-CA"/>
    </w:rPr>
  </w:style>
  <w:style w:type="character" w:customStyle="1" w:styleId="EndNoteBibliographyTitleChar">
    <w:name w:val="EndNote Bibliography Title Char"/>
    <w:basedOn w:val="HeaderChar"/>
    <w:link w:val="EndNoteBibliographyTitle"/>
    <w:rsid w:val="008F11B5"/>
    <w:rPr>
      <w:rFonts w:ascii="Times New Roman" w:eastAsia="Times New Roman" w:hAnsi="Times New Roman" w:cs="Times New Roman"/>
      <w:sz w:val="24"/>
      <w:szCs w:val="24"/>
      <w:lang w:val="en-GB" w:eastAsia="en-CA"/>
    </w:rPr>
  </w:style>
  <w:style w:type="paragraph" w:customStyle="1" w:styleId="EndNoteBibliography">
    <w:name w:val="EndNote Bibliography"/>
    <w:basedOn w:val="Normal"/>
    <w:link w:val="EndNoteBibliographyChar"/>
    <w:rsid w:val="008F11B5"/>
    <w:pPr>
      <w:jc w:val="center"/>
    </w:pPr>
    <w:rPr>
      <w:lang w:val="en-CA"/>
    </w:rPr>
  </w:style>
  <w:style w:type="character" w:customStyle="1" w:styleId="EndNoteBibliographyChar">
    <w:name w:val="EndNote Bibliography Char"/>
    <w:basedOn w:val="HeaderChar"/>
    <w:link w:val="EndNoteBibliography"/>
    <w:rsid w:val="008F11B5"/>
    <w:rPr>
      <w:rFonts w:ascii="Times New Roman" w:eastAsia="Times New Roman" w:hAnsi="Times New Roman" w:cs="Times New Roman"/>
      <w:sz w:val="24"/>
      <w:szCs w:val="24"/>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iat@cbd.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3575</Words>
  <Characters>20381</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23909</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Jack Heinemann</cp:lastModifiedBy>
  <cp:revision>4</cp:revision>
  <dcterms:created xsi:type="dcterms:W3CDTF">2021-07-06T04:42:00Z</dcterms:created>
  <dcterms:modified xsi:type="dcterms:W3CDTF">2021-07-06T07:30:00Z</dcterms:modified>
</cp:coreProperties>
</file>