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2B1" w:rsidRDefault="006C12B1" w:rsidP="006C12B1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  <w:lang w:val="en-GB"/>
        </w:rPr>
      </w:pPr>
    </w:p>
    <w:p w:rsidR="00E4776F" w:rsidRPr="00E4776F" w:rsidRDefault="00E4776F" w:rsidP="003075E3">
      <w:pPr>
        <w:tabs>
          <w:tab w:val="left" w:pos="4035"/>
        </w:tabs>
        <w:rPr>
          <w:b/>
          <w:sz w:val="32"/>
          <w:szCs w:val="32"/>
          <w:lang w:val="en-US"/>
        </w:rPr>
      </w:pPr>
      <w:r w:rsidRPr="00E4776F">
        <w:rPr>
          <w:b/>
          <w:sz w:val="32"/>
          <w:szCs w:val="32"/>
          <w:lang w:val="en-US"/>
        </w:rPr>
        <w:t>NL submission</w:t>
      </w:r>
    </w:p>
    <w:p w:rsidR="00E4776F" w:rsidRDefault="00E4776F" w:rsidP="003075E3">
      <w:pPr>
        <w:tabs>
          <w:tab w:val="left" w:pos="4035"/>
        </w:tabs>
        <w:rPr>
          <w:b/>
          <w:sz w:val="28"/>
          <w:szCs w:val="28"/>
          <w:lang w:val="en-US"/>
        </w:rPr>
      </w:pPr>
    </w:p>
    <w:p w:rsidR="00E4776F" w:rsidRPr="00E4776F" w:rsidRDefault="00E4776F" w:rsidP="003075E3">
      <w:pPr>
        <w:tabs>
          <w:tab w:val="left" w:pos="4035"/>
        </w:tabs>
        <w:rPr>
          <w:b/>
          <w:sz w:val="28"/>
          <w:szCs w:val="28"/>
          <w:lang w:val="en-US"/>
        </w:rPr>
      </w:pPr>
      <w:bookmarkStart w:id="0" w:name="_GoBack"/>
      <w:r w:rsidRPr="00E4776F">
        <w:rPr>
          <w:b/>
          <w:sz w:val="28"/>
          <w:szCs w:val="28"/>
          <w:lang w:val="en-US"/>
        </w:rPr>
        <w:t xml:space="preserve">Notification 2019-009  </w:t>
      </w:r>
    </w:p>
    <w:p w:rsidR="00E4776F" w:rsidRDefault="00E4776F" w:rsidP="003075E3">
      <w:pPr>
        <w:tabs>
          <w:tab w:val="left" w:pos="4035"/>
        </w:tabs>
        <w:rPr>
          <w:b/>
          <w:sz w:val="28"/>
          <w:szCs w:val="28"/>
          <w:lang w:val="en-US"/>
        </w:rPr>
      </w:pPr>
      <w:r w:rsidRPr="00E4776F">
        <w:rPr>
          <w:b/>
          <w:sz w:val="28"/>
          <w:szCs w:val="28"/>
          <w:lang w:val="en-US"/>
        </w:rPr>
        <w:t>Risk Assessment and Risk Management under the Cartagena Protocol on Biosafety</w:t>
      </w:r>
      <w:bookmarkEnd w:id="0"/>
    </w:p>
    <w:p w:rsidR="00E4776F" w:rsidRDefault="00E4776F" w:rsidP="003075E3">
      <w:pPr>
        <w:tabs>
          <w:tab w:val="left" w:pos="4035"/>
        </w:tabs>
        <w:rPr>
          <w:b/>
          <w:sz w:val="28"/>
          <w:szCs w:val="28"/>
          <w:lang w:val="en-US"/>
        </w:rPr>
      </w:pPr>
    </w:p>
    <w:p w:rsidR="00E4776F" w:rsidRDefault="00E4776F" w:rsidP="003075E3">
      <w:pPr>
        <w:tabs>
          <w:tab w:val="left" w:pos="403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Please find below the contribution of the Netherlands to Notification 2019-009. This contribution should be considered </w:t>
      </w:r>
      <w:r w:rsidR="003163ED">
        <w:rPr>
          <w:sz w:val="28"/>
          <w:szCs w:val="28"/>
          <w:lang w:val="en-US"/>
        </w:rPr>
        <w:t xml:space="preserve">in </w:t>
      </w:r>
      <w:r>
        <w:rPr>
          <w:sz w:val="28"/>
          <w:szCs w:val="28"/>
          <w:lang w:val="en-US"/>
        </w:rPr>
        <w:t xml:space="preserve">addition to the </w:t>
      </w:r>
      <w:r w:rsidR="00F313AB">
        <w:rPr>
          <w:sz w:val="28"/>
          <w:szCs w:val="28"/>
          <w:lang w:val="en-US"/>
        </w:rPr>
        <w:t xml:space="preserve">joint </w:t>
      </w:r>
      <w:r>
        <w:rPr>
          <w:sz w:val="28"/>
          <w:szCs w:val="28"/>
          <w:lang w:val="en-US"/>
        </w:rPr>
        <w:t>EU submiss</w:t>
      </w:r>
      <w:r w:rsidR="00F313AB">
        <w:rPr>
          <w:sz w:val="28"/>
          <w:szCs w:val="28"/>
          <w:lang w:val="en-US"/>
        </w:rPr>
        <w:t xml:space="preserve">ion </w:t>
      </w:r>
      <w:r>
        <w:rPr>
          <w:sz w:val="28"/>
          <w:szCs w:val="28"/>
          <w:lang w:val="en-US"/>
        </w:rPr>
        <w:t>for this notification.</w:t>
      </w:r>
    </w:p>
    <w:p w:rsidR="00E4776F" w:rsidRDefault="00E4776F" w:rsidP="003075E3">
      <w:pPr>
        <w:tabs>
          <w:tab w:val="left" w:pos="4035"/>
        </w:tabs>
        <w:rPr>
          <w:sz w:val="28"/>
          <w:szCs w:val="28"/>
          <w:lang w:val="en-US"/>
        </w:rPr>
      </w:pPr>
    </w:p>
    <w:p w:rsidR="006556C2" w:rsidRPr="00FC6683" w:rsidRDefault="00E4776F" w:rsidP="00E4776F">
      <w:pPr>
        <w:pStyle w:val="Lijstalinea"/>
        <w:numPr>
          <w:ilvl w:val="0"/>
          <w:numId w:val="2"/>
        </w:numPr>
        <w:tabs>
          <w:tab w:val="left" w:pos="4035"/>
        </w:tabs>
        <w:rPr>
          <w:b/>
          <w:sz w:val="28"/>
          <w:szCs w:val="28"/>
          <w:lang w:val="en-US"/>
        </w:rPr>
      </w:pPr>
      <w:r w:rsidRPr="00FC6683">
        <w:rPr>
          <w:b/>
          <w:sz w:val="28"/>
          <w:szCs w:val="28"/>
          <w:lang w:val="en-US"/>
        </w:rPr>
        <w:t>Experience in undertaking risk assessment of living modified organisms  containing engineered gene drives and living modified fish; or else, lack of experience in doing so.</w:t>
      </w:r>
    </w:p>
    <w:p w:rsidR="00FC6683" w:rsidRDefault="00FC6683" w:rsidP="00F313AB">
      <w:pPr>
        <w:tabs>
          <w:tab w:val="left" w:pos="4035"/>
        </w:tabs>
        <w:rPr>
          <w:i/>
          <w:sz w:val="28"/>
          <w:szCs w:val="28"/>
          <w:lang w:val="en-US"/>
        </w:rPr>
      </w:pPr>
    </w:p>
    <w:p w:rsidR="00F313AB" w:rsidRPr="00FC6683" w:rsidRDefault="00F313AB" w:rsidP="00F313AB">
      <w:pPr>
        <w:tabs>
          <w:tab w:val="left" w:pos="4035"/>
        </w:tabs>
        <w:rPr>
          <w:b/>
          <w:i/>
          <w:sz w:val="28"/>
          <w:szCs w:val="28"/>
          <w:lang w:val="en-US"/>
        </w:rPr>
      </w:pPr>
      <w:r w:rsidRPr="00FC6683">
        <w:rPr>
          <w:b/>
          <w:i/>
          <w:sz w:val="28"/>
          <w:szCs w:val="28"/>
          <w:lang w:val="en-US"/>
        </w:rPr>
        <w:t xml:space="preserve">LMOs containing engineered gene drives </w:t>
      </w:r>
    </w:p>
    <w:p w:rsidR="006235DC" w:rsidRDefault="00F313AB" w:rsidP="00F313AB">
      <w:pPr>
        <w:tabs>
          <w:tab w:val="left" w:pos="403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There is not much experience with the environmental risk assessment </w:t>
      </w:r>
      <w:r w:rsidR="00E7163A">
        <w:rPr>
          <w:sz w:val="28"/>
          <w:szCs w:val="28"/>
          <w:lang w:val="en-US"/>
        </w:rPr>
        <w:t xml:space="preserve">(ERA) </w:t>
      </w:r>
      <w:r>
        <w:rPr>
          <w:sz w:val="28"/>
          <w:szCs w:val="28"/>
          <w:lang w:val="en-US"/>
        </w:rPr>
        <w:t>of LMOs containing engineered gene drives</w:t>
      </w:r>
      <w:r w:rsidR="00E7163A">
        <w:rPr>
          <w:sz w:val="28"/>
          <w:szCs w:val="28"/>
          <w:lang w:val="en-US"/>
        </w:rPr>
        <w:t xml:space="preserve"> for actual environmental releases</w:t>
      </w:r>
      <w:r>
        <w:rPr>
          <w:sz w:val="28"/>
          <w:szCs w:val="28"/>
          <w:lang w:val="en-US"/>
        </w:rPr>
        <w:t xml:space="preserve">. </w:t>
      </w:r>
      <w:r w:rsidR="00E7163A">
        <w:rPr>
          <w:sz w:val="28"/>
          <w:szCs w:val="28"/>
          <w:lang w:val="en-US"/>
        </w:rPr>
        <w:t xml:space="preserve">However, there have been initiatives and discussions in order to prepare for such </w:t>
      </w:r>
      <w:r w:rsidR="00A72364">
        <w:rPr>
          <w:sz w:val="28"/>
          <w:szCs w:val="28"/>
          <w:lang w:val="en-US"/>
        </w:rPr>
        <w:t xml:space="preserve">an </w:t>
      </w:r>
      <w:r w:rsidR="005B0C20">
        <w:rPr>
          <w:sz w:val="28"/>
          <w:szCs w:val="28"/>
          <w:lang w:val="en-US"/>
        </w:rPr>
        <w:t xml:space="preserve">ERA. Examples of outcomes of these discussions </w:t>
      </w:r>
      <w:r w:rsidR="003163ED">
        <w:rPr>
          <w:sz w:val="28"/>
          <w:szCs w:val="28"/>
          <w:lang w:val="en-US"/>
        </w:rPr>
        <w:t xml:space="preserve">are </w:t>
      </w:r>
      <w:r w:rsidR="003163ED" w:rsidRPr="00673378">
        <w:rPr>
          <w:i/>
          <w:sz w:val="28"/>
          <w:szCs w:val="28"/>
          <w:lang w:val="en-US"/>
        </w:rPr>
        <w:t xml:space="preserve">e.g. </w:t>
      </w:r>
      <w:r w:rsidR="003163ED">
        <w:rPr>
          <w:sz w:val="28"/>
          <w:szCs w:val="28"/>
          <w:lang w:val="en-US"/>
        </w:rPr>
        <w:t>a</w:t>
      </w:r>
      <w:r w:rsidR="005B0C20">
        <w:rPr>
          <w:sz w:val="28"/>
          <w:szCs w:val="28"/>
          <w:lang w:val="en-US"/>
        </w:rPr>
        <w:t xml:space="preserve"> </w:t>
      </w:r>
      <w:r w:rsidR="00A72364">
        <w:rPr>
          <w:sz w:val="28"/>
          <w:szCs w:val="28"/>
          <w:lang w:val="en-US"/>
        </w:rPr>
        <w:t xml:space="preserve">policy report of the Dutch RIVM </w:t>
      </w:r>
      <w:r w:rsidR="006235DC">
        <w:rPr>
          <w:sz w:val="28"/>
          <w:szCs w:val="28"/>
          <w:lang w:val="en-US"/>
        </w:rPr>
        <w:t xml:space="preserve">on gene drives </w:t>
      </w:r>
      <w:r w:rsidR="005B0C20">
        <w:rPr>
          <w:sz w:val="28"/>
          <w:szCs w:val="28"/>
          <w:lang w:val="en-US"/>
        </w:rPr>
        <w:t xml:space="preserve">and risk assessment </w:t>
      </w:r>
      <w:r w:rsidR="00A72364">
        <w:rPr>
          <w:sz w:val="28"/>
          <w:szCs w:val="28"/>
          <w:lang w:val="en-US"/>
        </w:rPr>
        <w:t xml:space="preserve">(Westra et al., 2016, </w:t>
      </w:r>
      <w:hyperlink r:id="rId7" w:history="1">
        <w:r w:rsidR="00A72364" w:rsidRPr="00A816B4">
          <w:rPr>
            <w:rStyle w:val="Hyperlink"/>
            <w:sz w:val="28"/>
            <w:szCs w:val="28"/>
            <w:lang w:val="en-US"/>
          </w:rPr>
          <w:t>https://rivm.openrepository.com/handle/10029/596002</w:t>
        </w:r>
      </w:hyperlink>
      <w:r w:rsidR="00A72364">
        <w:rPr>
          <w:sz w:val="28"/>
          <w:szCs w:val="28"/>
          <w:lang w:val="en-US"/>
        </w:rPr>
        <w:t xml:space="preserve">), </w:t>
      </w:r>
      <w:r w:rsidR="003163ED">
        <w:rPr>
          <w:sz w:val="28"/>
          <w:szCs w:val="28"/>
          <w:lang w:val="en-US"/>
        </w:rPr>
        <w:t>a</w:t>
      </w:r>
      <w:r w:rsidR="006235DC">
        <w:rPr>
          <w:sz w:val="28"/>
          <w:szCs w:val="28"/>
          <w:lang w:val="en-US"/>
        </w:rPr>
        <w:t xml:space="preserve"> book of the National Academy of Science titled ’Gene drives on the horizon’ (2016),  a report on</w:t>
      </w:r>
      <w:r w:rsidR="00A72364">
        <w:rPr>
          <w:sz w:val="28"/>
          <w:szCs w:val="28"/>
          <w:lang w:val="en-US"/>
        </w:rPr>
        <w:t xml:space="preserve"> a </w:t>
      </w:r>
      <w:r>
        <w:rPr>
          <w:sz w:val="28"/>
          <w:szCs w:val="28"/>
          <w:lang w:val="en-US"/>
        </w:rPr>
        <w:t xml:space="preserve">problem formulation </w:t>
      </w:r>
      <w:r w:rsidR="00A72364">
        <w:rPr>
          <w:sz w:val="28"/>
          <w:szCs w:val="28"/>
          <w:lang w:val="en-US"/>
        </w:rPr>
        <w:t xml:space="preserve">workshop for </w:t>
      </w:r>
      <w:r>
        <w:rPr>
          <w:sz w:val="28"/>
          <w:szCs w:val="28"/>
          <w:lang w:val="en-US"/>
        </w:rPr>
        <w:t xml:space="preserve">mosquitoes with gene drives </w:t>
      </w:r>
      <w:r w:rsidR="00E7163A">
        <w:rPr>
          <w:sz w:val="28"/>
          <w:szCs w:val="28"/>
          <w:lang w:val="en-US"/>
        </w:rPr>
        <w:t>(Roberts et al</w:t>
      </w:r>
      <w:r w:rsidR="00A72364">
        <w:rPr>
          <w:sz w:val="28"/>
          <w:szCs w:val="28"/>
          <w:lang w:val="en-US"/>
        </w:rPr>
        <w:t xml:space="preserve">, 2017, </w:t>
      </w:r>
      <w:hyperlink r:id="rId8" w:history="1">
        <w:r w:rsidR="006235DC" w:rsidRPr="00A816B4">
          <w:rPr>
            <w:rStyle w:val="Hyperlink"/>
            <w:sz w:val="28"/>
            <w:szCs w:val="28"/>
            <w:lang w:val="en-US"/>
          </w:rPr>
          <w:t>https://www.ajtmh.org/content/journals/10.4269/ajtmh.16-0726</w:t>
        </w:r>
      </w:hyperlink>
      <w:r w:rsidR="006235DC" w:rsidRPr="006235DC">
        <w:rPr>
          <w:sz w:val="28"/>
          <w:szCs w:val="28"/>
          <w:lang w:val="en-US"/>
        </w:rPr>
        <w:t>)</w:t>
      </w:r>
    </w:p>
    <w:p w:rsidR="00F313AB" w:rsidRDefault="006235DC" w:rsidP="00F313AB">
      <w:pPr>
        <w:tabs>
          <w:tab w:val="left" w:pos="4035"/>
        </w:tabs>
        <w:rPr>
          <w:sz w:val="28"/>
          <w:szCs w:val="28"/>
          <w:lang w:val="en-US"/>
        </w:rPr>
      </w:pPr>
      <w:r w:rsidRPr="006235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and a </w:t>
      </w:r>
      <w:r w:rsidR="005B0C20">
        <w:rPr>
          <w:sz w:val="28"/>
          <w:szCs w:val="28"/>
          <w:lang w:val="en-US"/>
        </w:rPr>
        <w:t xml:space="preserve">report of a </w:t>
      </w:r>
      <w:r>
        <w:rPr>
          <w:sz w:val="28"/>
          <w:szCs w:val="28"/>
          <w:lang w:val="en-US"/>
        </w:rPr>
        <w:t xml:space="preserve">scientific working group on </w:t>
      </w:r>
      <w:r w:rsidR="00A72364">
        <w:rPr>
          <w:sz w:val="28"/>
          <w:szCs w:val="28"/>
          <w:lang w:val="en-US"/>
        </w:rPr>
        <w:t xml:space="preserve">pathway </w:t>
      </w:r>
      <w:r>
        <w:rPr>
          <w:sz w:val="28"/>
          <w:szCs w:val="28"/>
          <w:lang w:val="en-US"/>
        </w:rPr>
        <w:t>for deployment of gene driv</w:t>
      </w:r>
      <w:r w:rsidR="00A72364">
        <w:rPr>
          <w:sz w:val="28"/>
          <w:szCs w:val="28"/>
          <w:lang w:val="en-US"/>
        </w:rPr>
        <w:t>es (James et al</w:t>
      </w:r>
      <w:r>
        <w:rPr>
          <w:sz w:val="28"/>
          <w:szCs w:val="28"/>
          <w:lang w:val="en-US"/>
        </w:rPr>
        <w:t xml:space="preserve">, 2018, </w:t>
      </w:r>
      <w:r w:rsidR="00A72364">
        <w:rPr>
          <w:sz w:val="28"/>
          <w:szCs w:val="28"/>
          <w:lang w:val="en-US"/>
        </w:rPr>
        <w:t xml:space="preserve"> </w:t>
      </w:r>
      <w:hyperlink r:id="rId9" w:history="1">
        <w:r w:rsidRPr="00A816B4">
          <w:rPr>
            <w:rStyle w:val="Hyperlink"/>
            <w:sz w:val="28"/>
            <w:szCs w:val="28"/>
            <w:lang w:val="en-US"/>
          </w:rPr>
          <w:t>https://www.ajtmh.org/content/journals/10.4269/ajtmh.18-0083</w:t>
        </w:r>
      </w:hyperlink>
      <w:r>
        <w:rPr>
          <w:sz w:val="28"/>
          <w:szCs w:val="28"/>
          <w:lang w:val="en-US"/>
        </w:rPr>
        <w:t xml:space="preserve">). </w:t>
      </w:r>
      <w:r w:rsidR="00A72364" w:rsidRPr="00A72364">
        <w:rPr>
          <w:sz w:val="28"/>
          <w:szCs w:val="28"/>
          <w:lang w:val="en-US"/>
        </w:rPr>
        <w:t xml:space="preserve"> </w:t>
      </w:r>
    </w:p>
    <w:p w:rsidR="00FC6683" w:rsidRDefault="00FC6683" w:rsidP="00F313AB">
      <w:pPr>
        <w:tabs>
          <w:tab w:val="left" w:pos="4035"/>
        </w:tabs>
        <w:rPr>
          <w:b/>
          <w:i/>
          <w:sz w:val="28"/>
          <w:szCs w:val="28"/>
          <w:lang w:val="en-US"/>
        </w:rPr>
      </w:pPr>
    </w:p>
    <w:p w:rsidR="00F313AB" w:rsidRPr="00FC6683" w:rsidRDefault="006235DC" w:rsidP="00F313AB">
      <w:pPr>
        <w:tabs>
          <w:tab w:val="left" w:pos="4035"/>
        </w:tabs>
        <w:rPr>
          <w:b/>
          <w:i/>
          <w:sz w:val="28"/>
          <w:szCs w:val="28"/>
          <w:lang w:val="en-US"/>
        </w:rPr>
      </w:pPr>
      <w:r w:rsidRPr="00FC6683">
        <w:rPr>
          <w:b/>
          <w:i/>
          <w:sz w:val="28"/>
          <w:szCs w:val="28"/>
          <w:lang w:val="en-US"/>
        </w:rPr>
        <w:t>LM fish</w:t>
      </w:r>
    </w:p>
    <w:p w:rsidR="00F313AB" w:rsidRDefault="00FC6683" w:rsidP="00F313AB">
      <w:pPr>
        <w:tabs>
          <w:tab w:val="left" w:pos="403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Quite some experience is </w:t>
      </w:r>
      <w:r w:rsidR="0093225E">
        <w:rPr>
          <w:sz w:val="28"/>
          <w:szCs w:val="28"/>
          <w:lang w:val="en-US"/>
        </w:rPr>
        <w:t xml:space="preserve">already </w:t>
      </w:r>
      <w:r>
        <w:rPr>
          <w:sz w:val="28"/>
          <w:szCs w:val="28"/>
          <w:lang w:val="en-US"/>
        </w:rPr>
        <w:t>obtained with the ERA of LM fish such as salmon, tilapia and common carp. In Europe specific guidelines are available to assesses potential environmental risks of LM fish (</w:t>
      </w:r>
      <w:hyperlink r:id="rId10" w:history="1">
        <w:r w:rsidRPr="00A816B4">
          <w:rPr>
            <w:rStyle w:val="Hyperlink"/>
            <w:sz w:val="28"/>
            <w:szCs w:val="28"/>
            <w:lang w:val="en-US"/>
          </w:rPr>
          <w:t>https://www.efsa.europa.eu/en/efsajournal/pub/3200</w:t>
        </w:r>
      </w:hyperlink>
      <w:r>
        <w:rPr>
          <w:sz w:val="28"/>
          <w:szCs w:val="28"/>
          <w:lang w:val="en-US"/>
        </w:rPr>
        <w:t>).</w:t>
      </w:r>
    </w:p>
    <w:p w:rsidR="00FC6683" w:rsidRDefault="00FC6683" w:rsidP="00F313AB">
      <w:pPr>
        <w:tabs>
          <w:tab w:val="left" w:pos="4035"/>
        </w:tabs>
        <w:rPr>
          <w:sz w:val="28"/>
          <w:szCs w:val="28"/>
          <w:lang w:val="en-US"/>
        </w:rPr>
      </w:pPr>
    </w:p>
    <w:p w:rsidR="00FC6683" w:rsidRDefault="00FC6683" w:rsidP="00F313AB">
      <w:pPr>
        <w:tabs>
          <w:tab w:val="left" w:pos="4035"/>
        </w:tabs>
        <w:rPr>
          <w:sz w:val="28"/>
          <w:szCs w:val="28"/>
          <w:lang w:val="en-US"/>
        </w:rPr>
      </w:pPr>
    </w:p>
    <w:p w:rsidR="00E4776F" w:rsidRDefault="00E4776F" w:rsidP="00E4776F">
      <w:pPr>
        <w:pStyle w:val="Lijstalinea"/>
        <w:numPr>
          <w:ilvl w:val="0"/>
          <w:numId w:val="2"/>
        </w:numPr>
        <w:tabs>
          <w:tab w:val="left" w:pos="4035"/>
        </w:tabs>
        <w:rPr>
          <w:b/>
          <w:sz w:val="28"/>
          <w:szCs w:val="28"/>
          <w:lang w:val="en-US"/>
        </w:rPr>
      </w:pPr>
      <w:r w:rsidRPr="00FC6683">
        <w:rPr>
          <w:b/>
          <w:sz w:val="28"/>
          <w:szCs w:val="28"/>
          <w:lang w:val="en-US"/>
        </w:rPr>
        <w:t>Challenges experienced or foreseen in undertaking risk assessment of living modified organisms containing engineered gene drives and living modified fish</w:t>
      </w:r>
    </w:p>
    <w:p w:rsidR="0093225E" w:rsidRDefault="0093225E" w:rsidP="0093225E">
      <w:pPr>
        <w:tabs>
          <w:tab w:val="left" w:pos="4035"/>
        </w:tabs>
        <w:rPr>
          <w:b/>
          <w:sz w:val="28"/>
          <w:szCs w:val="28"/>
          <w:lang w:val="en-US"/>
        </w:rPr>
      </w:pPr>
    </w:p>
    <w:p w:rsidR="0093225E" w:rsidRPr="00FC6683" w:rsidRDefault="0093225E" w:rsidP="0093225E">
      <w:pPr>
        <w:tabs>
          <w:tab w:val="left" w:pos="4035"/>
        </w:tabs>
        <w:rPr>
          <w:b/>
          <w:i/>
          <w:sz w:val="28"/>
          <w:szCs w:val="28"/>
          <w:lang w:val="en-US"/>
        </w:rPr>
      </w:pPr>
      <w:r w:rsidRPr="00FC6683">
        <w:rPr>
          <w:b/>
          <w:i/>
          <w:sz w:val="28"/>
          <w:szCs w:val="28"/>
          <w:lang w:val="en-US"/>
        </w:rPr>
        <w:t xml:space="preserve">LMOs containing engineered gene drives </w:t>
      </w:r>
    </w:p>
    <w:p w:rsidR="000A3587" w:rsidRPr="000A3587" w:rsidRDefault="0093225E" w:rsidP="0093225E">
      <w:pPr>
        <w:tabs>
          <w:tab w:val="left" w:pos="4035"/>
        </w:tabs>
        <w:rPr>
          <w:sz w:val="28"/>
          <w:szCs w:val="28"/>
          <w:lang w:val="en-US"/>
        </w:rPr>
      </w:pPr>
      <w:r w:rsidRPr="000A3587">
        <w:rPr>
          <w:sz w:val="28"/>
          <w:szCs w:val="28"/>
          <w:lang w:val="en-US"/>
        </w:rPr>
        <w:t xml:space="preserve">As indicated in the </w:t>
      </w:r>
      <w:r w:rsidR="00D8466D" w:rsidRPr="000A3587">
        <w:rPr>
          <w:sz w:val="28"/>
          <w:szCs w:val="28"/>
          <w:lang w:val="en-US"/>
        </w:rPr>
        <w:t xml:space="preserve">literature </w:t>
      </w:r>
      <w:r w:rsidRPr="000A3587">
        <w:rPr>
          <w:sz w:val="28"/>
          <w:szCs w:val="28"/>
          <w:lang w:val="en-US"/>
        </w:rPr>
        <w:t xml:space="preserve">mentioned under a), the main </w:t>
      </w:r>
      <w:r w:rsidR="00D8466D" w:rsidRPr="000A3587">
        <w:rPr>
          <w:sz w:val="28"/>
          <w:szCs w:val="28"/>
          <w:lang w:val="en-US"/>
        </w:rPr>
        <w:t>challenge</w:t>
      </w:r>
      <w:r w:rsidRPr="000A3587">
        <w:rPr>
          <w:sz w:val="28"/>
          <w:szCs w:val="28"/>
          <w:lang w:val="en-US"/>
        </w:rPr>
        <w:t xml:space="preserve"> in the ERA </w:t>
      </w:r>
      <w:r w:rsidR="003D0AB6">
        <w:rPr>
          <w:sz w:val="28"/>
          <w:szCs w:val="28"/>
          <w:lang w:val="en-US"/>
        </w:rPr>
        <w:t xml:space="preserve">of LMOs containing an engineered gene drive </w:t>
      </w:r>
      <w:r w:rsidR="003163ED">
        <w:rPr>
          <w:sz w:val="28"/>
          <w:szCs w:val="28"/>
          <w:lang w:val="en-US"/>
        </w:rPr>
        <w:t>follows from the ability of</w:t>
      </w:r>
      <w:r w:rsidRPr="000A3587">
        <w:rPr>
          <w:sz w:val="28"/>
          <w:szCs w:val="28"/>
          <w:lang w:val="en-US"/>
        </w:rPr>
        <w:t xml:space="preserve"> a trait to</w:t>
      </w:r>
      <w:r w:rsidR="00D03F40">
        <w:rPr>
          <w:sz w:val="28"/>
          <w:szCs w:val="28"/>
          <w:lang w:val="en-US"/>
        </w:rPr>
        <w:t xml:space="preserve"> potentially</w:t>
      </w:r>
      <w:r w:rsidRPr="000A3587">
        <w:rPr>
          <w:sz w:val="28"/>
          <w:szCs w:val="28"/>
          <w:lang w:val="en-US"/>
        </w:rPr>
        <w:t xml:space="preserve"> </w:t>
      </w:r>
      <w:r w:rsidR="00D8466D" w:rsidRPr="000A3587">
        <w:rPr>
          <w:sz w:val="28"/>
          <w:szCs w:val="28"/>
          <w:lang w:val="en-US"/>
        </w:rPr>
        <w:t>spread</w:t>
      </w:r>
      <w:r w:rsidRPr="000A3587">
        <w:rPr>
          <w:sz w:val="28"/>
          <w:szCs w:val="28"/>
          <w:lang w:val="en-US"/>
        </w:rPr>
        <w:t xml:space="preserve"> through </w:t>
      </w:r>
      <w:r w:rsidR="00D8466D" w:rsidRPr="000A3587">
        <w:rPr>
          <w:sz w:val="28"/>
          <w:szCs w:val="28"/>
          <w:lang w:val="en-US"/>
        </w:rPr>
        <w:t xml:space="preserve">a </w:t>
      </w:r>
      <w:r w:rsidR="000A3587" w:rsidRPr="000A3587">
        <w:rPr>
          <w:sz w:val="28"/>
          <w:szCs w:val="28"/>
          <w:lang w:val="en-US"/>
        </w:rPr>
        <w:t xml:space="preserve">complete </w:t>
      </w:r>
      <w:r w:rsidR="00D8466D" w:rsidRPr="000A3587">
        <w:rPr>
          <w:sz w:val="28"/>
          <w:szCs w:val="28"/>
          <w:lang w:val="en-US"/>
        </w:rPr>
        <w:t>population</w:t>
      </w:r>
      <w:r w:rsidR="005B0C20">
        <w:rPr>
          <w:sz w:val="28"/>
          <w:szCs w:val="28"/>
          <w:lang w:val="en-US"/>
        </w:rPr>
        <w:t xml:space="preserve">, even </w:t>
      </w:r>
      <w:r w:rsidRPr="000A3587">
        <w:rPr>
          <w:sz w:val="28"/>
          <w:szCs w:val="28"/>
          <w:lang w:val="en-US"/>
        </w:rPr>
        <w:t xml:space="preserve">in the absence of </w:t>
      </w:r>
      <w:r w:rsidR="00D8466D" w:rsidRPr="000A3587">
        <w:rPr>
          <w:sz w:val="28"/>
          <w:szCs w:val="28"/>
          <w:lang w:val="en-US"/>
        </w:rPr>
        <w:t>a f</w:t>
      </w:r>
      <w:r w:rsidR="003163ED">
        <w:rPr>
          <w:sz w:val="28"/>
          <w:szCs w:val="28"/>
          <w:lang w:val="en-US"/>
        </w:rPr>
        <w:t>itness advantage. This scenario</w:t>
      </w:r>
      <w:r w:rsidR="00D8466D" w:rsidRPr="000A3587">
        <w:rPr>
          <w:sz w:val="28"/>
          <w:szCs w:val="28"/>
          <w:lang w:val="en-US"/>
        </w:rPr>
        <w:t xml:space="preserve"> is mainly foreseen for fast reproducing, </w:t>
      </w:r>
      <w:r w:rsidR="003163ED">
        <w:rPr>
          <w:sz w:val="28"/>
          <w:szCs w:val="28"/>
          <w:lang w:val="en-US"/>
        </w:rPr>
        <w:t>flying organisms</w:t>
      </w:r>
      <w:r w:rsidR="00D8466D" w:rsidRPr="000A3587">
        <w:rPr>
          <w:sz w:val="28"/>
          <w:szCs w:val="28"/>
          <w:lang w:val="en-US"/>
        </w:rPr>
        <w:t xml:space="preserve"> suc</w:t>
      </w:r>
      <w:r w:rsidR="005B0C20">
        <w:rPr>
          <w:sz w:val="28"/>
          <w:szCs w:val="28"/>
          <w:lang w:val="en-US"/>
        </w:rPr>
        <w:t>h as insects, that contain a so-</w:t>
      </w:r>
      <w:r w:rsidR="00D8466D" w:rsidRPr="000A3587">
        <w:rPr>
          <w:sz w:val="28"/>
          <w:szCs w:val="28"/>
          <w:lang w:val="en-US"/>
        </w:rPr>
        <w:t>called ‘low threshold drive’</w:t>
      </w:r>
      <w:r w:rsidR="003163ED">
        <w:rPr>
          <w:sz w:val="28"/>
          <w:szCs w:val="28"/>
          <w:lang w:val="en-US"/>
        </w:rPr>
        <w:t>, meaning that</w:t>
      </w:r>
      <w:r w:rsidR="000A3587" w:rsidRPr="000A3587">
        <w:rPr>
          <w:sz w:val="28"/>
          <w:szCs w:val="28"/>
          <w:lang w:val="en-US"/>
        </w:rPr>
        <w:t xml:space="preserve"> only </w:t>
      </w:r>
      <w:r w:rsidR="00D8466D" w:rsidRPr="000A3587">
        <w:rPr>
          <w:sz w:val="28"/>
          <w:szCs w:val="28"/>
          <w:lang w:val="en-US"/>
        </w:rPr>
        <w:t xml:space="preserve">a low number of released insects </w:t>
      </w:r>
      <w:r w:rsidR="000A3587" w:rsidRPr="000A3587">
        <w:rPr>
          <w:sz w:val="28"/>
          <w:szCs w:val="28"/>
          <w:lang w:val="en-US"/>
        </w:rPr>
        <w:t>are necessary for spreading the trait.</w:t>
      </w:r>
      <w:r w:rsidR="00896BC4">
        <w:rPr>
          <w:sz w:val="28"/>
          <w:szCs w:val="28"/>
          <w:lang w:val="en-US"/>
        </w:rPr>
        <w:t xml:space="preserve">  Effects can be potentia</w:t>
      </w:r>
      <w:r w:rsidR="003163ED">
        <w:rPr>
          <w:sz w:val="28"/>
          <w:szCs w:val="28"/>
          <w:lang w:val="en-US"/>
        </w:rPr>
        <w:t>lly population-wide.  This implicates</w:t>
      </w:r>
      <w:r w:rsidR="00896BC4">
        <w:rPr>
          <w:sz w:val="28"/>
          <w:szCs w:val="28"/>
          <w:lang w:val="en-US"/>
        </w:rPr>
        <w:t xml:space="preserve"> that potential risks have to be assessed by experts </w:t>
      </w:r>
      <w:r w:rsidR="005B0C20">
        <w:rPr>
          <w:sz w:val="28"/>
          <w:szCs w:val="28"/>
          <w:lang w:val="en-US"/>
        </w:rPr>
        <w:t>with sufficient knowledge in population dynamics and modelling.</w:t>
      </w:r>
      <w:r w:rsidR="00896BC4">
        <w:rPr>
          <w:sz w:val="28"/>
          <w:szCs w:val="28"/>
          <w:lang w:val="en-US"/>
        </w:rPr>
        <w:t xml:space="preserve"> </w:t>
      </w:r>
      <w:r w:rsidR="005B0C20">
        <w:rPr>
          <w:sz w:val="28"/>
          <w:szCs w:val="28"/>
          <w:lang w:val="en-US"/>
        </w:rPr>
        <w:t>Another challenge</w:t>
      </w:r>
      <w:r w:rsidR="003163ED">
        <w:rPr>
          <w:sz w:val="28"/>
          <w:szCs w:val="28"/>
          <w:lang w:val="en-US"/>
        </w:rPr>
        <w:t xml:space="preserve"> in the ERA</w:t>
      </w:r>
      <w:r w:rsidR="003163ED" w:rsidRPr="003163ED">
        <w:rPr>
          <w:sz w:val="28"/>
          <w:szCs w:val="28"/>
          <w:lang w:val="en-US"/>
        </w:rPr>
        <w:t xml:space="preserve"> </w:t>
      </w:r>
      <w:r w:rsidR="003163ED">
        <w:rPr>
          <w:sz w:val="28"/>
          <w:szCs w:val="28"/>
          <w:lang w:val="en-US"/>
        </w:rPr>
        <w:t>of LMOs containing an engineered gene drive is</w:t>
      </w:r>
      <w:r w:rsidR="005B0C20">
        <w:rPr>
          <w:sz w:val="28"/>
          <w:szCs w:val="28"/>
          <w:lang w:val="en-US"/>
        </w:rPr>
        <w:t xml:space="preserve"> foreseen</w:t>
      </w:r>
      <w:r w:rsidR="009306B0">
        <w:rPr>
          <w:sz w:val="28"/>
          <w:szCs w:val="28"/>
          <w:lang w:val="en-US"/>
        </w:rPr>
        <w:t xml:space="preserve"> in the staged</w:t>
      </w:r>
      <w:r w:rsidR="00896BC4">
        <w:rPr>
          <w:sz w:val="28"/>
          <w:szCs w:val="28"/>
          <w:lang w:val="en-US"/>
        </w:rPr>
        <w:t xml:space="preserve"> approach </w:t>
      </w:r>
      <w:r w:rsidR="009306B0">
        <w:rPr>
          <w:sz w:val="28"/>
          <w:szCs w:val="28"/>
          <w:lang w:val="en-US"/>
        </w:rPr>
        <w:t>needed</w:t>
      </w:r>
      <w:r w:rsidR="00896BC4">
        <w:rPr>
          <w:sz w:val="28"/>
          <w:szCs w:val="28"/>
          <w:lang w:val="en-US"/>
        </w:rPr>
        <w:t xml:space="preserve"> for </w:t>
      </w:r>
      <w:r w:rsidR="003163ED">
        <w:rPr>
          <w:sz w:val="28"/>
          <w:szCs w:val="28"/>
          <w:lang w:val="en-US"/>
        </w:rPr>
        <w:t>safety testing</w:t>
      </w:r>
      <w:r w:rsidR="009306B0">
        <w:rPr>
          <w:sz w:val="28"/>
          <w:szCs w:val="28"/>
          <w:lang w:val="en-US"/>
        </w:rPr>
        <w:t xml:space="preserve">. Each LMO is tested by introducing the </w:t>
      </w:r>
      <w:r w:rsidR="003163ED">
        <w:rPr>
          <w:sz w:val="28"/>
          <w:szCs w:val="28"/>
          <w:lang w:val="en-US"/>
        </w:rPr>
        <w:t xml:space="preserve">organism </w:t>
      </w:r>
      <w:r w:rsidR="005B0C20">
        <w:rPr>
          <w:sz w:val="28"/>
          <w:szCs w:val="28"/>
          <w:lang w:val="en-US"/>
        </w:rPr>
        <w:t xml:space="preserve">in a </w:t>
      </w:r>
      <w:r w:rsidR="009306B0">
        <w:rPr>
          <w:sz w:val="28"/>
          <w:szCs w:val="28"/>
          <w:lang w:val="en-US"/>
        </w:rPr>
        <w:t xml:space="preserve">step-wise </w:t>
      </w:r>
      <w:r w:rsidR="005B0C20">
        <w:rPr>
          <w:sz w:val="28"/>
          <w:szCs w:val="28"/>
          <w:lang w:val="en-US"/>
        </w:rPr>
        <w:t xml:space="preserve">manner </w:t>
      </w:r>
      <w:r w:rsidR="009306B0">
        <w:rPr>
          <w:sz w:val="28"/>
          <w:szCs w:val="28"/>
          <w:lang w:val="en-US"/>
        </w:rPr>
        <w:t xml:space="preserve">into the environment to collect </w:t>
      </w:r>
      <w:r w:rsidR="005B0C20">
        <w:rPr>
          <w:sz w:val="28"/>
          <w:szCs w:val="28"/>
          <w:lang w:val="en-US"/>
        </w:rPr>
        <w:t xml:space="preserve">the necessary data for ERA in a safe way.  The bottleneck is often the first </w:t>
      </w:r>
      <w:r w:rsidR="003163ED">
        <w:rPr>
          <w:sz w:val="28"/>
          <w:szCs w:val="28"/>
          <w:lang w:val="en-US"/>
        </w:rPr>
        <w:t>(</w:t>
      </w:r>
      <w:r w:rsidR="000858E5">
        <w:rPr>
          <w:sz w:val="28"/>
          <w:szCs w:val="28"/>
          <w:lang w:val="en-US"/>
        </w:rPr>
        <w:t>semi-contained</w:t>
      </w:r>
      <w:r w:rsidR="003163ED">
        <w:rPr>
          <w:sz w:val="28"/>
          <w:szCs w:val="28"/>
          <w:lang w:val="en-US"/>
        </w:rPr>
        <w:t>)</w:t>
      </w:r>
      <w:r w:rsidR="000858E5">
        <w:rPr>
          <w:sz w:val="28"/>
          <w:szCs w:val="28"/>
          <w:lang w:val="en-US"/>
        </w:rPr>
        <w:t xml:space="preserve"> </w:t>
      </w:r>
      <w:r w:rsidR="005B0C20">
        <w:rPr>
          <w:sz w:val="28"/>
          <w:szCs w:val="28"/>
          <w:lang w:val="en-US"/>
        </w:rPr>
        <w:t>environmental release, following the contained trials</w:t>
      </w:r>
      <w:r w:rsidR="000858E5">
        <w:rPr>
          <w:sz w:val="28"/>
          <w:szCs w:val="28"/>
          <w:lang w:val="en-US"/>
        </w:rPr>
        <w:t xml:space="preserve">. </w:t>
      </w:r>
      <w:r w:rsidR="005B0C20">
        <w:rPr>
          <w:sz w:val="28"/>
          <w:szCs w:val="28"/>
          <w:lang w:val="en-US"/>
        </w:rPr>
        <w:t xml:space="preserve">This step </w:t>
      </w:r>
      <w:r w:rsidR="002047CA">
        <w:rPr>
          <w:sz w:val="28"/>
          <w:szCs w:val="28"/>
          <w:lang w:val="en-US"/>
        </w:rPr>
        <w:t xml:space="preserve">may be challenging for </w:t>
      </w:r>
      <w:r w:rsidR="009306B0">
        <w:rPr>
          <w:sz w:val="28"/>
          <w:szCs w:val="28"/>
          <w:lang w:val="en-US"/>
        </w:rPr>
        <w:t>LM insects in general, incl</w:t>
      </w:r>
      <w:r w:rsidR="000858E5">
        <w:rPr>
          <w:sz w:val="28"/>
          <w:szCs w:val="28"/>
          <w:lang w:val="en-US"/>
        </w:rPr>
        <w:t>uding insects with a gene drive</w:t>
      </w:r>
      <w:r w:rsidR="003163ED">
        <w:rPr>
          <w:sz w:val="28"/>
          <w:szCs w:val="28"/>
          <w:lang w:val="en-US"/>
        </w:rPr>
        <w:t>,</w:t>
      </w:r>
      <w:r w:rsidR="000858E5">
        <w:rPr>
          <w:sz w:val="28"/>
          <w:szCs w:val="28"/>
          <w:lang w:val="en-US"/>
        </w:rPr>
        <w:t xml:space="preserve"> since i</w:t>
      </w:r>
      <w:r w:rsidR="003163ED">
        <w:rPr>
          <w:sz w:val="28"/>
          <w:szCs w:val="28"/>
          <w:lang w:val="en-US"/>
        </w:rPr>
        <w:t>nsects are difficult to contain as compared to plants.</w:t>
      </w:r>
      <w:r w:rsidR="009306B0">
        <w:rPr>
          <w:sz w:val="28"/>
          <w:szCs w:val="28"/>
          <w:lang w:val="en-US"/>
        </w:rPr>
        <w:t xml:space="preserve"> </w:t>
      </w:r>
    </w:p>
    <w:p w:rsidR="00FC6683" w:rsidRDefault="000858E5" w:rsidP="00FC6683">
      <w:pPr>
        <w:tabs>
          <w:tab w:val="left" w:pos="4035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US"/>
        </w:rPr>
        <w:t xml:space="preserve">Whether releases of organisms </w:t>
      </w:r>
      <w:r w:rsidR="000A3587" w:rsidRPr="000A3587">
        <w:rPr>
          <w:sz w:val="28"/>
          <w:szCs w:val="28"/>
          <w:lang w:val="en-US"/>
        </w:rPr>
        <w:t>wi</w:t>
      </w:r>
      <w:r w:rsidR="00833426">
        <w:rPr>
          <w:sz w:val="28"/>
          <w:szCs w:val="28"/>
          <w:lang w:val="en-US"/>
        </w:rPr>
        <w:t xml:space="preserve">th a gene drive would result in </w:t>
      </w:r>
      <w:r w:rsidR="000A3587" w:rsidRPr="000A3587">
        <w:rPr>
          <w:sz w:val="28"/>
          <w:szCs w:val="28"/>
          <w:lang w:val="en-US"/>
        </w:rPr>
        <w:t>an adverse environmental effect, can onl</w:t>
      </w:r>
      <w:r w:rsidR="000A3587">
        <w:rPr>
          <w:sz w:val="28"/>
          <w:szCs w:val="28"/>
          <w:lang w:val="en-US"/>
        </w:rPr>
        <w:t>y be</w:t>
      </w:r>
      <w:r w:rsidR="00D8466D" w:rsidRPr="000A3587">
        <w:rPr>
          <w:sz w:val="28"/>
          <w:szCs w:val="28"/>
          <w:lang w:val="en-CA"/>
        </w:rPr>
        <w:t xml:space="preserve"> assessed based on a case-by-case</w:t>
      </w:r>
      <w:r w:rsidR="003163ED">
        <w:rPr>
          <w:sz w:val="28"/>
          <w:szCs w:val="28"/>
          <w:lang w:val="en-CA"/>
        </w:rPr>
        <w:t xml:space="preserve"> basis</w:t>
      </w:r>
      <w:r w:rsidR="00D8466D" w:rsidRPr="000A3587">
        <w:rPr>
          <w:sz w:val="28"/>
          <w:szCs w:val="28"/>
          <w:lang w:val="en-CA"/>
        </w:rPr>
        <w:t xml:space="preserve">. This </w:t>
      </w:r>
      <w:r w:rsidR="000A3587">
        <w:rPr>
          <w:sz w:val="28"/>
          <w:szCs w:val="28"/>
          <w:lang w:val="en-CA"/>
        </w:rPr>
        <w:t xml:space="preserve">ERA </w:t>
      </w:r>
      <w:r w:rsidR="00D8466D" w:rsidRPr="000A3587">
        <w:rPr>
          <w:sz w:val="28"/>
          <w:szCs w:val="28"/>
          <w:lang w:val="en-CA"/>
        </w:rPr>
        <w:t>takes into account</w:t>
      </w:r>
      <w:r w:rsidR="000A3587">
        <w:rPr>
          <w:sz w:val="28"/>
          <w:szCs w:val="28"/>
          <w:lang w:val="en-CA"/>
        </w:rPr>
        <w:t xml:space="preserve"> </w:t>
      </w:r>
      <w:r w:rsidR="00D8466D" w:rsidRPr="000A3587">
        <w:rPr>
          <w:sz w:val="28"/>
          <w:szCs w:val="28"/>
          <w:lang w:val="en-CA"/>
        </w:rPr>
        <w:t>aspects such as the specific trait, species</w:t>
      </w:r>
      <w:r w:rsidR="000A3587" w:rsidRPr="000A3587">
        <w:rPr>
          <w:sz w:val="28"/>
          <w:szCs w:val="28"/>
          <w:lang w:val="en-CA"/>
        </w:rPr>
        <w:t xml:space="preserve">, </w:t>
      </w:r>
      <w:r>
        <w:rPr>
          <w:sz w:val="28"/>
          <w:szCs w:val="28"/>
          <w:lang w:val="en-CA"/>
        </w:rPr>
        <w:t xml:space="preserve">way of </w:t>
      </w:r>
      <w:r w:rsidR="000A3587">
        <w:rPr>
          <w:sz w:val="28"/>
          <w:szCs w:val="28"/>
          <w:lang w:val="en-CA"/>
        </w:rPr>
        <w:t xml:space="preserve">dissemination, </w:t>
      </w:r>
      <w:r w:rsidR="00D8466D" w:rsidRPr="000A3587">
        <w:rPr>
          <w:sz w:val="28"/>
          <w:szCs w:val="28"/>
          <w:lang w:val="en-CA"/>
        </w:rPr>
        <w:t>type of gene drive system (low threshold, high threshold gene drive)</w:t>
      </w:r>
      <w:r w:rsidR="000A3587">
        <w:rPr>
          <w:sz w:val="28"/>
          <w:szCs w:val="28"/>
          <w:lang w:val="en-CA"/>
        </w:rPr>
        <w:t xml:space="preserve"> and the receiving environment</w:t>
      </w:r>
      <w:r w:rsidR="00D8466D" w:rsidRPr="000A3587">
        <w:rPr>
          <w:sz w:val="28"/>
          <w:szCs w:val="28"/>
          <w:lang w:val="en-CA"/>
        </w:rPr>
        <w:t>.</w:t>
      </w:r>
      <w:r w:rsidR="00896BC4">
        <w:rPr>
          <w:sz w:val="28"/>
          <w:szCs w:val="28"/>
          <w:lang w:val="en-CA"/>
        </w:rPr>
        <w:t xml:space="preserve"> </w:t>
      </w:r>
    </w:p>
    <w:p w:rsidR="00896BC4" w:rsidRDefault="00896BC4" w:rsidP="00FC6683">
      <w:pPr>
        <w:tabs>
          <w:tab w:val="left" w:pos="4035"/>
        </w:tabs>
        <w:rPr>
          <w:b/>
          <w:sz w:val="28"/>
          <w:szCs w:val="28"/>
          <w:lang w:val="en-US"/>
        </w:rPr>
      </w:pPr>
    </w:p>
    <w:p w:rsidR="000A3587" w:rsidRDefault="000A3587" w:rsidP="00FC6683">
      <w:pPr>
        <w:tabs>
          <w:tab w:val="left" w:pos="4035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LM fish</w:t>
      </w:r>
    </w:p>
    <w:p w:rsidR="000A3587" w:rsidRPr="000A3587" w:rsidRDefault="000A3587" w:rsidP="00FC6683">
      <w:pPr>
        <w:tabs>
          <w:tab w:val="left" w:pos="4035"/>
        </w:tabs>
        <w:rPr>
          <w:sz w:val="28"/>
          <w:szCs w:val="28"/>
          <w:lang w:val="en-US"/>
        </w:rPr>
      </w:pPr>
      <w:r w:rsidRPr="000A3587">
        <w:rPr>
          <w:sz w:val="28"/>
          <w:szCs w:val="28"/>
          <w:lang w:val="en-US"/>
        </w:rPr>
        <w:t>There are no challenges foreseen in the ERA of LM fish</w:t>
      </w:r>
      <w:r w:rsidR="00D317E5">
        <w:rPr>
          <w:sz w:val="28"/>
          <w:szCs w:val="28"/>
          <w:lang w:val="en-US"/>
        </w:rPr>
        <w:t xml:space="preserve"> as</w:t>
      </w:r>
      <w:r>
        <w:rPr>
          <w:sz w:val="28"/>
          <w:szCs w:val="28"/>
          <w:lang w:val="en-US"/>
        </w:rPr>
        <w:t xml:space="preserve"> compared to other LMOs.</w:t>
      </w:r>
    </w:p>
    <w:p w:rsidR="000A3587" w:rsidRPr="00FC6683" w:rsidRDefault="000A3587" w:rsidP="00FC6683">
      <w:pPr>
        <w:tabs>
          <w:tab w:val="left" w:pos="4035"/>
        </w:tabs>
        <w:rPr>
          <w:b/>
          <w:sz w:val="28"/>
          <w:szCs w:val="28"/>
          <w:lang w:val="en-US"/>
        </w:rPr>
      </w:pPr>
    </w:p>
    <w:p w:rsidR="00E4776F" w:rsidRPr="00833426" w:rsidRDefault="00E4776F" w:rsidP="00E4776F">
      <w:pPr>
        <w:pStyle w:val="Lijstalinea"/>
        <w:numPr>
          <w:ilvl w:val="0"/>
          <w:numId w:val="2"/>
        </w:numPr>
        <w:tabs>
          <w:tab w:val="left" w:pos="4035"/>
        </w:tabs>
        <w:rPr>
          <w:b/>
          <w:sz w:val="28"/>
          <w:szCs w:val="28"/>
          <w:lang w:val="en-US"/>
        </w:rPr>
      </w:pPr>
      <w:r w:rsidRPr="00833426">
        <w:rPr>
          <w:b/>
          <w:sz w:val="28"/>
          <w:szCs w:val="28"/>
          <w:lang w:val="en-US"/>
        </w:rPr>
        <w:t>Specific needs (if any) to properly undertake ri</w:t>
      </w:r>
      <w:r w:rsidR="00F313AB" w:rsidRPr="00833426">
        <w:rPr>
          <w:b/>
          <w:sz w:val="28"/>
          <w:szCs w:val="28"/>
          <w:lang w:val="en-US"/>
        </w:rPr>
        <w:t>s</w:t>
      </w:r>
      <w:r w:rsidRPr="00833426">
        <w:rPr>
          <w:b/>
          <w:sz w:val="28"/>
          <w:szCs w:val="28"/>
          <w:lang w:val="en-US"/>
        </w:rPr>
        <w:t>ks assessment of living modified organisms co</w:t>
      </w:r>
      <w:r w:rsidR="00833426">
        <w:rPr>
          <w:b/>
          <w:sz w:val="28"/>
          <w:szCs w:val="28"/>
          <w:lang w:val="en-US"/>
        </w:rPr>
        <w:t>ntaining engineered gene drives</w:t>
      </w:r>
    </w:p>
    <w:p w:rsidR="002047CA" w:rsidRPr="002047CA" w:rsidRDefault="00D317E5" w:rsidP="002047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see </w:t>
      </w:r>
      <w:r w:rsidR="003163ED">
        <w:rPr>
          <w:sz w:val="28"/>
          <w:szCs w:val="28"/>
          <w:lang w:val="en-US"/>
        </w:rPr>
        <w:t xml:space="preserve">no </w:t>
      </w:r>
      <w:r w:rsidR="002047CA" w:rsidRPr="002047CA">
        <w:rPr>
          <w:sz w:val="28"/>
          <w:szCs w:val="28"/>
          <w:lang w:val="en-US"/>
        </w:rPr>
        <w:t>specific ne</w:t>
      </w:r>
      <w:r>
        <w:rPr>
          <w:sz w:val="28"/>
          <w:szCs w:val="28"/>
          <w:lang w:val="en-US"/>
        </w:rPr>
        <w:t>ed</w:t>
      </w:r>
      <w:r w:rsidR="002047CA" w:rsidRPr="002047CA">
        <w:rPr>
          <w:sz w:val="28"/>
          <w:szCs w:val="28"/>
          <w:lang w:val="en-US"/>
        </w:rPr>
        <w:t xml:space="preserve"> </w:t>
      </w:r>
      <w:r w:rsidR="00833426">
        <w:rPr>
          <w:sz w:val="28"/>
          <w:szCs w:val="28"/>
          <w:lang w:val="en-US"/>
        </w:rPr>
        <w:t xml:space="preserve">that has to be fulfilled before an </w:t>
      </w:r>
      <w:r w:rsidR="002047CA" w:rsidRPr="002047CA">
        <w:rPr>
          <w:sz w:val="28"/>
          <w:szCs w:val="28"/>
          <w:lang w:val="en-US"/>
        </w:rPr>
        <w:t>ERA of LMOs containing an engineered gene drive</w:t>
      </w:r>
      <w:r w:rsidR="00833426">
        <w:rPr>
          <w:sz w:val="28"/>
          <w:szCs w:val="28"/>
          <w:lang w:val="en-US"/>
        </w:rPr>
        <w:t xml:space="preserve"> can be undertaken</w:t>
      </w:r>
      <w:r w:rsidR="002047CA" w:rsidRPr="002047CA">
        <w:rPr>
          <w:sz w:val="28"/>
          <w:szCs w:val="28"/>
          <w:lang w:val="en-US"/>
        </w:rPr>
        <w:t xml:space="preserve">. </w:t>
      </w:r>
      <w:r w:rsidR="00833426">
        <w:rPr>
          <w:sz w:val="28"/>
          <w:szCs w:val="28"/>
          <w:lang w:val="en-US"/>
        </w:rPr>
        <w:t xml:space="preserve">An ERA has to </w:t>
      </w:r>
      <w:r w:rsidR="003163ED">
        <w:rPr>
          <w:sz w:val="28"/>
          <w:szCs w:val="28"/>
          <w:lang w:val="en-US"/>
        </w:rPr>
        <w:t xml:space="preserve">performed </w:t>
      </w:r>
      <w:r>
        <w:rPr>
          <w:sz w:val="28"/>
          <w:szCs w:val="28"/>
          <w:lang w:val="en-US"/>
        </w:rPr>
        <w:t>on a case-by-case basis and data for ERA are to be generated in the frame of the specific applications. To perfo</w:t>
      </w:r>
      <w:r w:rsidR="00833426">
        <w:rPr>
          <w:sz w:val="28"/>
          <w:szCs w:val="28"/>
          <w:lang w:val="en-US"/>
        </w:rPr>
        <w:t>rm the ERA, use can be made of</w:t>
      </w:r>
      <w:r>
        <w:rPr>
          <w:sz w:val="28"/>
          <w:szCs w:val="28"/>
          <w:lang w:val="en-US"/>
        </w:rPr>
        <w:t xml:space="preserve">  exis</w:t>
      </w:r>
      <w:r w:rsidR="002047CA" w:rsidRPr="002047CA">
        <w:rPr>
          <w:sz w:val="28"/>
          <w:szCs w:val="28"/>
          <w:lang w:val="en-US"/>
        </w:rPr>
        <w:t xml:space="preserve">ting guidance for </w:t>
      </w:r>
      <w:r>
        <w:rPr>
          <w:sz w:val="28"/>
          <w:szCs w:val="28"/>
          <w:lang w:val="en-US"/>
        </w:rPr>
        <w:t xml:space="preserve">LM insects  and </w:t>
      </w:r>
      <w:r w:rsidR="002047CA" w:rsidRPr="002047CA">
        <w:rPr>
          <w:sz w:val="28"/>
          <w:szCs w:val="28"/>
          <w:lang w:val="en-US"/>
        </w:rPr>
        <w:t xml:space="preserve">organisms with similar properties </w:t>
      </w:r>
      <w:r>
        <w:rPr>
          <w:sz w:val="28"/>
          <w:szCs w:val="28"/>
          <w:lang w:val="en-US"/>
        </w:rPr>
        <w:t xml:space="preserve">as </w:t>
      </w:r>
      <w:r w:rsidR="002047CA" w:rsidRPr="002047CA">
        <w:rPr>
          <w:sz w:val="28"/>
          <w:szCs w:val="28"/>
          <w:lang w:val="en-US"/>
        </w:rPr>
        <w:t>organism</w:t>
      </w:r>
      <w:r>
        <w:rPr>
          <w:sz w:val="28"/>
          <w:szCs w:val="28"/>
          <w:lang w:val="en-US"/>
        </w:rPr>
        <w:t>s</w:t>
      </w:r>
      <w:r w:rsidR="002047CA" w:rsidRPr="002047C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with </w:t>
      </w:r>
      <w:r w:rsidR="002047CA" w:rsidRPr="002047CA">
        <w:rPr>
          <w:sz w:val="28"/>
          <w:szCs w:val="28"/>
          <w:lang w:val="en-US"/>
        </w:rPr>
        <w:t xml:space="preserve">a gene drive construct </w:t>
      </w:r>
      <w:r>
        <w:rPr>
          <w:sz w:val="28"/>
          <w:szCs w:val="28"/>
          <w:lang w:val="en-US"/>
        </w:rPr>
        <w:t xml:space="preserve"> such as </w:t>
      </w:r>
      <w:r w:rsidR="002047CA" w:rsidRPr="002047CA">
        <w:rPr>
          <w:sz w:val="28"/>
          <w:szCs w:val="28"/>
          <w:lang w:val="en-US"/>
        </w:rPr>
        <w:t xml:space="preserve">biocontrol agents, living </w:t>
      </w:r>
      <w:r>
        <w:rPr>
          <w:sz w:val="28"/>
          <w:szCs w:val="28"/>
          <w:lang w:val="en-US"/>
        </w:rPr>
        <w:t>microbial pesticides and invasive species.</w:t>
      </w:r>
    </w:p>
    <w:p w:rsidR="00D317E5" w:rsidRDefault="002047CA" w:rsidP="002047CA">
      <w:pPr>
        <w:rPr>
          <w:sz w:val="28"/>
          <w:szCs w:val="28"/>
          <w:lang w:val="en-US"/>
        </w:rPr>
      </w:pPr>
      <w:r w:rsidRPr="002047CA">
        <w:rPr>
          <w:sz w:val="28"/>
          <w:szCs w:val="28"/>
          <w:lang w:val="en-US"/>
        </w:rPr>
        <w:t xml:space="preserve">As indicated </w:t>
      </w:r>
      <w:r w:rsidR="00D317E5">
        <w:rPr>
          <w:sz w:val="28"/>
          <w:szCs w:val="28"/>
          <w:lang w:val="en-US"/>
        </w:rPr>
        <w:t xml:space="preserve">above </w:t>
      </w:r>
      <w:r w:rsidRPr="002047CA">
        <w:rPr>
          <w:sz w:val="28"/>
          <w:szCs w:val="28"/>
          <w:lang w:val="en-US"/>
        </w:rPr>
        <w:t xml:space="preserve">there is </w:t>
      </w:r>
      <w:r w:rsidR="003163ED">
        <w:rPr>
          <w:sz w:val="28"/>
          <w:szCs w:val="28"/>
          <w:lang w:val="en-US"/>
        </w:rPr>
        <w:t>existing</w:t>
      </w:r>
      <w:r>
        <w:rPr>
          <w:sz w:val="28"/>
          <w:szCs w:val="28"/>
          <w:lang w:val="en-US"/>
        </w:rPr>
        <w:t xml:space="preserve"> EFSA </w:t>
      </w:r>
      <w:r w:rsidRPr="002047CA">
        <w:rPr>
          <w:sz w:val="28"/>
          <w:szCs w:val="28"/>
          <w:lang w:val="en-US"/>
        </w:rPr>
        <w:t xml:space="preserve">guidance for ERA of </w:t>
      </w:r>
      <w:r w:rsidR="00D317E5">
        <w:rPr>
          <w:sz w:val="28"/>
          <w:szCs w:val="28"/>
          <w:lang w:val="en-US"/>
        </w:rPr>
        <w:t>L</w:t>
      </w:r>
      <w:r w:rsidRPr="002047CA">
        <w:rPr>
          <w:sz w:val="28"/>
          <w:szCs w:val="28"/>
          <w:lang w:val="en-US"/>
        </w:rPr>
        <w:t>M insects</w:t>
      </w:r>
      <w:r>
        <w:rPr>
          <w:sz w:val="28"/>
          <w:szCs w:val="28"/>
          <w:lang w:val="en-US"/>
        </w:rPr>
        <w:t xml:space="preserve"> in which insects with</w:t>
      </w:r>
      <w:r w:rsidRPr="002047CA">
        <w:rPr>
          <w:sz w:val="28"/>
          <w:szCs w:val="28"/>
          <w:lang w:val="en-US"/>
        </w:rPr>
        <w:t xml:space="preserve"> gene drive</w:t>
      </w:r>
      <w:r>
        <w:rPr>
          <w:sz w:val="28"/>
          <w:szCs w:val="28"/>
          <w:lang w:val="en-US"/>
        </w:rPr>
        <w:t xml:space="preserve">s </w:t>
      </w:r>
      <w:r w:rsidRPr="002047CA">
        <w:rPr>
          <w:sz w:val="28"/>
          <w:szCs w:val="28"/>
          <w:lang w:val="en-US"/>
        </w:rPr>
        <w:t>are explicitly</w:t>
      </w:r>
      <w:r w:rsidR="00833426">
        <w:rPr>
          <w:sz w:val="28"/>
          <w:szCs w:val="28"/>
          <w:lang w:val="en-US"/>
        </w:rPr>
        <w:t xml:space="preserve"> addressed</w:t>
      </w:r>
      <w:r>
        <w:rPr>
          <w:sz w:val="28"/>
          <w:szCs w:val="28"/>
          <w:lang w:val="en-US"/>
        </w:rPr>
        <w:t xml:space="preserve">. Other </w:t>
      </w:r>
      <w:r w:rsidR="00D317E5">
        <w:rPr>
          <w:sz w:val="28"/>
          <w:szCs w:val="28"/>
          <w:lang w:val="en-US"/>
        </w:rPr>
        <w:t xml:space="preserve">sources </w:t>
      </w:r>
      <w:r>
        <w:rPr>
          <w:sz w:val="28"/>
          <w:szCs w:val="28"/>
          <w:lang w:val="en-US"/>
        </w:rPr>
        <w:t xml:space="preserve">are the </w:t>
      </w:r>
      <w:r w:rsidR="00833426">
        <w:rPr>
          <w:sz w:val="28"/>
          <w:szCs w:val="28"/>
          <w:lang w:val="en-US"/>
        </w:rPr>
        <w:lastRenderedPageBreak/>
        <w:t xml:space="preserve">guidance on </w:t>
      </w:r>
      <w:r w:rsidR="00D317E5">
        <w:rPr>
          <w:sz w:val="28"/>
          <w:szCs w:val="28"/>
          <w:lang w:val="en-US"/>
        </w:rPr>
        <w:t xml:space="preserve">LM insects </w:t>
      </w:r>
      <w:r w:rsidR="00833426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as part of t</w:t>
      </w:r>
      <w:r w:rsidR="00D317E5">
        <w:rPr>
          <w:sz w:val="28"/>
          <w:szCs w:val="28"/>
          <w:lang w:val="en-US"/>
        </w:rPr>
        <w:t>h</w:t>
      </w:r>
      <w:r>
        <w:rPr>
          <w:sz w:val="28"/>
          <w:szCs w:val="28"/>
          <w:lang w:val="en-US"/>
        </w:rPr>
        <w:t>e vo</w:t>
      </w:r>
      <w:r w:rsidR="00D317E5">
        <w:rPr>
          <w:sz w:val="28"/>
          <w:szCs w:val="28"/>
          <w:lang w:val="en-US"/>
        </w:rPr>
        <w:t>luntary guidance on risk assess</w:t>
      </w:r>
      <w:r>
        <w:rPr>
          <w:sz w:val="28"/>
          <w:szCs w:val="28"/>
          <w:lang w:val="en-US"/>
        </w:rPr>
        <w:t>ment</w:t>
      </w:r>
      <w:r w:rsidR="00833426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under the Cartagena Protocol</w:t>
      </w:r>
      <w:r w:rsidR="00D317E5">
        <w:rPr>
          <w:sz w:val="28"/>
          <w:szCs w:val="28"/>
          <w:lang w:val="en-US"/>
        </w:rPr>
        <w:t xml:space="preserve">, as well as existing WHO guidance on LM insects. </w:t>
      </w:r>
    </w:p>
    <w:p w:rsidR="00D317E5" w:rsidRPr="002047CA" w:rsidRDefault="002047CA" w:rsidP="00D317E5">
      <w:pPr>
        <w:rPr>
          <w:sz w:val="28"/>
          <w:szCs w:val="28"/>
          <w:lang w:val="en-US"/>
        </w:rPr>
      </w:pPr>
      <w:r w:rsidRPr="002047CA">
        <w:rPr>
          <w:sz w:val="28"/>
          <w:szCs w:val="28"/>
          <w:lang w:val="en-US"/>
        </w:rPr>
        <w:t>Other sources that may be relevant</w:t>
      </w:r>
      <w:r w:rsidR="00D317E5">
        <w:rPr>
          <w:sz w:val="28"/>
          <w:szCs w:val="28"/>
          <w:lang w:val="en-US"/>
        </w:rPr>
        <w:t xml:space="preserve"> for LMOs with a gene drive are the </w:t>
      </w:r>
    </w:p>
    <w:p w:rsidR="002047CA" w:rsidRPr="002047CA" w:rsidRDefault="003163ED" w:rsidP="002047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ERA guidance</w:t>
      </w:r>
      <w:r w:rsidR="00833426">
        <w:rPr>
          <w:sz w:val="28"/>
          <w:szCs w:val="28"/>
          <w:lang w:val="en-US"/>
        </w:rPr>
        <w:t xml:space="preserve"> </w:t>
      </w:r>
      <w:r w:rsidR="002047CA" w:rsidRPr="002047CA">
        <w:rPr>
          <w:sz w:val="28"/>
          <w:szCs w:val="28"/>
          <w:lang w:val="en-US"/>
        </w:rPr>
        <w:t>for</w:t>
      </w:r>
      <w:r w:rsidR="002047CA">
        <w:rPr>
          <w:sz w:val="28"/>
          <w:szCs w:val="28"/>
          <w:lang w:val="en-US"/>
        </w:rPr>
        <w:t xml:space="preserve"> plant protection products</w:t>
      </w:r>
      <w:r w:rsidR="00833426">
        <w:rPr>
          <w:sz w:val="28"/>
          <w:szCs w:val="28"/>
          <w:lang w:val="en-US"/>
        </w:rPr>
        <w:t xml:space="preserve"> of</w:t>
      </w:r>
      <w:r>
        <w:rPr>
          <w:sz w:val="28"/>
          <w:szCs w:val="28"/>
          <w:lang w:val="en-US"/>
        </w:rPr>
        <w:t xml:space="preserve"> </w:t>
      </w:r>
      <w:r w:rsidR="00833426">
        <w:rPr>
          <w:sz w:val="28"/>
          <w:szCs w:val="28"/>
          <w:lang w:val="en-US"/>
        </w:rPr>
        <w:t>invasive species:</w:t>
      </w:r>
    </w:p>
    <w:p w:rsidR="00833426" w:rsidRDefault="00CF6208" w:rsidP="002047CA">
      <w:pPr>
        <w:rPr>
          <w:sz w:val="28"/>
          <w:szCs w:val="28"/>
          <w:lang w:val="en-US"/>
        </w:rPr>
      </w:pPr>
      <w:hyperlink r:id="rId11" w:history="1">
        <w:r w:rsidR="002047CA" w:rsidRPr="002047CA">
          <w:rPr>
            <w:rStyle w:val="Hyperlink"/>
            <w:sz w:val="28"/>
            <w:szCs w:val="28"/>
            <w:lang w:val="en-US"/>
          </w:rPr>
          <w:t>https://ec.europa.eu/food/plant/pesticides/approval_active_substances/guidance_documents_en</w:t>
        </w:r>
      </w:hyperlink>
      <w:r w:rsidR="002047CA" w:rsidRPr="002047CA">
        <w:rPr>
          <w:sz w:val="28"/>
          <w:szCs w:val="28"/>
          <w:lang w:val="en-US"/>
        </w:rPr>
        <w:t xml:space="preserve">. </w:t>
      </w:r>
    </w:p>
    <w:p w:rsidR="002047CA" w:rsidRPr="002047CA" w:rsidRDefault="00CF6208" w:rsidP="002047CA">
      <w:pPr>
        <w:rPr>
          <w:sz w:val="28"/>
          <w:szCs w:val="28"/>
          <w:lang w:val="en-US"/>
        </w:rPr>
      </w:pPr>
      <w:hyperlink r:id="rId12" w:history="1">
        <w:r w:rsidR="002047CA" w:rsidRPr="002047CA">
          <w:rPr>
            <w:rStyle w:val="Hyperlink"/>
            <w:sz w:val="28"/>
            <w:szCs w:val="28"/>
            <w:lang w:val="en-US"/>
          </w:rPr>
          <w:t>http://eur-lex.europa.eu/legal-content/EN/TXT/?uri=celex%3A32009R1107</w:t>
        </w:r>
      </w:hyperlink>
    </w:p>
    <w:p w:rsidR="002047CA" w:rsidRPr="002047CA" w:rsidRDefault="00CF6208" w:rsidP="002047CA">
      <w:pPr>
        <w:rPr>
          <w:sz w:val="28"/>
          <w:szCs w:val="28"/>
          <w:lang w:val="en-US"/>
        </w:rPr>
      </w:pPr>
      <w:hyperlink r:id="rId13" w:history="1">
        <w:r w:rsidR="002047CA" w:rsidRPr="002047CA">
          <w:rPr>
            <w:rStyle w:val="Hyperlink"/>
            <w:sz w:val="28"/>
            <w:szCs w:val="28"/>
            <w:lang w:val="en-US"/>
          </w:rPr>
          <w:t>https://www.efsa.europa.eu/sites/default/files/engage/180212-0.pdf</w:t>
        </w:r>
      </w:hyperlink>
    </w:p>
    <w:p w:rsidR="002047CA" w:rsidRPr="002047CA" w:rsidRDefault="002047CA" w:rsidP="002047CA">
      <w:pPr>
        <w:tabs>
          <w:tab w:val="left" w:pos="4035"/>
        </w:tabs>
        <w:rPr>
          <w:sz w:val="28"/>
          <w:szCs w:val="28"/>
          <w:lang w:val="en-US"/>
        </w:rPr>
      </w:pPr>
    </w:p>
    <w:sectPr w:rsidR="002047CA" w:rsidRPr="002047CA" w:rsidSect="006C12B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208" w:rsidRDefault="00CF6208" w:rsidP="00D03F40">
      <w:r>
        <w:separator/>
      </w:r>
    </w:p>
  </w:endnote>
  <w:endnote w:type="continuationSeparator" w:id="0">
    <w:p w:rsidR="00CF6208" w:rsidRDefault="00CF6208" w:rsidP="00D0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F40" w:rsidRDefault="00D03F4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F40" w:rsidRDefault="00D03F4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F40" w:rsidRDefault="00D03F4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208" w:rsidRDefault="00CF6208" w:rsidP="00D03F40">
      <w:r>
        <w:separator/>
      </w:r>
    </w:p>
  </w:footnote>
  <w:footnote w:type="continuationSeparator" w:id="0">
    <w:p w:rsidR="00CF6208" w:rsidRDefault="00CF6208" w:rsidP="00D03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F40" w:rsidRDefault="00D03F4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F40" w:rsidRDefault="00D03F4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F40" w:rsidRDefault="00D03F4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F42B2"/>
    <w:multiLevelType w:val="hybridMultilevel"/>
    <w:tmpl w:val="67CA3FE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8791E"/>
    <w:multiLevelType w:val="hybridMultilevel"/>
    <w:tmpl w:val="5C92A78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C2"/>
    <w:rsid w:val="000858E5"/>
    <w:rsid w:val="000A3587"/>
    <w:rsid w:val="002047CA"/>
    <w:rsid w:val="003075E3"/>
    <w:rsid w:val="003163ED"/>
    <w:rsid w:val="003D0AB6"/>
    <w:rsid w:val="003E683F"/>
    <w:rsid w:val="00412783"/>
    <w:rsid w:val="005452C7"/>
    <w:rsid w:val="005514E5"/>
    <w:rsid w:val="005B0C20"/>
    <w:rsid w:val="006235DC"/>
    <w:rsid w:val="006556C2"/>
    <w:rsid w:val="00673378"/>
    <w:rsid w:val="006C12B1"/>
    <w:rsid w:val="00833426"/>
    <w:rsid w:val="00867DEA"/>
    <w:rsid w:val="00896BC4"/>
    <w:rsid w:val="009306B0"/>
    <w:rsid w:val="0093225E"/>
    <w:rsid w:val="00936CF2"/>
    <w:rsid w:val="00973FA3"/>
    <w:rsid w:val="00A72364"/>
    <w:rsid w:val="00A77B8F"/>
    <w:rsid w:val="00B063F1"/>
    <w:rsid w:val="00C63E84"/>
    <w:rsid w:val="00C76C34"/>
    <w:rsid w:val="00C77287"/>
    <w:rsid w:val="00CF6208"/>
    <w:rsid w:val="00D03F40"/>
    <w:rsid w:val="00D317E5"/>
    <w:rsid w:val="00D8466D"/>
    <w:rsid w:val="00DC25CC"/>
    <w:rsid w:val="00E4776F"/>
    <w:rsid w:val="00E7163A"/>
    <w:rsid w:val="00EA1E99"/>
    <w:rsid w:val="00F313AB"/>
    <w:rsid w:val="00F721B5"/>
    <w:rsid w:val="00F86159"/>
    <w:rsid w:val="00FC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EE8B1-958A-487D-B3F5-726D71D6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556C2"/>
    <w:pPr>
      <w:ind w:left="720"/>
    </w:pPr>
    <w:rPr>
      <w:rFonts w:ascii="Calibri" w:hAnsi="Calibri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C76C34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C12B1"/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C12B1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A77B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12783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03F4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03F40"/>
  </w:style>
  <w:style w:type="paragraph" w:styleId="Voettekst">
    <w:name w:val="footer"/>
    <w:basedOn w:val="Standaard"/>
    <w:link w:val="VoettekstChar"/>
    <w:uiPriority w:val="99"/>
    <w:unhideWhenUsed/>
    <w:rsid w:val="00D03F4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03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jtmh.org/content/journals/10.4269/ajtmh.16-0726" TargetMode="External"/><Relationship Id="rId13" Type="http://schemas.openxmlformats.org/officeDocument/2006/relationships/hyperlink" Target="https://www.efsa.europa.eu/sites/default/files/engage/180212-0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ivm.openrepository.com/handle/10029/596002" TargetMode="External"/><Relationship Id="rId12" Type="http://schemas.openxmlformats.org/officeDocument/2006/relationships/hyperlink" Target="http://eur-lex.europa.eu/legal-content/EN/TXT/?uri=celex%3A32009R1107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.europa.eu/food/plant/pesticides/approval_active_substances/guidance_documents_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efsa.europa.eu/en/efsajournal/pub/3200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ajtmh.org/content/journals/10.4269/ajtmh.18-008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4510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SSC-Campus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Boet Glandorf</dc:creator>
  <cp:lastModifiedBy>Aarts, W.M. (Mijntje) - BSK</cp:lastModifiedBy>
  <cp:revision>3</cp:revision>
  <dcterms:created xsi:type="dcterms:W3CDTF">2019-03-07T12:37:00Z</dcterms:created>
  <dcterms:modified xsi:type="dcterms:W3CDTF">2019-03-07T12:52:00Z</dcterms:modified>
</cp:coreProperties>
</file>