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8E" w:rsidRDefault="0026688E" w:rsidP="0026688E">
      <w:pPr>
        <w:spacing w:line="276" w:lineRule="auto"/>
        <w:jc w:val="center"/>
        <w:rPr>
          <w:b/>
          <w:sz w:val="28"/>
          <w:szCs w:val="28"/>
        </w:rPr>
      </w:pPr>
      <w:r w:rsidRPr="0078139B">
        <w:rPr>
          <w:b/>
          <w:sz w:val="28"/>
          <w:szCs w:val="28"/>
        </w:rPr>
        <w:t>NOTIFICACIÓN SCBD/BS/</w:t>
      </w:r>
      <w:r>
        <w:rPr>
          <w:b/>
          <w:sz w:val="28"/>
          <w:szCs w:val="28"/>
        </w:rPr>
        <w:t>CG/MPM</w:t>
      </w:r>
      <w:r w:rsidRPr="0078139B">
        <w:rPr>
          <w:b/>
          <w:sz w:val="28"/>
          <w:szCs w:val="28"/>
        </w:rPr>
        <w:t>/DA/8</w:t>
      </w:r>
      <w:r>
        <w:rPr>
          <w:b/>
          <w:sz w:val="28"/>
          <w:szCs w:val="28"/>
        </w:rPr>
        <w:t>5327</w:t>
      </w:r>
      <w:r w:rsidRPr="0078139B">
        <w:rPr>
          <w:b/>
          <w:sz w:val="28"/>
          <w:szCs w:val="28"/>
        </w:rPr>
        <w:t xml:space="preserve"> </w:t>
      </w:r>
      <w:r>
        <w:rPr>
          <w:b/>
          <w:sz w:val="28"/>
          <w:szCs w:val="28"/>
        </w:rPr>
        <w:t>(2016-009</w:t>
      </w:r>
      <w:r w:rsidRPr="0078139B">
        <w:rPr>
          <w:b/>
          <w:sz w:val="28"/>
          <w:szCs w:val="28"/>
        </w:rPr>
        <w:t>)</w:t>
      </w:r>
    </w:p>
    <w:p w:rsidR="0026688E" w:rsidRDefault="0026688E" w:rsidP="0026688E">
      <w:pPr>
        <w:spacing w:line="276" w:lineRule="auto"/>
        <w:jc w:val="center"/>
        <w:rPr>
          <w:b/>
          <w:sz w:val="28"/>
          <w:szCs w:val="28"/>
        </w:rPr>
      </w:pPr>
    </w:p>
    <w:p w:rsidR="0026688E" w:rsidRPr="00A63D4A" w:rsidRDefault="0026688E" w:rsidP="0026688E">
      <w:pPr>
        <w:spacing w:line="276" w:lineRule="auto"/>
        <w:jc w:val="both"/>
        <w:rPr>
          <w:sz w:val="24"/>
          <w:szCs w:val="28"/>
        </w:rPr>
      </w:pPr>
      <w:r w:rsidRPr="00A63D4A">
        <w:rPr>
          <w:sz w:val="24"/>
          <w:szCs w:val="28"/>
        </w:rPr>
        <w:t>En atención a la decisión BS-VII/4 y de conformidad con el objetivo operacional 1.8 del Plan Estratégico del Protocolo de Cartagena sobre seguridad de la biotecnología para el período 2011-2020</w:t>
      </w:r>
      <w:r w:rsidRPr="00A63D4A">
        <w:rPr>
          <w:rStyle w:val="Refdenotaalpie"/>
          <w:sz w:val="24"/>
          <w:szCs w:val="28"/>
        </w:rPr>
        <w:footnoteReference w:id="1"/>
      </w:r>
      <w:r w:rsidRPr="00A63D4A">
        <w:rPr>
          <w:sz w:val="24"/>
          <w:szCs w:val="28"/>
        </w:rPr>
        <w:t xml:space="preserve">, México informa a las Partes que la Ley de Bioseguridad de Organismos Genéticamente Modificados (LBOGM) regula la utilización confinada de </w:t>
      </w:r>
      <w:r w:rsidR="00326CB5">
        <w:rPr>
          <w:sz w:val="24"/>
          <w:szCs w:val="28"/>
        </w:rPr>
        <w:t>organismos genéticamente modificados (</w:t>
      </w:r>
      <w:r w:rsidRPr="00A63D4A">
        <w:rPr>
          <w:sz w:val="24"/>
          <w:szCs w:val="28"/>
        </w:rPr>
        <w:t>OGMs</w:t>
      </w:r>
      <w:r w:rsidR="00326CB5">
        <w:rPr>
          <w:sz w:val="24"/>
          <w:szCs w:val="28"/>
        </w:rPr>
        <w:t>)</w:t>
      </w:r>
      <w:r w:rsidRPr="00A63D4A">
        <w:rPr>
          <w:sz w:val="24"/>
          <w:szCs w:val="28"/>
        </w:rPr>
        <w:t xml:space="preserve"> con fines de enseñanza, de investigación científica y tecnológi</w:t>
      </w:r>
      <w:r w:rsidR="00326CB5">
        <w:rPr>
          <w:sz w:val="24"/>
          <w:szCs w:val="28"/>
        </w:rPr>
        <w:t xml:space="preserve">ca, industriales o comerciales </w:t>
      </w:r>
      <w:r w:rsidRPr="00A63D4A">
        <w:rPr>
          <w:sz w:val="24"/>
          <w:szCs w:val="28"/>
        </w:rPr>
        <w:t>a través del régimen de Avisos</w:t>
      </w:r>
      <w:r w:rsidR="00326CB5" w:rsidRPr="00326CB5">
        <w:rPr>
          <w:sz w:val="24"/>
          <w:szCs w:val="28"/>
        </w:rPr>
        <w:t xml:space="preserve"> </w:t>
      </w:r>
      <w:r w:rsidR="00326CB5">
        <w:rPr>
          <w:sz w:val="24"/>
          <w:szCs w:val="28"/>
        </w:rPr>
        <w:t>como establece la Ley en los a</w:t>
      </w:r>
      <w:r w:rsidR="00326CB5" w:rsidRPr="00A63D4A">
        <w:rPr>
          <w:sz w:val="24"/>
          <w:szCs w:val="28"/>
        </w:rPr>
        <w:t xml:space="preserve">rtículos 73 </w:t>
      </w:r>
      <w:r w:rsidR="00326CB5">
        <w:rPr>
          <w:sz w:val="24"/>
          <w:szCs w:val="28"/>
        </w:rPr>
        <w:t>a</w:t>
      </w:r>
      <w:r w:rsidR="00326CB5" w:rsidRPr="00A63D4A">
        <w:rPr>
          <w:sz w:val="24"/>
          <w:szCs w:val="28"/>
        </w:rPr>
        <w:t xml:space="preserve"> 85</w:t>
      </w:r>
      <w:r w:rsidRPr="00A63D4A">
        <w:rPr>
          <w:sz w:val="24"/>
          <w:szCs w:val="28"/>
        </w:rPr>
        <w:t xml:space="preserve">. </w:t>
      </w:r>
    </w:p>
    <w:p w:rsidR="0026688E" w:rsidRPr="005D6548" w:rsidRDefault="0026688E" w:rsidP="0026688E">
      <w:pPr>
        <w:spacing w:line="276" w:lineRule="auto"/>
        <w:jc w:val="both"/>
        <w:rPr>
          <w:sz w:val="18"/>
          <w:szCs w:val="28"/>
        </w:rPr>
      </w:pPr>
    </w:p>
    <w:p w:rsidR="0026688E" w:rsidRPr="00A63D4A" w:rsidRDefault="0026688E" w:rsidP="0026688E">
      <w:pPr>
        <w:spacing w:line="276" w:lineRule="auto"/>
        <w:jc w:val="both"/>
        <w:rPr>
          <w:i/>
          <w:sz w:val="24"/>
          <w:szCs w:val="28"/>
        </w:rPr>
      </w:pPr>
      <w:r w:rsidRPr="00A63D4A">
        <w:rPr>
          <w:sz w:val="24"/>
          <w:szCs w:val="28"/>
        </w:rPr>
        <w:t xml:space="preserve">En materia de bioseguridad se entiende por </w:t>
      </w:r>
      <w:r w:rsidRPr="00A63D4A">
        <w:rPr>
          <w:b/>
          <w:i/>
          <w:sz w:val="24"/>
          <w:szCs w:val="28"/>
        </w:rPr>
        <w:t>Utilización Confinada</w:t>
      </w:r>
      <w:r w:rsidRPr="00A63D4A">
        <w:rPr>
          <w:sz w:val="24"/>
          <w:szCs w:val="28"/>
        </w:rPr>
        <w:t xml:space="preserve"> </w:t>
      </w:r>
      <w:r w:rsidRPr="00A63D4A">
        <w:rPr>
          <w:i/>
          <w:sz w:val="24"/>
          <w:szCs w:val="28"/>
        </w:rPr>
        <w:t>cualquier actividad por la que se modifique el material genético de un organismo o por la que éste, así modificado, se cultive, almacene, emplee, procese, transporte, comercialice, destruya o elimine, siempre que en la realización de tales actividades se utilicen barreras físicas o una combinación de éstas con barreras químicas o biológicas, con el fin de limitar de manera efectiva su contacto con la población y con el medio ambiente. Para los efectos de la LBOGM el área de las instalaciones o el ámbito de la utilización confinada no forma</w:t>
      </w:r>
      <w:r w:rsidR="00326CB5">
        <w:rPr>
          <w:i/>
          <w:sz w:val="24"/>
          <w:szCs w:val="28"/>
        </w:rPr>
        <w:t>n</w:t>
      </w:r>
      <w:r w:rsidRPr="00A63D4A">
        <w:rPr>
          <w:i/>
          <w:sz w:val="24"/>
          <w:szCs w:val="28"/>
        </w:rPr>
        <w:t xml:space="preserve"> parte del medio ambiente.</w:t>
      </w:r>
      <w:r w:rsidRPr="00A63D4A">
        <w:rPr>
          <w:rStyle w:val="Refdenotaalpie"/>
          <w:i/>
          <w:sz w:val="24"/>
          <w:szCs w:val="28"/>
        </w:rPr>
        <w:footnoteReference w:id="2"/>
      </w:r>
    </w:p>
    <w:p w:rsidR="0026688E" w:rsidRPr="005D6548" w:rsidRDefault="0026688E" w:rsidP="0026688E">
      <w:pPr>
        <w:spacing w:line="276" w:lineRule="auto"/>
        <w:jc w:val="both"/>
        <w:rPr>
          <w:sz w:val="18"/>
          <w:szCs w:val="28"/>
        </w:rPr>
      </w:pPr>
    </w:p>
    <w:p w:rsidR="0026688E" w:rsidRPr="00A63D4A" w:rsidRDefault="0026688E" w:rsidP="0026688E">
      <w:pPr>
        <w:spacing w:line="276" w:lineRule="auto"/>
        <w:jc w:val="both"/>
        <w:rPr>
          <w:sz w:val="24"/>
          <w:szCs w:val="28"/>
        </w:rPr>
      </w:pPr>
      <w:r w:rsidRPr="00A63D4A">
        <w:rPr>
          <w:sz w:val="24"/>
          <w:szCs w:val="28"/>
        </w:rPr>
        <w:t xml:space="preserve">De acuerdo a las disposiciones de la LBOGM, quienes realicen actividades de utilización confinada deberán cumplir con el requisito de presentación de aviso en los términos de la Ley, </w:t>
      </w:r>
      <w:r w:rsidR="00326CB5">
        <w:rPr>
          <w:sz w:val="24"/>
          <w:szCs w:val="28"/>
        </w:rPr>
        <w:t>por lo que</w:t>
      </w:r>
      <w:r w:rsidRPr="00A63D4A">
        <w:rPr>
          <w:sz w:val="24"/>
          <w:szCs w:val="28"/>
        </w:rPr>
        <w:t xml:space="preserve"> deberán cumplir con lo siguiente:</w:t>
      </w:r>
    </w:p>
    <w:p w:rsidR="0026688E" w:rsidRPr="00A63D4A" w:rsidRDefault="0026688E" w:rsidP="0026688E">
      <w:pPr>
        <w:spacing w:line="276" w:lineRule="auto"/>
        <w:jc w:val="both"/>
        <w:rPr>
          <w:sz w:val="24"/>
          <w:szCs w:val="28"/>
        </w:rPr>
      </w:pPr>
    </w:p>
    <w:p w:rsidR="0026688E" w:rsidRPr="00A63D4A" w:rsidRDefault="0026688E" w:rsidP="0026688E">
      <w:pPr>
        <w:pStyle w:val="Prrafodelista"/>
        <w:numPr>
          <w:ilvl w:val="0"/>
          <w:numId w:val="16"/>
        </w:numPr>
        <w:spacing w:line="276" w:lineRule="auto"/>
        <w:jc w:val="both"/>
        <w:rPr>
          <w:sz w:val="24"/>
          <w:szCs w:val="28"/>
        </w:rPr>
      </w:pPr>
      <w:r w:rsidRPr="00A63D4A">
        <w:rPr>
          <w:sz w:val="24"/>
          <w:szCs w:val="28"/>
        </w:rPr>
        <w:t>Llevar un libro de registro de las actividades de utilización confinada que realicen, el cual se deberá proporcionar a las Secretarías correspondientes cunado éstas lo soliciten;</w:t>
      </w:r>
    </w:p>
    <w:p w:rsidR="0026688E" w:rsidRPr="00A63D4A" w:rsidRDefault="0026688E" w:rsidP="0026688E">
      <w:pPr>
        <w:pStyle w:val="Prrafodelista"/>
        <w:numPr>
          <w:ilvl w:val="0"/>
          <w:numId w:val="16"/>
        </w:numPr>
        <w:spacing w:line="276" w:lineRule="auto"/>
        <w:jc w:val="both"/>
        <w:rPr>
          <w:sz w:val="24"/>
          <w:szCs w:val="28"/>
        </w:rPr>
      </w:pPr>
      <w:r w:rsidRPr="00A63D4A">
        <w:rPr>
          <w:sz w:val="24"/>
          <w:szCs w:val="28"/>
        </w:rPr>
        <w:t xml:space="preserve">Aplicar las medidas de confinamiento cuya ejecución deberá adaptarse a los conocimientos científicos y técnicos más modernos y avanzados en materia de manejo de riesgos y de tratamiento, disposición final y eliminación de residuos de OGMs generados en la realización de la actividad, y </w:t>
      </w:r>
    </w:p>
    <w:p w:rsidR="0026688E" w:rsidRPr="00A63D4A" w:rsidRDefault="0026688E" w:rsidP="0026688E">
      <w:pPr>
        <w:pStyle w:val="Prrafodelista"/>
        <w:numPr>
          <w:ilvl w:val="0"/>
          <w:numId w:val="16"/>
        </w:numPr>
        <w:spacing w:line="276" w:lineRule="auto"/>
        <w:jc w:val="both"/>
        <w:rPr>
          <w:sz w:val="24"/>
          <w:szCs w:val="28"/>
        </w:rPr>
      </w:pPr>
      <w:r w:rsidRPr="00A63D4A">
        <w:rPr>
          <w:sz w:val="24"/>
          <w:szCs w:val="28"/>
        </w:rPr>
        <w:t>En el caso de la utilización confinada con fines de enseñanza o de investigación científica y tecnológica, integrar una comisión interna de bioseguridad y aplicar los principios de las buenas prácticas de la investigación científica, así como las reglas de bioseguridad que defina la comisión interna de bioseguridad. Dicha comisión interna estará encargada de la seguridad en las instalaciones y de las buenas prácticas y la seguridad en el manejo de OGMs utilizados en la actividad señalada.</w:t>
      </w:r>
    </w:p>
    <w:p w:rsidR="0026688E" w:rsidRPr="00A63D4A" w:rsidRDefault="0026688E" w:rsidP="0026688E">
      <w:pPr>
        <w:pStyle w:val="Prrafodelista"/>
        <w:spacing w:line="276" w:lineRule="auto"/>
        <w:ind w:left="1080"/>
        <w:jc w:val="both"/>
        <w:rPr>
          <w:sz w:val="24"/>
          <w:szCs w:val="28"/>
        </w:rPr>
      </w:pPr>
    </w:p>
    <w:p w:rsidR="0026688E" w:rsidRPr="00A63D4A" w:rsidRDefault="0026688E" w:rsidP="0026688E">
      <w:pPr>
        <w:spacing w:line="276" w:lineRule="auto"/>
        <w:jc w:val="both"/>
        <w:rPr>
          <w:sz w:val="24"/>
          <w:szCs w:val="28"/>
        </w:rPr>
      </w:pPr>
      <w:r w:rsidRPr="00A63D4A">
        <w:rPr>
          <w:sz w:val="24"/>
          <w:szCs w:val="28"/>
        </w:rPr>
        <w:lastRenderedPageBreak/>
        <w:t>El Aviso es el instrumento que permite regular la utilización confinada y establece los términos de la comunicación que los sujetos señalados deben presentar en formatos oficiales</w:t>
      </w:r>
      <w:r w:rsidR="00326CB5">
        <w:rPr>
          <w:sz w:val="24"/>
          <w:szCs w:val="28"/>
        </w:rPr>
        <w:t>,</w:t>
      </w:r>
      <w:r w:rsidRPr="00A63D4A">
        <w:rPr>
          <w:sz w:val="24"/>
          <w:szCs w:val="28"/>
        </w:rPr>
        <w:t xml:space="preserve"> ante la Secretaría de Medio Ambiente o Recursos Naturales (SEMARNAT), o a la Secretaría de Agricultura, Ganadería, Desarrollo Rural, Pesca y Alimentación (SAGARPA) según corresponda.</w:t>
      </w:r>
      <w:r w:rsidRPr="00A63D4A">
        <w:rPr>
          <w:rStyle w:val="Refdenotaalpie"/>
          <w:sz w:val="24"/>
          <w:szCs w:val="28"/>
        </w:rPr>
        <w:footnoteReference w:id="3"/>
      </w:r>
      <w:r w:rsidR="00326CB5">
        <w:rPr>
          <w:sz w:val="24"/>
          <w:szCs w:val="28"/>
        </w:rPr>
        <w:t xml:space="preserve"> </w:t>
      </w:r>
      <w:r w:rsidRPr="00A63D4A">
        <w:rPr>
          <w:sz w:val="24"/>
          <w:szCs w:val="28"/>
        </w:rPr>
        <w:t>Para ello</w:t>
      </w:r>
      <w:r w:rsidR="00326CB5">
        <w:rPr>
          <w:sz w:val="24"/>
          <w:szCs w:val="28"/>
        </w:rPr>
        <w:t>, el 15 de abril de 2011 fue publicado en el Diario Oficial de la Federación</w:t>
      </w:r>
      <w:r w:rsidRPr="00A63D4A">
        <w:rPr>
          <w:sz w:val="24"/>
          <w:szCs w:val="28"/>
        </w:rPr>
        <w:t xml:space="preserve"> el “</w:t>
      </w:r>
      <w:r w:rsidRPr="00A63D4A">
        <w:rPr>
          <w:i/>
          <w:sz w:val="24"/>
          <w:szCs w:val="28"/>
        </w:rPr>
        <w:t>Acuerdo por el que se determina la información y documentación que debe presentarse en el caso de realizar actividades de utilización confinada y se da a  conocer el formato único de avisos de utilización confinada de organismos genéticamente modificados”</w:t>
      </w:r>
      <w:r w:rsidRPr="00A63D4A">
        <w:rPr>
          <w:sz w:val="24"/>
          <w:szCs w:val="28"/>
        </w:rPr>
        <w:t xml:space="preserve">. Este </w:t>
      </w:r>
      <w:r w:rsidRPr="00A63D4A">
        <w:rPr>
          <w:i/>
          <w:sz w:val="24"/>
          <w:szCs w:val="28"/>
        </w:rPr>
        <w:t>formato único</w:t>
      </w:r>
      <w:r w:rsidRPr="00A63D4A">
        <w:rPr>
          <w:sz w:val="24"/>
          <w:szCs w:val="28"/>
        </w:rPr>
        <w:t xml:space="preserve"> puede descargarse </w:t>
      </w:r>
      <w:r w:rsidR="00326CB5">
        <w:rPr>
          <w:sz w:val="24"/>
          <w:szCs w:val="28"/>
        </w:rPr>
        <w:t xml:space="preserve">para consulta </w:t>
      </w:r>
      <w:r w:rsidRPr="00A63D4A">
        <w:rPr>
          <w:sz w:val="24"/>
          <w:szCs w:val="28"/>
        </w:rPr>
        <w:t>del portal de la CIBIOGEM.</w:t>
      </w:r>
      <w:r w:rsidRPr="00A63D4A">
        <w:rPr>
          <w:rStyle w:val="Refdenotaalpie"/>
          <w:sz w:val="24"/>
          <w:szCs w:val="28"/>
        </w:rPr>
        <w:footnoteReference w:id="4"/>
      </w:r>
      <w:r w:rsidRPr="00A63D4A">
        <w:rPr>
          <w:sz w:val="24"/>
          <w:szCs w:val="28"/>
        </w:rPr>
        <w:t xml:space="preserve">  </w:t>
      </w:r>
    </w:p>
    <w:p w:rsidR="0026688E" w:rsidRPr="00A63D4A" w:rsidRDefault="0026688E" w:rsidP="0026688E">
      <w:pPr>
        <w:spacing w:line="276" w:lineRule="auto"/>
        <w:jc w:val="both"/>
        <w:rPr>
          <w:sz w:val="24"/>
          <w:szCs w:val="28"/>
        </w:rPr>
      </w:pPr>
      <w:r w:rsidRPr="00A63D4A">
        <w:rPr>
          <w:sz w:val="24"/>
          <w:szCs w:val="28"/>
        </w:rPr>
        <w:t xml:space="preserve"> </w:t>
      </w:r>
    </w:p>
    <w:p w:rsidR="0026688E" w:rsidRPr="00A63D4A" w:rsidRDefault="0026688E" w:rsidP="0026688E">
      <w:pPr>
        <w:spacing w:line="276" w:lineRule="auto"/>
        <w:jc w:val="both"/>
        <w:rPr>
          <w:sz w:val="24"/>
          <w:szCs w:val="28"/>
        </w:rPr>
      </w:pPr>
      <w:r w:rsidRPr="00A63D4A">
        <w:rPr>
          <w:sz w:val="24"/>
          <w:szCs w:val="28"/>
        </w:rPr>
        <w:t xml:space="preserve">Requieren de presentación de aviso los OGMs que se manejen, generen y produzcan con fines de enseñanza e investigación científica y tecnológica; </w:t>
      </w:r>
      <w:r>
        <w:rPr>
          <w:sz w:val="24"/>
          <w:szCs w:val="28"/>
        </w:rPr>
        <w:t>l</w:t>
      </w:r>
      <w:r w:rsidRPr="00A63D4A">
        <w:rPr>
          <w:sz w:val="24"/>
          <w:szCs w:val="28"/>
        </w:rPr>
        <w:t xml:space="preserve">a integración de las comisiones internas de bioseguridad, incluyendo el nombre del o los responsables de dichas comisiones; </w:t>
      </w:r>
      <w:r>
        <w:rPr>
          <w:sz w:val="24"/>
          <w:szCs w:val="28"/>
        </w:rPr>
        <w:t>l</w:t>
      </w:r>
      <w:r w:rsidRPr="00A63D4A">
        <w:rPr>
          <w:sz w:val="24"/>
          <w:szCs w:val="28"/>
        </w:rPr>
        <w:t>a primera utilización de laboratorios o instalaciones específicas de enseñanza o investigación científica y tecnológica en las que se manejen, generen y produzcan OGMs;</w:t>
      </w:r>
      <w:r>
        <w:rPr>
          <w:sz w:val="24"/>
          <w:szCs w:val="28"/>
        </w:rPr>
        <w:t xml:space="preserve"> l</w:t>
      </w:r>
      <w:r w:rsidRPr="00A63D4A">
        <w:rPr>
          <w:sz w:val="24"/>
          <w:szCs w:val="28"/>
        </w:rPr>
        <w:t>a producción de OGMs que se utilicen en procesos industriales, y</w:t>
      </w:r>
      <w:r>
        <w:rPr>
          <w:sz w:val="24"/>
          <w:szCs w:val="28"/>
        </w:rPr>
        <w:t xml:space="preserve"> l</w:t>
      </w:r>
      <w:r w:rsidRPr="00A63D4A">
        <w:rPr>
          <w:sz w:val="24"/>
          <w:szCs w:val="28"/>
        </w:rPr>
        <w:t>a primera utilización de instalaciones específicas en donde se produzcan los OGMs. Asimismo, requiere de presentación de aviso la importación de OGMs para su utilización confinada con fines industriales o comerciales únicamente cuando se trate de OGMs que se destinen exclusivamente a su utilización confinada y por tanto no se importen para su liberación al ambiente</w:t>
      </w:r>
      <w:r>
        <w:rPr>
          <w:sz w:val="24"/>
          <w:szCs w:val="28"/>
        </w:rPr>
        <w:t>.</w:t>
      </w:r>
    </w:p>
    <w:p w:rsidR="0026688E" w:rsidRPr="00B72C1C" w:rsidRDefault="0026688E" w:rsidP="0026688E">
      <w:pPr>
        <w:spacing w:line="276" w:lineRule="auto"/>
        <w:jc w:val="both"/>
        <w:rPr>
          <w:sz w:val="24"/>
          <w:szCs w:val="28"/>
        </w:rPr>
      </w:pPr>
    </w:p>
    <w:p w:rsidR="0026688E" w:rsidRPr="00A63D4A" w:rsidRDefault="00326CB5" w:rsidP="005D6548">
      <w:pPr>
        <w:jc w:val="both"/>
        <w:rPr>
          <w:sz w:val="24"/>
          <w:szCs w:val="28"/>
        </w:rPr>
      </w:pPr>
      <w:r>
        <w:rPr>
          <w:sz w:val="24"/>
          <w:szCs w:val="28"/>
        </w:rPr>
        <w:t>De s</w:t>
      </w:r>
      <w:r w:rsidR="00B72C1C" w:rsidRPr="00B72C1C">
        <w:rPr>
          <w:sz w:val="24"/>
          <w:szCs w:val="28"/>
        </w:rPr>
        <w:t>eptiembre de 2011 al 28 de abril de 2016</w:t>
      </w:r>
      <w:r w:rsidR="0026688E" w:rsidRPr="00A63D4A">
        <w:rPr>
          <w:sz w:val="24"/>
          <w:szCs w:val="28"/>
        </w:rPr>
        <w:t>, se t</w:t>
      </w:r>
      <w:r w:rsidR="005D6548">
        <w:rPr>
          <w:sz w:val="24"/>
          <w:szCs w:val="28"/>
        </w:rPr>
        <w:t>iene</w:t>
      </w:r>
      <w:r w:rsidR="0026688E" w:rsidRPr="00A63D4A">
        <w:rPr>
          <w:sz w:val="24"/>
          <w:szCs w:val="28"/>
        </w:rPr>
        <w:t xml:space="preserve"> registrado un total de </w:t>
      </w:r>
      <w:r w:rsidR="0026688E" w:rsidRPr="00B72C1C">
        <w:rPr>
          <w:sz w:val="24"/>
          <w:szCs w:val="28"/>
        </w:rPr>
        <w:t>1</w:t>
      </w:r>
      <w:r w:rsidR="00B72C1C">
        <w:rPr>
          <w:sz w:val="24"/>
          <w:szCs w:val="28"/>
        </w:rPr>
        <w:t>22</w:t>
      </w:r>
      <w:r w:rsidR="0026688E" w:rsidRPr="00A63D4A">
        <w:rPr>
          <w:sz w:val="24"/>
          <w:szCs w:val="28"/>
        </w:rPr>
        <w:t xml:space="preserve"> avisos de utilización confinada </w:t>
      </w:r>
      <w:r>
        <w:rPr>
          <w:sz w:val="24"/>
          <w:szCs w:val="28"/>
        </w:rPr>
        <w:t>(ver</w:t>
      </w:r>
      <w:r w:rsidR="0026688E" w:rsidRPr="00A63D4A">
        <w:rPr>
          <w:sz w:val="24"/>
          <w:szCs w:val="28"/>
        </w:rPr>
        <w:t xml:space="preserve"> gráfica 1</w:t>
      </w:r>
      <w:r>
        <w:rPr>
          <w:sz w:val="24"/>
          <w:szCs w:val="28"/>
        </w:rPr>
        <w:t>)</w:t>
      </w:r>
      <w:r w:rsidR="0026688E" w:rsidRPr="00A63D4A">
        <w:rPr>
          <w:sz w:val="24"/>
          <w:szCs w:val="28"/>
        </w:rPr>
        <w:t>, lo que representa un avance signif</w:t>
      </w:r>
      <w:r w:rsidR="0026688E">
        <w:rPr>
          <w:sz w:val="24"/>
          <w:szCs w:val="28"/>
        </w:rPr>
        <w:t>icativo en el cumplimiento de esta</w:t>
      </w:r>
      <w:r w:rsidR="0026688E" w:rsidRPr="00A63D4A">
        <w:rPr>
          <w:sz w:val="24"/>
          <w:szCs w:val="28"/>
        </w:rPr>
        <w:t xml:space="preserve"> regulación</w:t>
      </w:r>
      <w:r>
        <w:rPr>
          <w:sz w:val="24"/>
          <w:szCs w:val="28"/>
        </w:rPr>
        <w:t xml:space="preserve"> por parte de las instituciones nacionales</w:t>
      </w:r>
      <w:r w:rsidR="0026688E" w:rsidRPr="00A63D4A">
        <w:rPr>
          <w:sz w:val="24"/>
          <w:szCs w:val="28"/>
        </w:rPr>
        <w:t xml:space="preserve">. </w:t>
      </w:r>
    </w:p>
    <w:p w:rsidR="0026688E" w:rsidRDefault="0026688E" w:rsidP="0026688E"/>
    <w:p w:rsidR="005D6548" w:rsidRDefault="005D6548" w:rsidP="005D6548">
      <w:pPr>
        <w:jc w:val="both"/>
        <w:rPr>
          <w:sz w:val="24"/>
          <w:szCs w:val="28"/>
        </w:rPr>
      </w:pPr>
      <w:r w:rsidRPr="00A63D4A">
        <w:rPr>
          <w:sz w:val="24"/>
          <w:szCs w:val="28"/>
        </w:rPr>
        <w:t xml:space="preserve">Estas cifras son </w:t>
      </w:r>
      <w:r w:rsidR="00326CB5">
        <w:rPr>
          <w:sz w:val="24"/>
          <w:szCs w:val="28"/>
        </w:rPr>
        <w:t xml:space="preserve">el </w:t>
      </w:r>
      <w:r w:rsidRPr="00A63D4A">
        <w:rPr>
          <w:sz w:val="24"/>
          <w:szCs w:val="28"/>
        </w:rPr>
        <w:t xml:space="preserve">resultado de </w:t>
      </w:r>
      <w:r w:rsidR="00326CB5">
        <w:rPr>
          <w:sz w:val="24"/>
          <w:szCs w:val="28"/>
        </w:rPr>
        <w:t xml:space="preserve">acciones coordinadas para </w:t>
      </w:r>
      <w:r w:rsidRPr="00A63D4A">
        <w:rPr>
          <w:sz w:val="24"/>
          <w:szCs w:val="28"/>
        </w:rPr>
        <w:t xml:space="preserve">implementar talleres de orientación, acercamientos con instituciones públicas y centros de investigación, así como </w:t>
      </w:r>
      <w:r w:rsidR="00326CB5">
        <w:rPr>
          <w:sz w:val="24"/>
          <w:szCs w:val="28"/>
        </w:rPr>
        <w:t xml:space="preserve">los esfuerzos para </w:t>
      </w:r>
      <w:r>
        <w:rPr>
          <w:sz w:val="24"/>
          <w:szCs w:val="28"/>
        </w:rPr>
        <w:t xml:space="preserve">brindar </w:t>
      </w:r>
      <w:r w:rsidRPr="00A63D4A">
        <w:rPr>
          <w:sz w:val="24"/>
          <w:szCs w:val="28"/>
        </w:rPr>
        <w:t xml:space="preserve">asesoría y acompañamiento a investigadores que llevan a cabo </w:t>
      </w:r>
      <w:r>
        <w:rPr>
          <w:sz w:val="24"/>
          <w:szCs w:val="28"/>
        </w:rPr>
        <w:t>sus</w:t>
      </w:r>
      <w:r w:rsidRPr="00A63D4A">
        <w:rPr>
          <w:sz w:val="24"/>
          <w:szCs w:val="28"/>
        </w:rPr>
        <w:t xml:space="preserve"> actividades</w:t>
      </w:r>
      <w:r>
        <w:rPr>
          <w:sz w:val="24"/>
          <w:szCs w:val="28"/>
        </w:rPr>
        <w:t xml:space="preserve"> con OGMs en uso confinado</w:t>
      </w:r>
      <w:r w:rsidRPr="00A63D4A">
        <w:rPr>
          <w:sz w:val="24"/>
          <w:szCs w:val="28"/>
        </w:rPr>
        <w:t>.</w:t>
      </w:r>
      <w:r>
        <w:rPr>
          <w:sz w:val="24"/>
          <w:szCs w:val="28"/>
        </w:rPr>
        <w:t xml:space="preserve"> Adicionalmente, se han generado guías e instructivos </w:t>
      </w:r>
      <w:r w:rsidR="00326CB5">
        <w:rPr>
          <w:sz w:val="24"/>
          <w:szCs w:val="28"/>
        </w:rPr>
        <w:t>para el</w:t>
      </w:r>
      <w:r>
        <w:rPr>
          <w:sz w:val="24"/>
          <w:szCs w:val="28"/>
        </w:rPr>
        <w:t xml:space="preserve"> llenado del formato, y </w:t>
      </w:r>
      <w:r w:rsidR="00326CB5">
        <w:rPr>
          <w:sz w:val="24"/>
          <w:szCs w:val="28"/>
        </w:rPr>
        <w:t xml:space="preserve">se tiene </w:t>
      </w:r>
      <w:r>
        <w:rPr>
          <w:sz w:val="24"/>
          <w:szCs w:val="28"/>
        </w:rPr>
        <w:t>un banco de documentos y referencias informativas que el usuario puede consultar de forma electrónica</w:t>
      </w:r>
      <w:r w:rsidR="00326CB5">
        <w:rPr>
          <w:sz w:val="24"/>
          <w:szCs w:val="28"/>
        </w:rPr>
        <w:t xml:space="preserve"> a efecto de adecuar sus instalaciones</w:t>
      </w:r>
      <w:r>
        <w:rPr>
          <w:sz w:val="24"/>
          <w:szCs w:val="28"/>
        </w:rPr>
        <w:t>.</w:t>
      </w:r>
      <w:r>
        <w:rPr>
          <w:rStyle w:val="Refdenotaalpie"/>
          <w:sz w:val="24"/>
          <w:szCs w:val="28"/>
        </w:rPr>
        <w:footnoteReference w:id="5"/>
      </w:r>
      <w:r>
        <w:rPr>
          <w:sz w:val="24"/>
          <w:szCs w:val="28"/>
        </w:rPr>
        <w:t xml:space="preserve"> </w:t>
      </w: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r w:rsidRPr="00554543">
        <w:rPr>
          <w:rFonts w:ascii="Arial" w:hAnsi="Arial" w:cs="Arial"/>
          <w:b/>
          <w:bCs/>
          <w:noProof/>
          <w:sz w:val="20"/>
          <w:szCs w:val="20"/>
          <w:lang w:eastAsia="es-MX"/>
        </w:rPr>
        <w:drawing>
          <wp:anchor distT="0" distB="0" distL="114300" distR="114300" simplePos="0" relativeHeight="251659264" behindDoc="1" locked="0" layoutInCell="1" allowOverlap="1" wp14:anchorId="1CF3EB0B" wp14:editId="548CD0E6">
            <wp:simplePos x="0" y="0"/>
            <wp:positionH relativeFrom="column">
              <wp:posOffset>332740</wp:posOffset>
            </wp:positionH>
            <wp:positionV relativeFrom="paragraph">
              <wp:posOffset>46990</wp:posOffset>
            </wp:positionV>
            <wp:extent cx="4953000" cy="3190875"/>
            <wp:effectExtent l="0" t="0" r="19050" b="9525"/>
            <wp:wrapNone/>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475A5C" w:rsidP="00475A5C">
      <w:pPr>
        <w:tabs>
          <w:tab w:val="left" w:pos="7950"/>
        </w:tabs>
        <w:jc w:val="both"/>
        <w:rPr>
          <w:sz w:val="24"/>
          <w:szCs w:val="28"/>
        </w:rPr>
      </w:pPr>
      <w:r>
        <w:rPr>
          <w:sz w:val="24"/>
          <w:szCs w:val="28"/>
        </w:rPr>
        <w:tab/>
      </w: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5D6548" w:rsidRDefault="005D6548" w:rsidP="005D6548">
      <w:pPr>
        <w:jc w:val="both"/>
        <w:rPr>
          <w:sz w:val="24"/>
          <w:szCs w:val="28"/>
        </w:rPr>
      </w:pPr>
    </w:p>
    <w:p w:rsidR="00326CB5" w:rsidRDefault="00326CB5" w:rsidP="005D6548">
      <w:pPr>
        <w:jc w:val="both"/>
        <w:rPr>
          <w:sz w:val="24"/>
          <w:szCs w:val="28"/>
        </w:rPr>
      </w:pPr>
      <w:bookmarkStart w:id="0" w:name="_GoBack"/>
      <w:bookmarkEnd w:id="0"/>
    </w:p>
    <w:p w:rsidR="005D6548" w:rsidRPr="00A63D4A" w:rsidRDefault="00326CB5" w:rsidP="005D6548">
      <w:pPr>
        <w:jc w:val="both"/>
        <w:rPr>
          <w:sz w:val="24"/>
          <w:szCs w:val="28"/>
        </w:rPr>
      </w:pPr>
      <w:r>
        <w:rPr>
          <w:sz w:val="24"/>
          <w:szCs w:val="28"/>
        </w:rPr>
        <w:t>Por otra parte, l</w:t>
      </w:r>
      <w:r w:rsidR="005D6548">
        <w:rPr>
          <w:sz w:val="24"/>
          <w:szCs w:val="28"/>
        </w:rPr>
        <w:t xml:space="preserve">as autoridades llevan a cabo actividades de inspección </w:t>
      </w:r>
      <w:r>
        <w:rPr>
          <w:sz w:val="24"/>
          <w:szCs w:val="28"/>
        </w:rPr>
        <w:t xml:space="preserve">a aquellas instituciones que presentan sus Avisos </w:t>
      </w:r>
      <w:r w:rsidR="005D6548">
        <w:rPr>
          <w:sz w:val="24"/>
          <w:szCs w:val="28"/>
        </w:rPr>
        <w:t>para corroborar los datos generales de los responsables, revisar documentación sobre reglas de bioseguridad y buenas prácticas, revisar protocolos en caso de liberación accidental de OGMs, verificar que las acciones en uso confinado garanticen la seguridad del personal, corroborar que el OGM esté plenamente identificado, sitios de resguardo de muestras o material GM, procedimientos de limpieza y mantenimiento de instalaciones, medidas de bioseguridad para limitar el contacto con el medio ambiente, revisar la disposición final de residuos, verificar los libros de registro de actividades, métodos de inactivación, entre otras.</w:t>
      </w:r>
    </w:p>
    <w:p w:rsidR="0026688E" w:rsidRDefault="0026688E" w:rsidP="0026688E">
      <w:pPr>
        <w:jc w:val="both"/>
      </w:pPr>
    </w:p>
    <w:p w:rsidR="00C54051" w:rsidRPr="0026688E" w:rsidRDefault="00326CB5" w:rsidP="00326CB5">
      <w:pPr>
        <w:jc w:val="both"/>
      </w:pPr>
      <w:r>
        <w:rPr>
          <w:sz w:val="24"/>
        </w:rPr>
        <w:t>C</w:t>
      </w:r>
      <w:r w:rsidR="0026688E" w:rsidRPr="005D6548">
        <w:rPr>
          <w:sz w:val="24"/>
        </w:rPr>
        <w:t xml:space="preserve">on el propósito de fortalecer las capacidades en bioseguridad de las instituciones públicas nacionales, el Consejo Nacional de Ciencia y Tecnología (CONACYT), a través del Programa Especial de Ciencia, Tecnología e Innovación, otorga apoyos al fortalecimiento y desarrollo de infraestructura para confinamiento de organismos genéticamente modificados desde el año 2011, emitiendo anualmente una convocatoria. En ella pueden participar instituciones de educación superior, centros e institutos públicos de investigación que manejen organismos genéticamente modificados y que requieran implementar </w:t>
      </w:r>
      <w:r>
        <w:rPr>
          <w:sz w:val="24"/>
        </w:rPr>
        <w:t xml:space="preserve">o </w:t>
      </w:r>
      <w:r w:rsidRPr="005D6548">
        <w:rPr>
          <w:sz w:val="24"/>
        </w:rPr>
        <w:t xml:space="preserve">mejorar </w:t>
      </w:r>
      <w:r w:rsidR="0026688E" w:rsidRPr="005D6548">
        <w:rPr>
          <w:sz w:val="24"/>
        </w:rPr>
        <w:t>sus mecanismos de contención</w:t>
      </w:r>
      <w:r>
        <w:rPr>
          <w:sz w:val="24"/>
        </w:rPr>
        <w:t>.</w:t>
      </w:r>
      <w:r w:rsidR="0026688E" w:rsidRPr="005D6548">
        <w:rPr>
          <w:sz w:val="24"/>
        </w:rPr>
        <w:t xml:space="preserve"> </w:t>
      </w:r>
      <w:r>
        <w:rPr>
          <w:sz w:val="24"/>
        </w:rPr>
        <w:t>P</w:t>
      </w:r>
      <w:r w:rsidR="0026688E" w:rsidRPr="005D6548">
        <w:rPr>
          <w:sz w:val="24"/>
        </w:rPr>
        <w:t>ara concursar por</w:t>
      </w:r>
      <w:r>
        <w:rPr>
          <w:sz w:val="24"/>
        </w:rPr>
        <w:t xml:space="preserve"> estos</w:t>
      </w:r>
      <w:r w:rsidR="0026688E" w:rsidRPr="005D6548">
        <w:rPr>
          <w:sz w:val="24"/>
        </w:rPr>
        <w:t xml:space="preserve"> apoyos </w:t>
      </w:r>
      <w:r>
        <w:rPr>
          <w:sz w:val="24"/>
        </w:rPr>
        <w:t xml:space="preserve">los solicitantes </w:t>
      </w:r>
      <w:proofErr w:type="gramStart"/>
      <w:r w:rsidRPr="005D6548">
        <w:rPr>
          <w:sz w:val="24"/>
        </w:rPr>
        <w:t>debe</w:t>
      </w:r>
      <w:r>
        <w:rPr>
          <w:sz w:val="24"/>
        </w:rPr>
        <w:t>rán</w:t>
      </w:r>
      <w:proofErr w:type="gramEnd"/>
      <w:r w:rsidR="0026688E" w:rsidRPr="005D6548">
        <w:rPr>
          <w:sz w:val="24"/>
        </w:rPr>
        <w:t xml:space="preserve"> cumplir con las disposiciones normativas anteriormente descritas</w:t>
      </w:r>
      <w:r>
        <w:rPr>
          <w:sz w:val="24"/>
        </w:rPr>
        <w:t>,</w:t>
      </w:r>
      <w:r w:rsidR="0026688E" w:rsidRPr="005D6548">
        <w:rPr>
          <w:sz w:val="24"/>
        </w:rPr>
        <w:t xml:space="preserve"> y generar las condiciones que les permitan asegurar niveles adecuados de contención</w:t>
      </w:r>
      <w:r>
        <w:rPr>
          <w:sz w:val="24"/>
        </w:rPr>
        <w:t>. Se da preferencia a</w:t>
      </w:r>
      <w:r w:rsidR="0026688E" w:rsidRPr="005D6548">
        <w:rPr>
          <w:sz w:val="24"/>
        </w:rPr>
        <w:t xml:space="preserve"> actividades de utilización confinada con fines de investigación científica y de innovación y desarrollo tecnológico orientadas a la reso</w:t>
      </w:r>
      <w:r>
        <w:rPr>
          <w:sz w:val="24"/>
        </w:rPr>
        <w:t xml:space="preserve">lución de problemas nacionales </w:t>
      </w:r>
      <w:r w:rsidR="0026688E" w:rsidRPr="005D6548">
        <w:rPr>
          <w:sz w:val="24"/>
        </w:rPr>
        <w:t xml:space="preserve">que redunden en beneficios para productores nacionales, necesidades locales o regionales. </w:t>
      </w:r>
      <w:r w:rsidR="005D6548">
        <w:rPr>
          <w:sz w:val="24"/>
        </w:rPr>
        <w:t>E</w:t>
      </w:r>
      <w:r w:rsidR="0026688E" w:rsidRPr="005D6548">
        <w:rPr>
          <w:sz w:val="24"/>
        </w:rPr>
        <w:t xml:space="preserve">n </w:t>
      </w:r>
      <w:r w:rsidR="00875C05">
        <w:rPr>
          <w:sz w:val="24"/>
        </w:rPr>
        <w:t>la quinta edición de esta convocatoria</w:t>
      </w:r>
      <w:r>
        <w:rPr>
          <w:sz w:val="24"/>
        </w:rPr>
        <w:t xml:space="preserve"> en 2015,</w:t>
      </w:r>
      <w:r w:rsidR="0026688E" w:rsidRPr="005D6548">
        <w:rPr>
          <w:sz w:val="24"/>
        </w:rPr>
        <w:t xml:space="preserve"> se otorgaron apoyos a 12 laboratorios nacionales por un monto de $16</w:t>
      </w:r>
      <w:proofErr w:type="gramStart"/>
      <w:r w:rsidR="0026688E" w:rsidRPr="005D6548">
        <w:rPr>
          <w:sz w:val="24"/>
        </w:rPr>
        <w:t>,703,753.25</w:t>
      </w:r>
      <w:proofErr w:type="gramEnd"/>
      <w:r w:rsidR="0026688E" w:rsidRPr="005D6548">
        <w:rPr>
          <w:sz w:val="24"/>
        </w:rPr>
        <w:t xml:space="preserve"> pesos ($880,000 USD).</w:t>
      </w:r>
    </w:p>
    <w:sectPr w:rsidR="00C54051" w:rsidRPr="0026688E" w:rsidSect="00972183">
      <w:headerReference w:type="default" r:id="rId10"/>
      <w:footerReference w:type="default" r:id="rId11"/>
      <w:pgSz w:w="12240" w:h="15840"/>
      <w:pgMar w:top="2085" w:right="1134" w:bottom="567" w:left="1276" w:header="709"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6B" w:rsidRDefault="009D156B" w:rsidP="00990B34">
      <w:r>
        <w:separator/>
      </w:r>
    </w:p>
  </w:endnote>
  <w:endnote w:type="continuationSeparator" w:id="0">
    <w:p w:rsidR="009D156B" w:rsidRDefault="009D156B" w:rsidP="0099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obe Caslon Pro">
    <w:altName w:val="Georgia"/>
    <w:panose1 w:val="0205050205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004545"/>
      <w:docPartObj>
        <w:docPartGallery w:val="Page Numbers (Bottom of Page)"/>
        <w:docPartUnique/>
      </w:docPartObj>
    </w:sdtPr>
    <w:sdtEndPr/>
    <w:sdtContent>
      <w:p w:rsidR="000F368F" w:rsidRDefault="000F368F">
        <w:pPr>
          <w:pStyle w:val="Piedepgina"/>
          <w:jc w:val="right"/>
        </w:pPr>
        <w:r>
          <w:fldChar w:fldCharType="begin"/>
        </w:r>
        <w:r>
          <w:instrText>PAGE   \* MERGEFORMAT</w:instrText>
        </w:r>
        <w:r>
          <w:fldChar w:fldCharType="separate"/>
        </w:r>
        <w:r w:rsidR="00475A5C" w:rsidRPr="00475A5C">
          <w:rPr>
            <w:noProof/>
            <w:lang w:val="es-ES"/>
          </w:rPr>
          <w:t>1</w:t>
        </w:r>
        <w:r>
          <w:fldChar w:fldCharType="end"/>
        </w:r>
      </w:p>
    </w:sdtContent>
  </w:sdt>
  <w:p w:rsidR="000F368F" w:rsidRDefault="000F3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6B" w:rsidRDefault="009D156B" w:rsidP="00990B34">
      <w:r>
        <w:separator/>
      </w:r>
    </w:p>
  </w:footnote>
  <w:footnote w:type="continuationSeparator" w:id="0">
    <w:p w:rsidR="009D156B" w:rsidRDefault="009D156B" w:rsidP="00990B34">
      <w:r>
        <w:continuationSeparator/>
      </w:r>
    </w:p>
  </w:footnote>
  <w:footnote w:id="1">
    <w:p w:rsidR="0026688E" w:rsidRDefault="0026688E" w:rsidP="0026688E">
      <w:pPr>
        <w:pStyle w:val="Textonotapie"/>
      </w:pPr>
      <w:r>
        <w:rPr>
          <w:rStyle w:val="Refdenotaalpie"/>
        </w:rPr>
        <w:footnoteRef/>
      </w:r>
      <w:r>
        <w:t xml:space="preserve"> Objetivo Operacional 1.8: Tránsito, uso confinado, movimientos transfronterizos involuntarios y medidas de emergencia. Desarrollar instrumentos y orientación que faciliten la aplicación de las disposiciones del Protocolo sobre tránsito, uso confinado, movimientos transfronterizos involuntarios y medidas de emergencia.</w:t>
      </w:r>
    </w:p>
  </w:footnote>
  <w:footnote w:id="2">
    <w:p w:rsidR="0026688E" w:rsidRDefault="0026688E" w:rsidP="0026688E">
      <w:pPr>
        <w:pStyle w:val="Textonotapie"/>
      </w:pPr>
      <w:r>
        <w:rPr>
          <w:rStyle w:val="Refdenotaalpie"/>
        </w:rPr>
        <w:footnoteRef/>
      </w:r>
      <w:r>
        <w:t xml:space="preserve"> LBOGM, Artículo 3, fracción XXXIV.</w:t>
      </w:r>
    </w:p>
  </w:footnote>
  <w:footnote w:id="3">
    <w:p w:rsidR="0026688E" w:rsidRDefault="0026688E" w:rsidP="0026688E">
      <w:pPr>
        <w:pStyle w:val="Textonotapie"/>
      </w:pPr>
      <w:r>
        <w:rPr>
          <w:rStyle w:val="Refdenotaalpie"/>
        </w:rPr>
        <w:footnoteRef/>
      </w:r>
      <w:r>
        <w:t xml:space="preserve"> LBOGM, Artículos 77 y 78,</w:t>
      </w:r>
    </w:p>
  </w:footnote>
  <w:footnote w:id="4">
    <w:p w:rsidR="0026688E" w:rsidRDefault="0026688E" w:rsidP="0026688E">
      <w:pPr>
        <w:pStyle w:val="Textonotapie"/>
      </w:pPr>
      <w:r>
        <w:rPr>
          <w:rStyle w:val="Refdenotaalpie"/>
        </w:rPr>
        <w:footnoteRef/>
      </w:r>
      <w:r>
        <w:t xml:space="preserve"> </w:t>
      </w:r>
      <w:hyperlink r:id="rId1" w:history="1">
        <w:r w:rsidRPr="00A648E6">
          <w:rPr>
            <w:rStyle w:val="Hipervnculo"/>
            <w:szCs w:val="28"/>
          </w:rPr>
          <w:t>http://www.conacyt.mx/cibiogem/images/cibiogem/normatividad/vigente/ACUERDO-FORMATOS-AVISOS.pdf</w:t>
        </w:r>
      </w:hyperlink>
    </w:p>
  </w:footnote>
  <w:footnote w:id="5">
    <w:p w:rsidR="005D6548" w:rsidRDefault="005D6548" w:rsidP="005D6548">
      <w:pPr>
        <w:pStyle w:val="Textonotapie"/>
        <w:rPr>
          <w:rStyle w:val="Hipervnculo"/>
        </w:rPr>
      </w:pPr>
      <w:r>
        <w:rPr>
          <w:rStyle w:val="Refdenotaalpie"/>
        </w:rPr>
        <w:footnoteRef/>
      </w:r>
      <w:r>
        <w:t xml:space="preserve"> </w:t>
      </w:r>
      <w:hyperlink r:id="rId2" w:history="1">
        <w:r w:rsidRPr="007F74C2">
          <w:rPr>
            <w:rStyle w:val="Hipervnculo"/>
          </w:rPr>
          <w:t>http://www.conacyt.mx/cibiogem/index.php/sistema-nacional-de-informacion/formatos-de-avisos</w:t>
        </w:r>
      </w:hyperlink>
    </w:p>
    <w:p w:rsidR="0029609C" w:rsidRDefault="0029609C" w:rsidP="005D6548">
      <w:pPr>
        <w:pStyle w:val="Textonotapie"/>
      </w:pPr>
    </w:p>
    <w:p w:rsidR="005D6548" w:rsidRDefault="005D6548" w:rsidP="005D654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D8" w:rsidRDefault="00C42016" w:rsidP="00687976">
    <w:pPr>
      <w:pStyle w:val="Encabezado"/>
      <w:jc w:val="right"/>
      <w:rPr>
        <w:rFonts w:ascii="Adobe Caslon Pro" w:hAnsi="Adobe Caslon Pro"/>
        <w:b/>
        <w:color w:val="777772"/>
        <w:sz w:val="18"/>
        <w:szCs w:val="18"/>
      </w:rPr>
    </w:pPr>
    <w:r>
      <w:rPr>
        <w:rFonts w:ascii="Adobe Caslon Pro" w:hAnsi="Adobe Caslon Pro"/>
        <w:noProof/>
        <w:color w:val="777772"/>
        <w:lang w:eastAsia="es-MX"/>
      </w:rPr>
      <w:drawing>
        <wp:anchor distT="0" distB="0" distL="114300" distR="114300" simplePos="0" relativeHeight="251664384" behindDoc="0" locked="0" layoutInCell="1" allowOverlap="1" wp14:anchorId="16EFEEC2" wp14:editId="0DA7471F">
          <wp:simplePos x="0" y="0"/>
          <wp:positionH relativeFrom="column">
            <wp:posOffset>4999990</wp:posOffset>
          </wp:positionH>
          <wp:positionV relativeFrom="paragraph">
            <wp:posOffset>16510</wp:posOffset>
          </wp:positionV>
          <wp:extent cx="647700" cy="647700"/>
          <wp:effectExtent l="19050" t="0" r="0" b="0"/>
          <wp:wrapNone/>
          <wp:docPr id="6"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1"/>
                  <a:stretch>
                    <a:fillRect/>
                  </a:stretch>
                </pic:blipFill>
                <pic:spPr bwMode="auto">
                  <a:xfrm>
                    <a:off x="0" y="0"/>
                    <a:ext cx="647700" cy="647700"/>
                  </a:xfrm>
                  <a:prstGeom prst="rect">
                    <a:avLst/>
                  </a:prstGeom>
                  <a:noFill/>
                  <a:ln w="9525">
                    <a:noFill/>
                    <a:miter lim="800000"/>
                    <a:headEnd/>
                    <a:tailEnd/>
                  </a:ln>
                </pic:spPr>
              </pic:pic>
            </a:graphicData>
          </a:graphic>
        </wp:anchor>
      </w:drawing>
    </w:r>
    <w:r w:rsidR="00CD5FA4">
      <w:rPr>
        <w:rFonts w:ascii="Adobe Caslon Pro" w:hAnsi="Adobe Caslon Pro"/>
        <w:noProof/>
        <w:color w:val="777772"/>
        <w:lang w:eastAsia="es-MX"/>
      </w:rPr>
      <w:drawing>
        <wp:anchor distT="0" distB="0" distL="114300" distR="114300" simplePos="0" relativeHeight="251662336" behindDoc="0" locked="0" layoutInCell="1" allowOverlap="1" wp14:anchorId="65601E0A" wp14:editId="336D6529">
          <wp:simplePos x="0" y="0"/>
          <wp:positionH relativeFrom="column">
            <wp:posOffset>-38735</wp:posOffset>
          </wp:positionH>
          <wp:positionV relativeFrom="paragraph">
            <wp:posOffset>16510</wp:posOffset>
          </wp:positionV>
          <wp:extent cx="2276475" cy="647700"/>
          <wp:effectExtent l="19050" t="0" r="9525" b="0"/>
          <wp:wrapNone/>
          <wp:docPr id="3"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2"/>
                  <a:stretch>
                    <a:fillRect/>
                  </a:stretch>
                </pic:blipFill>
                <pic:spPr>
                  <a:xfrm>
                    <a:off x="0" y="0"/>
                    <a:ext cx="2276475" cy="647700"/>
                  </a:xfrm>
                  <a:prstGeom prst="rect">
                    <a:avLst/>
                  </a:prstGeom>
                </pic:spPr>
              </pic:pic>
            </a:graphicData>
          </a:graphic>
        </wp:anchor>
      </w:drawing>
    </w:r>
  </w:p>
  <w:p w:rsidR="00CD5FA4" w:rsidRDefault="00CD5FA4" w:rsidP="00687976">
    <w:pPr>
      <w:pStyle w:val="Encabezado"/>
      <w:jc w:val="right"/>
      <w:rPr>
        <w:rFonts w:ascii="Adobe Caslon Pro" w:hAnsi="Adobe Caslon Pro"/>
        <w:b/>
        <w:color w:val="777772"/>
        <w:sz w:val="16"/>
        <w:szCs w:val="18"/>
      </w:rPr>
    </w:pPr>
  </w:p>
  <w:p w:rsidR="00CD5FA4" w:rsidRDefault="00CD5FA4" w:rsidP="00687976">
    <w:pPr>
      <w:pStyle w:val="Encabezado"/>
      <w:jc w:val="right"/>
      <w:rPr>
        <w:rFonts w:ascii="Adobe Caslon Pro" w:hAnsi="Adobe Caslon Pro"/>
        <w:b/>
        <w:color w:val="777772"/>
        <w:sz w:val="16"/>
        <w:szCs w:val="18"/>
      </w:rPr>
    </w:pPr>
  </w:p>
  <w:p w:rsidR="00CD5FA4" w:rsidRDefault="00CD5FA4" w:rsidP="00687976">
    <w:pPr>
      <w:pStyle w:val="Encabezado"/>
      <w:jc w:val="right"/>
      <w:rPr>
        <w:rFonts w:ascii="Adobe Caslon Pro" w:hAnsi="Adobe Caslon Pro"/>
        <w:b/>
        <w:color w:val="777772"/>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A7"/>
    <w:multiLevelType w:val="hybridMultilevel"/>
    <w:tmpl w:val="1D4AFB9E"/>
    <w:lvl w:ilvl="0" w:tplc="8A16189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EFA447D"/>
    <w:multiLevelType w:val="hybridMultilevel"/>
    <w:tmpl w:val="6BF2B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30E1"/>
    <w:multiLevelType w:val="hybridMultilevel"/>
    <w:tmpl w:val="E8300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B162D3"/>
    <w:multiLevelType w:val="hybridMultilevel"/>
    <w:tmpl w:val="236EA280"/>
    <w:lvl w:ilvl="0" w:tplc="A99EC064">
      <w:start w:val="1"/>
      <w:numFmt w:val="bullet"/>
      <w:lvlText w:val="•"/>
      <w:lvlJc w:val="left"/>
      <w:pPr>
        <w:tabs>
          <w:tab w:val="num" w:pos="720"/>
        </w:tabs>
        <w:ind w:left="720" w:hanging="360"/>
      </w:pPr>
      <w:rPr>
        <w:rFonts w:ascii="Times New Roman" w:hAnsi="Times New Roman" w:hint="default"/>
      </w:rPr>
    </w:lvl>
    <w:lvl w:ilvl="1" w:tplc="50F0890E">
      <w:start w:val="1"/>
      <w:numFmt w:val="bullet"/>
      <w:lvlText w:val="•"/>
      <w:lvlJc w:val="left"/>
      <w:pPr>
        <w:tabs>
          <w:tab w:val="num" w:pos="1440"/>
        </w:tabs>
        <w:ind w:left="1440" w:hanging="360"/>
      </w:pPr>
      <w:rPr>
        <w:rFonts w:ascii="Times New Roman" w:hAnsi="Times New Roman" w:hint="default"/>
      </w:rPr>
    </w:lvl>
    <w:lvl w:ilvl="2" w:tplc="7762718A" w:tentative="1">
      <w:start w:val="1"/>
      <w:numFmt w:val="bullet"/>
      <w:lvlText w:val="•"/>
      <w:lvlJc w:val="left"/>
      <w:pPr>
        <w:tabs>
          <w:tab w:val="num" w:pos="2160"/>
        </w:tabs>
        <w:ind w:left="2160" w:hanging="360"/>
      </w:pPr>
      <w:rPr>
        <w:rFonts w:ascii="Times New Roman" w:hAnsi="Times New Roman" w:hint="default"/>
      </w:rPr>
    </w:lvl>
    <w:lvl w:ilvl="3" w:tplc="5768924A" w:tentative="1">
      <w:start w:val="1"/>
      <w:numFmt w:val="bullet"/>
      <w:lvlText w:val="•"/>
      <w:lvlJc w:val="left"/>
      <w:pPr>
        <w:tabs>
          <w:tab w:val="num" w:pos="2880"/>
        </w:tabs>
        <w:ind w:left="2880" w:hanging="360"/>
      </w:pPr>
      <w:rPr>
        <w:rFonts w:ascii="Times New Roman" w:hAnsi="Times New Roman" w:hint="default"/>
      </w:rPr>
    </w:lvl>
    <w:lvl w:ilvl="4" w:tplc="BC3612FC" w:tentative="1">
      <w:start w:val="1"/>
      <w:numFmt w:val="bullet"/>
      <w:lvlText w:val="•"/>
      <w:lvlJc w:val="left"/>
      <w:pPr>
        <w:tabs>
          <w:tab w:val="num" w:pos="3600"/>
        </w:tabs>
        <w:ind w:left="3600" w:hanging="360"/>
      </w:pPr>
      <w:rPr>
        <w:rFonts w:ascii="Times New Roman" w:hAnsi="Times New Roman" w:hint="default"/>
      </w:rPr>
    </w:lvl>
    <w:lvl w:ilvl="5" w:tplc="9032554C" w:tentative="1">
      <w:start w:val="1"/>
      <w:numFmt w:val="bullet"/>
      <w:lvlText w:val="•"/>
      <w:lvlJc w:val="left"/>
      <w:pPr>
        <w:tabs>
          <w:tab w:val="num" w:pos="4320"/>
        </w:tabs>
        <w:ind w:left="4320" w:hanging="360"/>
      </w:pPr>
      <w:rPr>
        <w:rFonts w:ascii="Times New Roman" w:hAnsi="Times New Roman" w:hint="default"/>
      </w:rPr>
    </w:lvl>
    <w:lvl w:ilvl="6" w:tplc="A816D27C" w:tentative="1">
      <w:start w:val="1"/>
      <w:numFmt w:val="bullet"/>
      <w:lvlText w:val="•"/>
      <w:lvlJc w:val="left"/>
      <w:pPr>
        <w:tabs>
          <w:tab w:val="num" w:pos="5040"/>
        </w:tabs>
        <w:ind w:left="5040" w:hanging="360"/>
      </w:pPr>
      <w:rPr>
        <w:rFonts w:ascii="Times New Roman" w:hAnsi="Times New Roman" w:hint="default"/>
      </w:rPr>
    </w:lvl>
    <w:lvl w:ilvl="7" w:tplc="5A76EBD0" w:tentative="1">
      <w:start w:val="1"/>
      <w:numFmt w:val="bullet"/>
      <w:lvlText w:val="•"/>
      <w:lvlJc w:val="left"/>
      <w:pPr>
        <w:tabs>
          <w:tab w:val="num" w:pos="5760"/>
        </w:tabs>
        <w:ind w:left="5760" w:hanging="360"/>
      </w:pPr>
      <w:rPr>
        <w:rFonts w:ascii="Times New Roman" w:hAnsi="Times New Roman" w:hint="default"/>
      </w:rPr>
    </w:lvl>
    <w:lvl w:ilvl="8" w:tplc="07884F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E2660B"/>
    <w:multiLevelType w:val="hybridMultilevel"/>
    <w:tmpl w:val="E6E8F472"/>
    <w:lvl w:ilvl="0" w:tplc="51C0B0A8">
      <w:start w:val="1"/>
      <w:numFmt w:val="bullet"/>
      <w:lvlText w:val="•"/>
      <w:lvlJc w:val="left"/>
      <w:pPr>
        <w:tabs>
          <w:tab w:val="num" w:pos="720"/>
        </w:tabs>
        <w:ind w:left="720" w:hanging="360"/>
      </w:pPr>
      <w:rPr>
        <w:rFonts w:ascii="Times New Roman" w:hAnsi="Times New Roman" w:hint="default"/>
      </w:rPr>
    </w:lvl>
    <w:lvl w:ilvl="1" w:tplc="B95EDC8A">
      <w:start w:val="1"/>
      <w:numFmt w:val="bullet"/>
      <w:lvlText w:val="•"/>
      <w:lvlJc w:val="left"/>
      <w:pPr>
        <w:tabs>
          <w:tab w:val="num" w:pos="1440"/>
        </w:tabs>
        <w:ind w:left="1440" w:hanging="360"/>
      </w:pPr>
      <w:rPr>
        <w:rFonts w:ascii="Times New Roman" w:hAnsi="Times New Roman" w:hint="default"/>
      </w:rPr>
    </w:lvl>
    <w:lvl w:ilvl="2" w:tplc="34B2E16E" w:tentative="1">
      <w:start w:val="1"/>
      <w:numFmt w:val="bullet"/>
      <w:lvlText w:val="•"/>
      <w:lvlJc w:val="left"/>
      <w:pPr>
        <w:tabs>
          <w:tab w:val="num" w:pos="2160"/>
        </w:tabs>
        <w:ind w:left="2160" w:hanging="360"/>
      </w:pPr>
      <w:rPr>
        <w:rFonts w:ascii="Times New Roman" w:hAnsi="Times New Roman" w:hint="default"/>
      </w:rPr>
    </w:lvl>
    <w:lvl w:ilvl="3" w:tplc="D3E0E34E" w:tentative="1">
      <w:start w:val="1"/>
      <w:numFmt w:val="bullet"/>
      <w:lvlText w:val="•"/>
      <w:lvlJc w:val="left"/>
      <w:pPr>
        <w:tabs>
          <w:tab w:val="num" w:pos="2880"/>
        </w:tabs>
        <w:ind w:left="2880" w:hanging="360"/>
      </w:pPr>
      <w:rPr>
        <w:rFonts w:ascii="Times New Roman" w:hAnsi="Times New Roman" w:hint="default"/>
      </w:rPr>
    </w:lvl>
    <w:lvl w:ilvl="4" w:tplc="C63C92C6" w:tentative="1">
      <w:start w:val="1"/>
      <w:numFmt w:val="bullet"/>
      <w:lvlText w:val="•"/>
      <w:lvlJc w:val="left"/>
      <w:pPr>
        <w:tabs>
          <w:tab w:val="num" w:pos="3600"/>
        </w:tabs>
        <w:ind w:left="3600" w:hanging="360"/>
      </w:pPr>
      <w:rPr>
        <w:rFonts w:ascii="Times New Roman" w:hAnsi="Times New Roman" w:hint="default"/>
      </w:rPr>
    </w:lvl>
    <w:lvl w:ilvl="5" w:tplc="34B8C3C0" w:tentative="1">
      <w:start w:val="1"/>
      <w:numFmt w:val="bullet"/>
      <w:lvlText w:val="•"/>
      <w:lvlJc w:val="left"/>
      <w:pPr>
        <w:tabs>
          <w:tab w:val="num" w:pos="4320"/>
        </w:tabs>
        <w:ind w:left="4320" w:hanging="360"/>
      </w:pPr>
      <w:rPr>
        <w:rFonts w:ascii="Times New Roman" w:hAnsi="Times New Roman" w:hint="default"/>
      </w:rPr>
    </w:lvl>
    <w:lvl w:ilvl="6" w:tplc="4ADC5B6C" w:tentative="1">
      <w:start w:val="1"/>
      <w:numFmt w:val="bullet"/>
      <w:lvlText w:val="•"/>
      <w:lvlJc w:val="left"/>
      <w:pPr>
        <w:tabs>
          <w:tab w:val="num" w:pos="5040"/>
        </w:tabs>
        <w:ind w:left="5040" w:hanging="360"/>
      </w:pPr>
      <w:rPr>
        <w:rFonts w:ascii="Times New Roman" w:hAnsi="Times New Roman" w:hint="default"/>
      </w:rPr>
    </w:lvl>
    <w:lvl w:ilvl="7" w:tplc="AFFE0E50" w:tentative="1">
      <w:start w:val="1"/>
      <w:numFmt w:val="bullet"/>
      <w:lvlText w:val="•"/>
      <w:lvlJc w:val="left"/>
      <w:pPr>
        <w:tabs>
          <w:tab w:val="num" w:pos="5760"/>
        </w:tabs>
        <w:ind w:left="5760" w:hanging="360"/>
      </w:pPr>
      <w:rPr>
        <w:rFonts w:ascii="Times New Roman" w:hAnsi="Times New Roman" w:hint="default"/>
      </w:rPr>
    </w:lvl>
    <w:lvl w:ilvl="8" w:tplc="63C4AC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F401C6"/>
    <w:multiLevelType w:val="hybridMultilevel"/>
    <w:tmpl w:val="96583A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F63FA9"/>
    <w:multiLevelType w:val="hybridMultilevel"/>
    <w:tmpl w:val="834A22FE"/>
    <w:lvl w:ilvl="0" w:tplc="33FEF3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A26A02"/>
    <w:multiLevelType w:val="hybridMultilevel"/>
    <w:tmpl w:val="57AA7E90"/>
    <w:lvl w:ilvl="0" w:tplc="F96C5FB6">
      <w:start w:val="1"/>
      <w:numFmt w:val="bullet"/>
      <w:lvlText w:val="•"/>
      <w:lvlJc w:val="left"/>
      <w:pPr>
        <w:tabs>
          <w:tab w:val="num" w:pos="720"/>
        </w:tabs>
        <w:ind w:left="720" w:hanging="360"/>
      </w:pPr>
      <w:rPr>
        <w:rFonts w:ascii="Times New Roman" w:hAnsi="Times New Roman" w:hint="default"/>
      </w:rPr>
    </w:lvl>
    <w:lvl w:ilvl="1" w:tplc="397A7F00">
      <w:start w:val="1"/>
      <w:numFmt w:val="bullet"/>
      <w:lvlText w:val="•"/>
      <w:lvlJc w:val="left"/>
      <w:pPr>
        <w:tabs>
          <w:tab w:val="num" w:pos="1440"/>
        </w:tabs>
        <w:ind w:left="1440" w:hanging="360"/>
      </w:pPr>
      <w:rPr>
        <w:rFonts w:ascii="Times New Roman" w:hAnsi="Times New Roman" w:hint="default"/>
      </w:rPr>
    </w:lvl>
    <w:lvl w:ilvl="2" w:tplc="B284F0C0" w:tentative="1">
      <w:start w:val="1"/>
      <w:numFmt w:val="bullet"/>
      <w:lvlText w:val="•"/>
      <w:lvlJc w:val="left"/>
      <w:pPr>
        <w:tabs>
          <w:tab w:val="num" w:pos="2160"/>
        </w:tabs>
        <w:ind w:left="2160" w:hanging="360"/>
      </w:pPr>
      <w:rPr>
        <w:rFonts w:ascii="Times New Roman" w:hAnsi="Times New Roman" w:hint="default"/>
      </w:rPr>
    </w:lvl>
    <w:lvl w:ilvl="3" w:tplc="AF1C79C0" w:tentative="1">
      <w:start w:val="1"/>
      <w:numFmt w:val="bullet"/>
      <w:lvlText w:val="•"/>
      <w:lvlJc w:val="left"/>
      <w:pPr>
        <w:tabs>
          <w:tab w:val="num" w:pos="2880"/>
        </w:tabs>
        <w:ind w:left="2880" w:hanging="360"/>
      </w:pPr>
      <w:rPr>
        <w:rFonts w:ascii="Times New Roman" w:hAnsi="Times New Roman" w:hint="default"/>
      </w:rPr>
    </w:lvl>
    <w:lvl w:ilvl="4" w:tplc="2FCE7922" w:tentative="1">
      <w:start w:val="1"/>
      <w:numFmt w:val="bullet"/>
      <w:lvlText w:val="•"/>
      <w:lvlJc w:val="left"/>
      <w:pPr>
        <w:tabs>
          <w:tab w:val="num" w:pos="3600"/>
        </w:tabs>
        <w:ind w:left="3600" w:hanging="360"/>
      </w:pPr>
      <w:rPr>
        <w:rFonts w:ascii="Times New Roman" w:hAnsi="Times New Roman" w:hint="default"/>
      </w:rPr>
    </w:lvl>
    <w:lvl w:ilvl="5" w:tplc="AA54CA64" w:tentative="1">
      <w:start w:val="1"/>
      <w:numFmt w:val="bullet"/>
      <w:lvlText w:val="•"/>
      <w:lvlJc w:val="left"/>
      <w:pPr>
        <w:tabs>
          <w:tab w:val="num" w:pos="4320"/>
        </w:tabs>
        <w:ind w:left="4320" w:hanging="360"/>
      </w:pPr>
      <w:rPr>
        <w:rFonts w:ascii="Times New Roman" w:hAnsi="Times New Roman" w:hint="default"/>
      </w:rPr>
    </w:lvl>
    <w:lvl w:ilvl="6" w:tplc="19AC39E2" w:tentative="1">
      <w:start w:val="1"/>
      <w:numFmt w:val="bullet"/>
      <w:lvlText w:val="•"/>
      <w:lvlJc w:val="left"/>
      <w:pPr>
        <w:tabs>
          <w:tab w:val="num" w:pos="5040"/>
        </w:tabs>
        <w:ind w:left="5040" w:hanging="360"/>
      </w:pPr>
      <w:rPr>
        <w:rFonts w:ascii="Times New Roman" w:hAnsi="Times New Roman" w:hint="default"/>
      </w:rPr>
    </w:lvl>
    <w:lvl w:ilvl="7" w:tplc="147AE7AC" w:tentative="1">
      <w:start w:val="1"/>
      <w:numFmt w:val="bullet"/>
      <w:lvlText w:val="•"/>
      <w:lvlJc w:val="left"/>
      <w:pPr>
        <w:tabs>
          <w:tab w:val="num" w:pos="5760"/>
        </w:tabs>
        <w:ind w:left="5760" w:hanging="360"/>
      </w:pPr>
      <w:rPr>
        <w:rFonts w:ascii="Times New Roman" w:hAnsi="Times New Roman" w:hint="default"/>
      </w:rPr>
    </w:lvl>
    <w:lvl w:ilvl="8" w:tplc="68D8B5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B93BC4"/>
    <w:multiLevelType w:val="hybridMultilevel"/>
    <w:tmpl w:val="24EA6C2E"/>
    <w:lvl w:ilvl="0" w:tplc="D034E6D6">
      <w:start w:val="1"/>
      <w:numFmt w:val="decimal"/>
      <w:lvlText w:val="%1)"/>
      <w:lvlJc w:val="left"/>
      <w:pPr>
        <w:ind w:left="644"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nsid w:val="5ABF19D7"/>
    <w:multiLevelType w:val="hybridMultilevel"/>
    <w:tmpl w:val="2C504628"/>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9A39B8"/>
    <w:multiLevelType w:val="hybridMultilevel"/>
    <w:tmpl w:val="3976D9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632720C2"/>
    <w:multiLevelType w:val="hybridMultilevel"/>
    <w:tmpl w:val="E8663C40"/>
    <w:lvl w:ilvl="0" w:tplc="B0DA2288">
      <w:start w:val="1"/>
      <w:numFmt w:val="lowerLetter"/>
      <w:lvlText w:val="(%1)"/>
      <w:lvlJc w:val="left"/>
      <w:pPr>
        <w:tabs>
          <w:tab w:val="num" w:pos="1080"/>
        </w:tabs>
        <w:ind w:left="1080" w:hanging="72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B4D27BA"/>
    <w:multiLevelType w:val="hybridMultilevel"/>
    <w:tmpl w:val="567A1868"/>
    <w:lvl w:ilvl="0" w:tplc="B5AAEC72">
      <w:start w:val="1"/>
      <w:numFmt w:val="bullet"/>
      <w:lvlText w:val="•"/>
      <w:lvlJc w:val="left"/>
      <w:pPr>
        <w:tabs>
          <w:tab w:val="num" w:pos="720"/>
        </w:tabs>
        <w:ind w:left="720" w:hanging="360"/>
      </w:pPr>
      <w:rPr>
        <w:rFonts w:ascii="Arial" w:hAnsi="Arial" w:hint="default"/>
      </w:rPr>
    </w:lvl>
    <w:lvl w:ilvl="1" w:tplc="998AD3FC">
      <w:start w:val="1"/>
      <w:numFmt w:val="bullet"/>
      <w:lvlText w:val="•"/>
      <w:lvlJc w:val="left"/>
      <w:pPr>
        <w:tabs>
          <w:tab w:val="num" w:pos="1440"/>
        </w:tabs>
        <w:ind w:left="1440" w:hanging="360"/>
      </w:pPr>
      <w:rPr>
        <w:rFonts w:ascii="Arial" w:hAnsi="Arial" w:hint="default"/>
      </w:rPr>
    </w:lvl>
    <w:lvl w:ilvl="2" w:tplc="1332DE58" w:tentative="1">
      <w:start w:val="1"/>
      <w:numFmt w:val="bullet"/>
      <w:lvlText w:val="•"/>
      <w:lvlJc w:val="left"/>
      <w:pPr>
        <w:tabs>
          <w:tab w:val="num" w:pos="2160"/>
        </w:tabs>
        <w:ind w:left="2160" w:hanging="360"/>
      </w:pPr>
      <w:rPr>
        <w:rFonts w:ascii="Arial" w:hAnsi="Arial" w:hint="default"/>
      </w:rPr>
    </w:lvl>
    <w:lvl w:ilvl="3" w:tplc="67048138" w:tentative="1">
      <w:start w:val="1"/>
      <w:numFmt w:val="bullet"/>
      <w:lvlText w:val="•"/>
      <w:lvlJc w:val="left"/>
      <w:pPr>
        <w:tabs>
          <w:tab w:val="num" w:pos="2880"/>
        </w:tabs>
        <w:ind w:left="2880" w:hanging="360"/>
      </w:pPr>
      <w:rPr>
        <w:rFonts w:ascii="Arial" w:hAnsi="Arial" w:hint="default"/>
      </w:rPr>
    </w:lvl>
    <w:lvl w:ilvl="4" w:tplc="CACEF270" w:tentative="1">
      <w:start w:val="1"/>
      <w:numFmt w:val="bullet"/>
      <w:lvlText w:val="•"/>
      <w:lvlJc w:val="left"/>
      <w:pPr>
        <w:tabs>
          <w:tab w:val="num" w:pos="3600"/>
        </w:tabs>
        <w:ind w:left="3600" w:hanging="360"/>
      </w:pPr>
      <w:rPr>
        <w:rFonts w:ascii="Arial" w:hAnsi="Arial" w:hint="default"/>
      </w:rPr>
    </w:lvl>
    <w:lvl w:ilvl="5" w:tplc="62BC2954" w:tentative="1">
      <w:start w:val="1"/>
      <w:numFmt w:val="bullet"/>
      <w:lvlText w:val="•"/>
      <w:lvlJc w:val="left"/>
      <w:pPr>
        <w:tabs>
          <w:tab w:val="num" w:pos="4320"/>
        </w:tabs>
        <w:ind w:left="4320" w:hanging="360"/>
      </w:pPr>
      <w:rPr>
        <w:rFonts w:ascii="Arial" w:hAnsi="Arial" w:hint="default"/>
      </w:rPr>
    </w:lvl>
    <w:lvl w:ilvl="6" w:tplc="D18A5350" w:tentative="1">
      <w:start w:val="1"/>
      <w:numFmt w:val="bullet"/>
      <w:lvlText w:val="•"/>
      <w:lvlJc w:val="left"/>
      <w:pPr>
        <w:tabs>
          <w:tab w:val="num" w:pos="5040"/>
        </w:tabs>
        <w:ind w:left="5040" w:hanging="360"/>
      </w:pPr>
      <w:rPr>
        <w:rFonts w:ascii="Arial" w:hAnsi="Arial" w:hint="default"/>
      </w:rPr>
    </w:lvl>
    <w:lvl w:ilvl="7" w:tplc="9ECEC764" w:tentative="1">
      <w:start w:val="1"/>
      <w:numFmt w:val="bullet"/>
      <w:lvlText w:val="•"/>
      <w:lvlJc w:val="left"/>
      <w:pPr>
        <w:tabs>
          <w:tab w:val="num" w:pos="5760"/>
        </w:tabs>
        <w:ind w:left="5760" w:hanging="360"/>
      </w:pPr>
      <w:rPr>
        <w:rFonts w:ascii="Arial" w:hAnsi="Arial" w:hint="default"/>
      </w:rPr>
    </w:lvl>
    <w:lvl w:ilvl="8" w:tplc="FDC6487E" w:tentative="1">
      <w:start w:val="1"/>
      <w:numFmt w:val="bullet"/>
      <w:lvlText w:val="•"/>
      <w:lvlJc w:val="left"/>
      <w:pPr>
        <w:tabs>
          <w:tab w:val="num" w:pos="6480"/>
        </w:tabs>
        <w:ind w:left="6480" w:hanging="360"/>
      </w:pPr>
      <w:rPr>
        <w:rFonts w:ascii="Arial" w:hAnsi="Arial" w:hint="default"/>
      </w:rPr>
    </w:lvl>
  </w:abstractNum>
  <w:abstractNum w:abstractNumId="13">
    <w:nsid w:val="6CEF6904"/>
    <w:multiLevelType w:val="hybridMultilevel"/>
    <w:tmpl w:val="0B041652"/>
    <w:lvl w:ilvl="0" w:tplc="A63A8C9C">
      <w:start w:val="1"/>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71150C56"/>
    <w:multiLevelType w:val="hybridMultilevel"/>
    <w:tmpl w:val="DD76B89C"/>
    <w:lvl w:ilvl="0" w:tplc="8B24490C">
      <w:numFmt w:val="bullet"/>
      <w:lvlText w:val=""/>
      <w:lvlJc w:val="left"/>
      <w:pPr>
        <w:ind w:left="720" w:hanging="360"/>
      </w:pPr>
      <w:rPr>
        <w:rFonts w:ascii="Symbol" w:eastAsiaTheme="minorHAnsi" w:hAnsi="Symbol" w:cs="Book Antiqu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0077D3"/>
    <w:multiLevelType w:val="hybridMultilevel"/>
    <w:tmpl w:val="691CB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4"/>
  </w:num>
  <w:num w:numId="5">
    <w:abstractNumId w:val="7"/>
  </w:num>
  <w:num w:numId="6">
    <w:abstractNumId w:val="3"/>
  </w:num>
  <w:num w:numId="7">
    <w:abstractNumId w:val="9"/>
  </w:num>
  <w:num w:numId="8">
    <w:abstractNumId w:val="5"/>
  </w:num>
  <w:num w:numId="9">
    <w:abstractNumId w:val="11"/>
  </w:num>
  <w:num w:numId="10">
    <w:abstractNumId w:val="8"/>
  </w:num>
  <w:num w:numId="11">
    <w:abstractNumId w:val="2"/>
  </w:num>
  <w:num w:numId="12">
    <w:abstractNumId w:val="15"/>
  </w:num>
  <w:num w:numId="13">
    <w:abstractNumId w:val="14"/>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E4"/>
    <w:rsid w:val="00015847"/>
    <w:rsid w:val="000165AA"/>
    <w:rsid w:val="0003138C"/>
    <w:rsid w:val="00037427"/>
    <w:rsid w:val="00071C66"/>
    <w:rsid w:val="00083FD1"/>
    <w:rsid w:val="000867D7"/>
    <w:rsid w:val="00092DDF"/>
    <w:rsid w:val="000A17FF"/>
    <w:rsid w:val="000F295C"/>
    <w:rsid w:val="000F368F"/>
    <w:rsid w:val="00110E56"/>
    <w:rsid w:val="00127131"/>
    <w:rsid w:val="00130B8A"/>
    <w:rsid w:val="001403D1"/>
    <w:rsid w:val="00150ACC"/>
    <w:rsid w:val="00150E1F"/>
    <w:rsid w:val="001767D6"/>
    <w:rsid w:val="00185866"/>
    <w:rsid w:val="001C1E30"/>
    <w:rsid w:val="001C254D"/>
    <w:rsid w:val="001E089B"/>
    <w:rsid w:val="001E2C2B"/>
    <w:rsid w:val="001F6B29"/>
    <w:rsid w:val="00210CE4"/>
    <w:rsid w:val="002264C4"/>
    <w:rsid w:val="00246FC2"/>
    <w:rsid w:val="00247599"/>
    <w:rsid w:val="0026688E"/>
    <w:rsid w:val="002725D0"/>
    <w:rsid w:val="00274103"/>
    <w:rsid w:val="00293A96"/>
    <w:rsid w:val="0029609C"/>
    <w:rsid w:val="002B2A61"/>
    <w:rsid w:val="002C1E50"/>
    <w:rsid w:val="002D4F25"/>
    <w:rsid w:val="002D516D"/>
    <w:rsid w:val="002D76A5"/>
    <w:rsid w:val="002E6D2E"/>
    <w:rsid w:val="002F096A"/>
    <w:rsid w:val="002F47AB"/>
    <w:rsid w:val="00315F3F"/>
    <w:rsid w:val="0032624A"/>
    <w:rsid w:val="00326CB5"/>
    <w:rsid w:val="0035501C"/>
    <w:rsid w:val="003722C9"/>
    <w:rsid w:val="003A1E4C"/>
    <w:rsid w:val="003B05D5"/>
    <w:rsid w:val="003C07F9"/>
    <w:rsid w:val="003E719A"/>
    <w:rsid w:val="003F2C55"/>
    <w:rsid w:val="003F5C01"/>
    <w:rsid w:val="00406B01"/>
    <w:rsid w:val="00414321"/>
    <w:rsid w:val="004218D2"/>
    <w:rsid w:val="00441FEC"/>
    <w:rsid w:val="0045664E"/>
    <w:rsid w:val="00466F16"/>
    <w:rsid w:val="004752E0"/>
    <w:rsid w:val="00475A5C"/>
    <w:rsid w:val="004817B6"/>
    <w:rsid w:val="0049135D"/>
    <w:rsid w:val="004A3DE3"/>
    <w:rsid w:val="004A6526"/>
    <w:rsid w:val="004B4AB0"/>
    <w:rsid w:val="004B7386"/>
    <w:rsid w:val="004C766A"/>
    <w:rsid w:val="004E3E0F"/>
    <w:rsid w:val="004E5C5A"/>
    <w:rsid w:val="004F4A77"/>
    <w:rsid w:val="0050034F"/>
    <w:rsid w:val="00512D5D"/>
    <w:rsid w:val="005253A0"/>
    <w:rsid w:val="005263C6"/>
    <w:rsid w:val="0054760A"/>
    <w:rsid w:val="00584368"/>
    <w:rsid w:val="005C7E8E"/>
    <w:rsid w:val="005D0DC7"/>
    <w:rsid w:val="005D6548"/>
    <w:rsid w:val="00604508"/>
    <w:rsid w:val="00605E0D"/>
    <w:rsid w:val="00624F09"/>
    <w:rsid w:val="00636FC0"/>
    <w:rsid w:val="006448F8"/>
    <w:rsid w:val="00651A2A"/>
    <w:rsid w:val="006525CC"/>
    <w:rsid w:val="00654852"/>
    <w:rsid w:val="00682517"/>
    <w:rsid w:val="00687976"/>
    <w:rsid w:val="00691D83"/>
    <w:rsid w:val="00695DBA"/>
    <w:rsid w:val="006C3805"/>
    <w:rsid w:val="006C6093"/>
    <w:rsid w:val="006D64F7"/>
    <w:rsid w:val="006E3885"/>
    <w:rsid w:val="006F4593"/>
    <w:rsid w:val="007210BD"/>
    <w:rsid w:val="00721191"/>
    <w:rsid w:val="0072404C"/>
    <w:rsid w:val="00727B48"/>
    <w:rsid w:val="00731108"/>
    <w:rsid w:val="00744A14"/>
    <w:rsid w:val="00754DDC"/>
    <w:rsid w:val="00760310"/>
    <w:rsid w:val="00764B1E"/>
    <w:rsid w:val="00770D53"/>
    <w:rsid w:val="007772B0"/>
    <w:rsid w:val="00784E97"/>
    <w:rsid w:val="00785DC3"/>
    <w:rsid w:val="00790BF6"/>
    <w:rsid w:val="007A00C0"/>
    <w:rsid w:val="007A2A94"/>
    <w:rsid w:val="007B4F08"/>
    <w:rsid w:val="007F725E"/>
    <w:rsid w:val="00800819"/>
    <w:rsid w:val="008253DC"/>
    <w:rsid w:val="008531FE"/>
    <w:rsid w:val="00866EBA"/>
    <w:rsid w:val="008673EE"/>
    <w:rsid w:val="00872C6D"/>
    <w:rsid w:val="00875C05"/>
    <w:rsid w:val="008828C3"/>
    <w:rsid w:val="008A21C7"/>
    <w:rsid w:val="008A5489"/>
    <w:rsid w:val="008C1893"/>
    <w:rsid w:val="008F1084"/>
    <w:rsid w:val="00901E5C"/>
    <w:rsid w:val="00931C5D"/>
    <w:rsid w:val="009561A2"/>
    <w:rsid w:val="00972183"/>
    <w:rsid w:val="0098739F"/>
    <w:rsid w:val="00990B34"/>
    <w:rsid w:val="009947BC"/>
    <w:rsid w:val="00995206"/>
    <w:rsid w:val="009952BA"/>
    <w:rsid w:val="009A433F"/>
    <w:rsid w:val="009B09DC"/>
    <w:rsid w:val="009B1B0C"/>
    <w:rsid w:val="009C0928"/>
    <w:rsid w:val="009D156B"/>
    <w:rsid w:val="009E6DED"/>
    <w:rsid w:val="00A06CA8"/>
    <w:rsid w:val="00A23085"/>
    <w:rsid w:val="00A23F53"/>
    <w:rsid w:val="00A458F3"/>
    <w:rsid w:val="00A5127A"/>
    <w:rsid w:val="00A5157F"/>
    <w:rsid w:val="00A632B5"/>
    <w:rsid w:val="00A72178"/>
    <w:rsid w:val="00A80140"/>
    <w:rsid w:val="00AA2F0E"/>
    <w:rsid w:val="00AA5FCC"/>
    <w:rsid w:val="00AB5CD1"/>
    <w:rsid w:val="00AD7B09"/>
    <w:rsid w:val="00B13428"/>
    <w:rsid w:val="00B52D6F"/>
    <w:rsid w:val="00B53A8D"/>
    <w:rsid w:val="00B60378"/>
    <w:rsid w:val="00B70C3C"/>
    <w:rsid w:val="00B72C1C"/>
    <w:rsid w:val="00B87D30"/>
    <w:rsid w:val="00B956EE"/>
    <w:rsid w:val="00BA2057"/>
    <w:rsid w:val="00BB193E"/>
    <w:rsid w:val="00BC1FDB"/>
    <w:rsid w:val="00BE3EFC"/>
    <w:rsid w:val="00BE5770"/>
    <w:rsid w:val="00BE6E22"/>
    <w:rsid w:val="00BF5763"/>
    <w:rsid w:val="00BF5C5D"/>
    <w:rsid w:val="00BF6E56"/>
    <w:rsid w:val="00C266D8"/>
    <w:rsid w:val="00C42016"/>
    <w:rsid w:val="00C54051"/>
    <w:rsid w:val="00C62BF3"/>
    <w:rsid w:val="00C75E07"/>
    <w:rsid w:val="00CD5FA4"/>
    <w:rsid w:val="00CE1FDE"/>
    <w:rsid w:val="00CE31CE"/>
    <w:rsid w:val="00CE4A1B"/>
    <w:rsid w:val="00CF78FB"/>
    <w:rsid w:val="00D45A8A"/>
    <w:rsid w:val="00D45BB0"/>
    <w:rsid w:val="00D827C0"/>
    <w:rsid w:val="00D956AD"/>
    <w:rsid w:val="00DB02E3"/>
    <w:rsid w:val="00DB0FAF"/>
    <w:rsid w:val="00DD2651"/>
    <w:rsid w:val="00DE258A"/>
    <w:rsid w:val="00DE358E"/>
    <w:rsid w:val="00DF3A66"/>
    <w:rsid w:val="00E17464"/>
    <w:rsid w:val="00E2302F"/>
    <w:rsid w:val="00E36052"/>
    <w:rsid w:val="00E46C72"/>
    <w:rsid w:val="00E66B29"/>
    <w:rsid w:val="00E829EA"/>
    <w:rsid w:val="00E86AC6"/>
    <w:rsid w:val="00E91D6F"/>
    <w:rsid w:val="00EA2B61"/>
    <w:rsid w:val="00EB5174"/>
    <w:rsid w:val="00EC2071"/>
    <w:rsid w:val="00EC3954"/>
    <w:rsid w:val="00EC3D20"/>
    <w:rsid w:val="00EC5F6C"/>
    <w:rsid w:val="00EE360C"/>
    <w:rsid w:val="00EF30BD"/>
    <w:rsid w:val="00F1528F"/>
    <w:rsid w:val="00F22F64"/>
    <w:rsid w:val="00F432A4"/>
    <w:rsid w:val="00F45770"/>
    <w:rsid w:val="00F5046C"/>
    <w:rsid w:val="00F57D2C"/>
    <w:rsid w:val="00F741E4"/>
    <w:rsid w:val="00F83CED"/>
    <w:rsid w:val="00F85BFA"/>
    <w:rsid w:val="00F86C6F"/>
    <w:rsid w:val="00F86F04"/>
    <w:rsid w:val="00FA15D9"/>
    <w:rsid w:val="00FD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D9"/>
  </w:style>
  <w:style w:type="paragraph" w:styleId="Ttulo1">
    <w:name w:val="heading 1"/>
    <w:basedOn w:val="Normal"/>
    <w:next w:val="Normal"/>
    <w:link w:val="Ttulo1Car"/>
    <w:uiPriority w:val="9"/>
    <w:qFormat/>
    <w:rsid w:val="00491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135D"/>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qFormat/>
    <w:rsid w:val="0049135D"/>
    <w:pPr>
      <w:spacing w:after="100" w:line="276" w:lineRule="auto"/>
    </w:pPr>
    <w:rPr>
      <w:rFonts w:eastAsiaTheme="minorEastAsia"/>
      <w:lang w:eastAsia="es-MX"/>
    </w:rPr>
  </w:style>
  <w:style w:type="paragraph" w:styleId="TDC2">
    <w:name w:val="toc 2"/>
    <w:basedOn w:val="Normal"/>
    <w:next w:val="Normal"/>
    <w:autoRedefine/>
    <w:uiPriority w:val="39"/>
    <w:semiHidden/>
    <w:unhideWhenUsed/>
    <w:qFormat/>
    <w:rsid w:val="0049135D"/>
    <w:pPr>
      <w:spacing w:after="100" w:line="276" w:lineRule="auto"/>
      <w:ind w:left="220"/>
    </w:pPr>
    <w:rPr>
      <w:rFonts w:eastAsiaTheme="minorEastAsia"/>
      <w:lang w:eastAsia="es-MX"/>
    </w:rPr>
  </w:style>
  <w:style w:type="paragraph" w:styleId="TDC3">
    <w:name w:val="toc 3"/>
    <w:basedOn w:val="Normal"/>
    <w:next w:val="Normal"/>
    <w:autoRedefine/>
    <w:uiPriority w:val="39"/>
    <w:semiHidden/>
    <w:unhideWhenUsed/>
    <w:qFormat/>
    <w:rsid w:val="0049135D"/>
    <w:pPr>
      <w:spacing w:after="100" w:line="276" w:lineRule="auto"/>
      <w:ind w:left="440"/>
    </w:pPr>
    <w:rPr>
      <w:rFonts w:eastAsiaTheme="minorEastAsia"/>
      <w:lang w:eastAsia="es-MX"/>
    </w:rPr>
  </w:style>
  <w:style w:type="paragraph" w:styleId="Prrafodelista">
    <w:name w:val="List Paragraph"/>
    <w:basedOn w:val="Normal"/>
    <w:uiPriority w:val="34"/>
    <w:qFormat/>
    <w:rsid w:val="0049135D"/>
    <w:pPr>
      <w:ind w:left="720"/>
      <w:contextualSpacing/>
    </w:pPr>
  </w:style>
  <w:style w:type="paragraph" w:styleId="TtulodeTDC">
    <w:name w:val="TOC Heading"/>
    <w:basedOn w:val="Ttulo1"/>
    <w:next w:val="Normal"/>
    <w:uiPriority w:val="39"/>
    <w:semiHidden/>
    <w:unhideWhenUsed/>
    <w:qFormat/>
    <w:rsid w:val="0049135D"/>
    <w:pPr>
      <w:spacing w:line="276" w:lineRule="auto"/>
      <w:outlineLvl w:val="9"/>
    </w:pPr>
    <w:rPr>
      <w:lang w:eastAsia="es-MX"/>
    </w:rPr>
  </w:style>
  <w:style w:type="paragraph" w:styleId="Textodeglobo">
    <w:name w:val="Balloon Text"/>
    <w:basedOn w:val="Normal"/>
    <w:link w:val="TextodegloboCar"/>
    <w:uiPriority w:val="99"/>
    <w:semiHidden/>
    <w:unhideWhenUsed/>
    <w:rsid w:val="00990B34"/>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B34"/>
    <w:rPr>
      <w:rFonts w:ascii="Tahoma" w:hAnsi="Tahoma" w:cs="Tahoma"/>
      <w:sz w:val="16"/>
      <w:szCs w:val="16"/>
    </w:rPr>
  </w:style>
  <w:style w:type="paragraph" w:styleId="Encabezado">
    <w:name w:val="header"/>
    <w:basedOn w:val="Normal"/>
    <w:link w:val="EncabezadoCar"/>
    <w:uiPriority w:val="99"/>
    <w:unhideWhenUsed/>
    <w:rsid w:val="00990B34"/>
    <w:pPr>
      <w:tabs>
        <w:tab w:val="center" w:pos="4419"/>
        <w:tab w:val="right" w:pos="8838"/>
      </w:tabs>
    </w:pPr>
  </w:style>
  <w:style w:type="character" w:customStyle="1" w:styleId="EncabezadoCar">
    <w:name w:val="Encabezado Car"/>
    <w:basedOn w:val="Fuentedeprrafopredeter"/>
    <w:link w:val="Encabezado"/>
    <w:uiPriority w:val="99"/>
    <w:rsid w:val="00990B34"/>
  </w:style>
  <w:style w:type="paragraph" w:styleId="Piedepgina">
    <w:name w:val="footer"/>
    <w:basedOn w:val="Normal"/>
    <w:link w:val="PiedepginaCar"/>
    <w:uiPriority w:val="99"/>
    <w:unhideWhenUsed/>
    <w:rsid w:val="00990B34"/>
    <w:pPr>
      <w:tabs>
        <w:tab w:val="center" w:pos="4419"/>
        <w:tab w:val="right" w:pos="8838"/>
      </w:tabs>
    </w:pPr>
  </w:style>
  <w:style w:type="character" w:customStyle="1" w:styleId="PiedepginaCar">
    <w:name w:val="Pie de página Car"/>
    <w:basedOn w:val="Fuentedeprrafopredeter"/>
    <w:link w:val="Piedepgina"/>
    <w:uiPriority w:val="99"/>
    <w:rsid w:val="00990B34"/>
  </w:style>
  <w:style w:type="character" w:styleId="Hipervnculo">
    <w:name w:val="Hyperlink"/>
    <w:basedOn w:val="Fuentedeprrafopredeter"/>
    <w:rsid w:val="00D45A8A"/>
    <w:rPr>
      <w:color w:val="255280"/>
      <w:u w:val="single"/>
    </w:rPr>
  </w:style>
  <w:style w:type="table" w:styleId="Tablaconcuadrcula">
    <w:name w:val="Table Grid"/>
    <w:basedOn w:val="Tablanormal"/>
    <w:uiPriority w:val="59"/>
    <w:rsid w:val="000F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68F"/>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0F368F"/>
    <w:pPr>
      <w:spacing w:before="100" w:beforeAutospacing="1" w:after="100" w:afterAutospacing="1"/>
    </w:pPr>
    <w:rPr>
      <w:rFonts w:ascii="Helvetica" w:eastAsia="Times New Roman" w:hAnsi="Helvetica" w:cs="Times New Roman"/>
      <w:color w:val="242424"/>
      <w:sz w:val="18"/>
      <w:szCs w:val="18"/>
      <w:lang w:val="es-ES" w:eastAsia="es-ES"/>
    </w:rPr>
  </w:style>
  <w:style w:type="paragraph" w:styleId="Textonotapie">
    <w:name w:val="footnote text"/>
    <w:basedOn w:val="Normal"/>
    <w:link w:val="TextonotapieCar"/>
    <w:uiPriority w:val="99"/>
    <w:semiHidden/>
    <w:unhideWhenUsed/>
    <w:rsid w:val="001C254D"/>
    <w:rPr>
      <w:sz w:val="20"/>
      <w:szCs w:val="20"/>
    </w:rPr>
  </w:style>
  <w:style w:type="character" w:customStyle="1" w:styleId="TextonotapieCar">
    <w:name w:val="Texto nota pie Car"/>
    <w:basedOn w:val="Fuentedeprrafopredeter"/>
    <w:link w:val="Textonotapie"/>
    <w:uiPriority w:val="99"/>
    <w:semiHidden/>
    <w:rsid w:val="001C254D"/>
    <w:rPr>
      <w:sz w:val="20"/>
      <w:szCs w:val="20"/>
    </w:rPr>
  </w:style>
  <w:style w:type="character" w:styleId="Refdenotaalpie">
    <w:name w:val="footnote reference"/>
    <w:basedOn w:val="Fuentedeprrafopredeter"/>
    <w:uiPriority w:val="99"/>
    <w:semiHidden/>
    <w:unhideWhenUsed/>
    <w:rsid w:val="001C25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D9"/>
  </w:style>
  <w:style w:type="paragraph" w:styleId="Ttulo1">
    <w:name w:val="heading 1"/>
    <w:basedOn w:val="Normal"/>
    <w:next w:val="Normal"/>
    <w:link w:val="Ttulo1Car"/>
    <w:uiPriority w:val="9"/>
    <w:qFormat/>
    <w:rsid w:val="00491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135D"/>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qFormat/>
    <w:rsid w:val="0049135D"/>
    <w:pPr>
      <w:spacing w:after="100" w:line="276" w:lineRule="auto"/>
    </w:pPr>
    <w:rPr>
      <w:rFonts w:eastAsiaTheme="minorEastAsia"/>
      <w:lang w:eastAsia="es-MX"/>
    </w:rPr>
  </w:style>
  <w:style w:type="paragraph" w:styleId="TDC2">
    <w:name w:val="toc 2"/>
    <w:basedOn w:val="Normal"/>
    <w:next w:val="Normal"/>
    <w:autoRedefine/>
    <w:uiPriority w:val="39"/>
    <w:semiHidden/>
    <w:unhideWhenUsed/>
    <w:qFormat/>
    <w:rsid w:val="0049135D"/>
    <w:pPr>
      <w:spacing w:after="100" w:line="276" w:lineRule="auto"/>
      <w:ind w:left="220"/>
    </w:pPr>
    <w:rPr>
      <w:rFonts w:eastAsiaTheme="minorEastAsia"/>
      <w:lang w:eastAsia="es-MX"/>
    </w:rPr>
  </w:style>
  <w:style w:type="paragraph" w:styleId="TDC3">
    <w:name w:val="toc 3"/>
    <w:basedOn w:val="Normal"/>
    <w:next w:val="Normal"/>
    <w:autoRedefine/>
    <w:uiPriority w:val="39"/>
    <w:semiHidden/>
    <w:unhideWhenUsed/>
    <w:qFormat/>
    <w:rsid w:val="0049135D"/>
    <w:pPr>
      <w:spacing w:after="100" w:line="276" w:lineRule="auto"/>
      <w:ind w:left="440"/>
    </w:pPr>
    <w:rPr>
      <w:rFonts w:eastAsiaTheme="minorEastAsia"/>
      <w:lang w:eastAsia="es-MX"/>
    </w:rPr>
  </w:style>
  <w:style w:type="paragraph" w:styleId="Prrafodelista">
    <w:name w:val="List Paragraph"/>
    <w:basedOn w:val="Normal"/>
    <w:uiPriority w:val="34"/>
    <w:qFormat/>
    <w:rsid w:val="0049135D"/>
    <w:pPr>
      <w:ind w:left="720"/>
      <w:contextualSpacing/>
    </w:pPr>
  </w:style>
  <w:style w:type="paragraph" w:styleId="TtulodeTDC">
    <w:name w:val="TOC Heading"/>
    <w:basedOn w:val="Ttulo1"/>
    <w:next w:val="Normal"/>
    <w:uiPriority w:val="39"/>
    <w:semiHidden/>
    <w:unhideWhenUsed/>
    <w:qFormat/>
    <w:rsid w:val="0049135D"/>
    <w:pPr>
      <w:spacing w:line="276" w:lineRule="auto"/>
      <w:outlineLvl w:val="9"/>
    </w:pPr>
    <w:rPr>
      <w:lang w:eastAsia="es-MX"/>
    </w:rPr>
  </w:style>
  <w:style w:type="paragraph" w:styleId="Textodeglobo">
    <w:name w:val="Balloon Text"/>
    <w:basedOn w:val="Normal"/>
    <w:link w:val="TextodegloboCar"/>
    <w:uiPriority w:val="99"/>
    <w:semiHidden/>
    <w:unhideWhenUsed/>
    <w:rsid w:val="00990B34"/>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B34"/>
    <w:rPr>
      <w:rFonts w:ascii="Tahoma" w:hAnsi="Tahoma" w:cs="Tahoma"/>
      <w:sz w:val="16"/>
      <w:szCs w:val="16"/>
    </w:rPr>
  </w:style>
  <w:style w:type="paragraph" w:styleId="Encabezado">
    <w:name w:val="header"/>
    <w:basedOn w:val="Normal"/>
    <w:link w:val="EncabezadoCar"/>
    <w:uiPriority w:val="99"/>
    <w:unhideWhenUsed/>
    <w:rsid w:val="00990B34"/>
    <w:pPr>
      <w:tabs>
        <w:tab w:val="center" w:pos="4419"/>
        <w:tab w:val="right" w:pos="8838"/>
      </w:tabs>
    </w:pPr>
  </w:style>
  <w:style w:type="character" w:customStyle="1" w:styleId="EncabezadoCar">
    <w:name w:val="Encabezado Car"/>
    <w:basedOn w:val="Fuentedeprrafopredeter"/>
    <w:link w:val="Encabezado"/>
    <w:uiPriority w:val="99"/>
    <w:rsid w:val="00990B34"/>
  </w:style>
  <w:style w:type="paragraph" w:styleId="Piedepgina">
    <w:name w:val="footer"/>
    <w:basedOn w:val="Normal"/>
    <w:link w:val="PiedepginaCar"/>
    <w:uiPriority w:val="99"/>
    <w:unhideWhenUsed/>
    <w:rsid w:val="00990B34"/>
    <w:pPr>
      <w:tabs>
        <w:tab w:val="center" w:pos="4419"/>
        <w:tab w:val="right" w:pos="8838"/>
      </w:tabs>
    </w:pPr>
  </w:style>
  <w:style w:type="character" w:customStyle="1" w:styleId="PiedepginaCar">
    <w:name w:val="Pie de página Car"/>
    <w:basedOn w:val="Fuentedeprrafopredeter"/>
    <w:link w:val="Piedepgina"/>
    <w:uiPriority w:val="99"/>
    <w:rsid w:val="00990B34"/>
  </w:style>
  <w:style w:type="character" w:styleId="Hipervnculo">
    <w:name w:val="Hyperlink"/>
    <w:basedOn w:val="Fuentedeprrafopredeter"/>
    <w:rsid w:val="00D45A8A"/>
    <w:rPr>
      <w:color w:val="255280"/>
      <w:u w:val="single"/>
    </w:rPr>
  </w:style>
  <w:style w:type="table" w:styleId="Tablaconcuadrcula">
    <w:name w:val="Table Grid"/>
    <w:basedOn w:val="Tablanormal"/>
    <w:uiPriority w:val="59"/>
    <w:rsid w:val="000F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68F"/>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0F368F"/>
    <w:pPr>
      <w:spacing w:before="100" w:beforeAutospacing="1" w:after="100" w:afterAutospacing="1"/>
    </w:pPr>
    <w:rPr>
      <w:rFonts w:ascii="Helvetica" w:eastAsia="Times New Roman" w:hAnsi="Helvetica" w:cs="Times New Roman"/>
      <w:color w:val="242424"/>
      <w:sz w:val="18"/>
      <w:szCs w:val="18"/>
      <w:lang w:val="es-ES" w:eastAsia="es-ES"/>
    </w:rPr>
  </w:style>
  <w:style w:type="paragraph" w:styleId="Textonotapie">
    <w:name w:val="footnote text"/>
    <w:basedOn w:val="Normal"/>
    <w:link w:val="TextonotapieCar"/>
    <w:uiPriority w:val="99"/>
    <w:semiHidden/>
    <w:unhideWhenUsed/>
    <w:rsid w:val="001C254D"/>
    <w:rPr>
      <w:sz w:val="20"/>
      <w:szCs w:val="20"/>
    </w:rPr>
  </w:style>
  <w:style w:type="character" w:customStyle="1" w:styleId="TextonotapieCar">
    <w:name w:val="Texto nota pie Car"/>
    <w:basedOn w:val="Fuentedeprrafopredeter"/>
    <w:link w:val="Textonotapie"/>
    <w:uiPriority w:val="99"/>
    <w:semiHidden/>
    <w:rsid w:val="001C254D"/>
    <w:rPr>
      <w:sz w:val="20"/>
      <w:szCs w:val="20"/>
    </w:rPr>
  </w:style>
  <w:style w:type="character" w:styleId="Refdenotaalpie">
    <w:name w:val="footnote reference"/>
    <w:basedOn w:val="Fuentedeprrafopredeter"/>
    <w:uiPriority w:val="99"/>
    <w:semiHidden/>
    <w:unhideWhenUsed/>
    <w:rsid w:val="001C2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687">
      <w:bodyDiv w:val="1"/>
      <w:marLeft w:val="0"/>
      <w:marRight w:val="0"/>
      <w:marTop w:val="0"/>
      <w:marBottom w:val="0"/>
      <w:divBdr>
        <w:top w:val="none" w:sz="0" w:space="0" w:color="auto"/>
        <w:left w:val="none" w:sz="0" w:space="0" w:color="auto"/>
        <w:bottom w:val="none" w:sz="0" w:space="0" w:color="auto"/>
        <w:right w:val="none" w:sz="0" w:space="0" w:color="auto"/>
      </w:divBdr>
      <w:divsChild>
        <w:div w:id="446003146">
          <w:marLeft w:val="0"/>
          <w:marRight w:val="0"/>
          <w:marTop w:val="0"/>
          <w:marBottom w:val="58"/>
          <w:divBdr>
            <w:top w:val="none" w:sz="0" w:space="0" w:color="auto"/>
            <w:left w:val="none" w:sz="0" w:space="0" w:color="auto"/>
            <w:bottom w:val="none" w:sz="0" w:space="0" w:color="auto"/>
            <w:right w:val="none" w:sz="0" w:space="0" w:color="auto"/>
          </w:divBdr>
        </w:div>
        <w:div w:id="1452551358">
          <w:marLeft w:val="0"/>
          <w:marRight w:val="0"/>
          <w:marTop w:val="0"/>
          <w:marBottom w:val="58"/>
          <w:divBdr>
            <w:top w:val="none" w:sz="0" w:space="0" w:color="auto"/>
            <w:left w:val="none" w:sz="0" w:space="0" w:color="auto"/>
            <w:bottom w:val="none" w:sz="0" w:space="0" w:color="auto"/>
            <w:right w:val="none" w:sz="0" w:space="0" w:color="auto"/>
          </w:divBdr>
        </w:div>
        <w:div w:id="1833134118">
          <w:marLeft w:val="0"/>
          <w:marRight w:val="0"/>
          <w:marTop w:val="0"/>
          <w:marBottom w:val="58"/>
          <w:divBdr>
            <w:top w:val="none" w:sz="0" w:space="0" w:color="auto"/>
            <w:left w:val="none" w:sz="0" w:space="0" w:color="auto"/>
            <w:bottom w:val="none" w:sz="0" w:space="0" w:color="auto"/>
            <w:right w:val="none" w:sz="0" w:space="0" w:color="auto"/>
          </w:divBdr>
        </w:div>
        <w:div w:id="1615865710">
          <w:marLeft w:val="0"/>
          <w:marRight w:val="0"/>
          <w:marTop w:val="0"/>
          <w:marBottom w:val="58"/>
          <w:divBdr>
            <w:top w:val="none" w:sz="0" w:space="0" w:color="auto"/>
            <w:left w:val="none" w:sz="0" w:space="0" w:color="auto"/>
            <w:bottom w:val="none" w:sz="0" w:space="0" w:color="auto"/>
            <w:right w:val="none" w:sz="0" w:space="0" w:color="auto"/>
          </w:divBdr>
        </w:div>
        <w:div w:id="2120291743">
          <w:marLeft w:val="0"/>
          <w:marRight w:val="0"/>
          <w:marTop w:val="0"/>
          <w:marBottom w:val="58"/>
          <w:divBdr>
            <w:top w:val="none" w:sz="0" w:space="0" w:color="auto"/>
            <w:left w:val="none" w:sz="0" w:space="0" w:color="auto"/>
            <w:bottom w:val="none" w:sz="0" w:space="0" w:color="auto"/>
            <w:right w:val="none" w:sz="0" w:space="0" w:color="auto"/>
          </w:divBdr>
        </w:div>
      </w:divsChild>
    </w:div>
    <w:div w:id="290013377">
      <w:bodyDiv w:val="1"/>
      <w:marLeft w:val="0"/>
      <w:marRight w:val="0"/>
      <w:marTop w:val="0"/>
      <w:marBottom w:val="0"/>
      <w:divBdr>
        <w:top w:val="none" w:sz="0" w:space="0" w:color="auto"/>
        <w:left w:val="none" w:sz="0" w:space="0" w:color="auto"/>
        <w:bottom w:val="none" w:sz="0" w:space="0" w:color="auto"/>
        <w:right w:val="none" w:sz="0" w:space="0" w:color="auto"/>
      </w:divBdr>
    </w:div>
    <w:div w:id="350955216">
      <w:bodyDiv w:val="1"/>
      <w:marLeft w:val="0"/>
      <w:marRight w:val="0"/>
      <w:marTop w:val="0"/>
      <w:marBottom w:val="0"/>
      <w:divBdr>
        <w:top w:val="none" w:sz="0" w:space="0" w:color="auto"/>
        <w:left w:val="none" w:sz="0" w:space="0" w:color="auto"/>
        <w:bottom w:val="none" w:sz="0" w:space="0" w:color="auto"/>
        <w:right w:val="none" w:sz="0" w:space="0" w:color="auto"/>
      </w:divBdr>
    </w:div>
    <w:div w:id="1136948431">
      <w:bodyDiv w:val="1"/>
      <w:marLeft w:val="0"/>
      <w:marRight w:val="0"/>
      <w:marTop w:val="0"/>
      <w:marBottom w:val="0"/>
      <w:divBdr>
        <w:top w:val="none" w:sz="0" w:space="0" w:color="auto"/>
        <w:left w:val="none" w:sz="0" w:space="0" w:color="auto"/>
        <w:bottom w:val="none" w:sz="0" w:space="0" w:color="auto"/>
        <w:right w:val="none" w:sz="0" w:space="0" w:color="auto"/>
      </w:divBdr>
      <w:divsChild>
        <w:div w:id="1600216816">
          <w:marLeft w:val="0"/>
          <w:marRight w:val="0"/>
          <w:marTop w:val="0"/>
          <w:marBottom w:val="58"/>
          <w:divBdr>
            <w:top w:val="none" w:sz="0" w:space="0" w:color="auto"/>
            <w:left w:val="none" w:sz="0" w:space="0" w:color="auto"/>
            <w:bottom w:val="none" w:sz="0" w:space="0" w:color="auto"/>
            <w:right w:val="none" w:sz="0" w:space="0" w:color="auto"/>
          </w:divBdr>
        </w:div>
        <w:div w:id="760176945">
          <w:marLeft w:val="0"/>
          <w:marRight w:val="0"/>
          <w:marTop w:val="0"/>
          <w:marBottom w:val="58"/>
          <w:divBdr>
            <w:top w:val="none" w:sz="0" w:space="0" w:color="auto"/>
            <w:left w:val="none" w:sz="0" w:space="0" w:color="auto"/>
            <w:bottom w:val="none" w:sz="0" w:space="0" w:color="auto"/>
            <w:right w:val="none" w:sz="0" w:space="0" w:color="auto"/>
          </w:divBdr>
        </w:div>
        <w:div w:id="307365417">
          <w:marLeft w:val="0"/>
          <w:marRight w:val="0"/>
          <w:marTop w:val="0"/>
          <w:marBottom w:val="58"/>
          <w:divBdr>
            <w:top w:val="none" w:sz="0" w:space="0" w:color="auto"/>
            <w:left w:val="none" w:sz="0" w:space="0" w:color="auto"/>
            <w:bottom w:val="none" w:sz="0" w:space="0" w:color="auto"/>
            <w:right w:val="none" w:sz="0" w:space="0" w:color="auto"/>
          </w:divBdr>
        </w:div>
        <w:div w:id="242182317">
          <w:marLeft w:val="0"/>
          <w:marRight w:val="0"/>
          <w:marTop w:val="0"/>
          <w:marBottom w:val="58"/>
          <w:divBdr>
            <w:top w:val="none" w:sz="0" w:space="0" w:color="auto"/>
            <w:left w:val="none" w:sz="0" w:space="0" w:color="auto"/>
            <w:bottom w:val="none" w:sz="0" w:space="0" w:color="auto"/>
            <w:right w:val="none" w:sz="0" w:space="0" w:color="auto"/>
          </w:divBdr>
        </w:div>
        <w:div w:id="697314372">
          <w:marLeft w:val="0"/>
          <w:marRight w:val="0"/>
          <w:marTop w:val="0"/>
          <w:marBottom w:val="58"/>
          <w:divBdr>
            <w:top w:val="none" w:sz="0" w:space="0" w:color="auto"/>
            <w:left w:val="none" w:sz="0" w:space="0" w:color="auto"/>
            <w:bottom w:val="none" w:sz="0" w:space="0" w:color="auto"/>
            <w:right w:val="none" w:sz="0" w:space="0" w:color="auto"/>
          </w:divBdr>
        </w:div>
      </w:divsChild>
    </w:div>
    <w:div w:id="1147432270">
      <w:bodyDiv w:val="1"/>
      <w:marLeft w:val="0"/>
      <w:marRight w:val="0"/>
      <w:marTop w:val="0"/>
      <w:marBottom w:val="0"/>
      <w:divBdr>
        <w:top w:val="none" w:sz="0" w:space="0" w:color="auto"/>
        <w:left w:val="none" w:sz="0" w:space="0" w:color="auto"/>
        <w:bottom w:val="none" w:sz="0" w:space="0" w:color="auto"/>
        <w:right w:val="none" w:sz="0" w:space="0" w:color="auto"/>
      </w:divBdr>
    </w:div>
    <w:div w:id="1232230565">
      <w:bodyDiv w:val="1"/>
      <w:marLeft w:val="0"/>
      <w:marRight w:val="0"/>
      <w:marTop w:val="0"/>
      <w:marBottom w:val="0"/>
      <w:divBdr>
        <w:top w:val="none" w:sz="0" w:space="0" w:color="auto"/>
        <w:left w:val="none" w:sz="0" w:space="0" w:color="auto"/>
        <w:bottom w:val="none" w:sz="0" w:space="0" w:color="auto"/>
        <w:right w:val="none" w:sz="0" w:space="0" w:color="auto"/>
      </w:divBdr>
    </w:div>
    <w:div w:id="1237127045">
      <w:bodyDiv w:val="1"/>
      <w:marLeft w:val="0"/>
      <w:marRight w:val="0"/>
      <w:marTop w:val="0"/>
      <w:marBottom w:val="0"/>
      <w:divBdr>
        <w:top w:val="none" w:sz="0" w:space="0" w:color="auto"/>
        <w:left w:val="none" w:sz="0" w:space="0" w:color="auto"/>
        <w:bottom w:val="none" w:sz="0" w:space="0" w:color="auto"/>
        <w:right w:val="none" w:sz="0" w:space="0" w:color="auto"/>
      </w:divBdr>
    </w:div>
    <w:div w:id="1281229409">
      <w:bodyDiv w:val="1"/>
      <w:marLeft w:val="0"/>
      <w:marRight w:val="0"/>
      <w:marTop w:val="0"/>
      <w:marBottom w:val="0"/>
      <w:divBdr>
        <w:top w:val="none" w:sz="0" w:space="0" w:color="auto"/>
        <w:left w:val="none" w:sz="0" w:space="0" w:color="auto"/>
        <w:bottom w:val="none" w:sz="0" w:space="0" w:color="auto"/>
        <w:right w:val="none" w:sz="0" w:space="0" w:color="auto"/>
      </w:divBdr>
    </w:div>
    <w:div w:id="1324970489">
      <w:bodyDiv w:val="1"/>
      <w:marLeft w:val="0"/>
      <w:marRight w:val="0"/>
      <w:marTop w:val="0"/>
      <w:marBottom w:val="0"/>
      <w:divBdr>
        <w:top w:val="none" w:sz="0" w:space="0" w:color="auto"/>
        <w:left w:val="none" w:sz="0" w:space="0" w:color="auto"/>
        <w:bottom w:val="none" w:sz="0" w:space="0" w:color="auto"/>
        <w:right w:val="none" w:sz="0" w:space="0" w:color="auto"/>
      </w:divBdr>
      <w:divsChild>
        <w:div w:id="525363815">
          <w:marLeft w:val="0"/>
          <w:marRight w:val="0"/>
          <w:marTop w:val="0"/>
          <w:marBottom w:val="58"/>
          <w:divBdr>
            <w:top w:val="none" w:sz="0" w:space="0" w:color="auto"/>
            <w:left w:val="none" w:sz="0" w:space="0" w:color="auto"/>
            <w:bottom w:val="none" w:sz="0" w:space="0" w:color="auto"/>
            <w:right w:val="none" w:sz="0" w:space="0" w:color="auto"/>
          </w:divBdr>
        </w:div>
        <w:div w:id="620304153">
          <w:marLeft w:val="0"/>
          <w:marRight w:val="0"/>
          <w:marTop w:val="0"/>
          <w:marBottom w:val="58"/>
          <w:divBdr>
            <w:top w:val="none" w:sz="0" w:space="0" w:color="auto"/>
            <w:left w:val="none" w:sz="0" w:space="0" w:color="auto"/>
            <w:bottom w:val="none" w:sz="0" w:space="0" w:color="auto"/>
            <w:right w:val="none" w:sz="0" w:space="0" w:color="auto"/>
          </w:divBdr>
        </w:div>
        <w:div w:id="1344360937">
          <w:marLeft w:val="0"/>
          <w:marRight w:val="0"/>
          <w:marTop w:val="0"/>
          <w:marBottom w:val="58"/>
          <w:divBdr>
            <w:top w:val="none" w:sz="0" w:space="0" w:color="auto"/>
            <w:left w:val="none" w:sz="0" w:space="0" w:color="auto"/>
            <w:bottom w:val="none" w:sz="0" w:space="0" w:color="auto"/>
            <w:right w:val="none" w:sz="0" w:space="0" w:color="auto"/>
          </w:divBdr>
        </w:div>
        <w:div w:id="1109934023">
          <w:marLeft w:val="0"/>
          <w:marRight w:val="0"/>
          <w:marTop w:val="0"/>
          <w:marBottom w:val="58"/>
          <w:divBdr>
            <w:top w:val="none" w:sz="0" w:space="0" w:color="auto"/>
            <w:left w:val="none" w:sz="0" w:space="0" w:color="auto"/>
            <w:bottom w:val="none" w:sz="0" w:space="0" w:color="auto"/>
            <w:right w:val="none" w:sz="0" w:space="0" w:color="auto"/>
          </w:divBdr>
        </w:div>
      </w:divsChild>
    </w:div>
    <w:div w:id="1333606750">
      <w:bodyDiv w:val="1"/>
      <w:marLeft w:val="0"/>
      <w:marRight w:val="0"/>
      <w:marTop w:val="0"/>
      <w:marBottom w:val="0"/>
      <w:divBdr>
        <w:top w:val="none" w:sz="0" w:space="0" w:color="auto"/>
        <w:left w:val="none" w:sz="0" w:space="0" w:color="auto"/>
        <w:bottom w:val="none" w:sz="0" w:space="0" w:color="auto"/>
        <w:right w:val="none" w:sz="0" w:space="0" w:color="auto"/>
      </w:divBdr>
    </w:div>
    <w:div w:id="1560239812">
      <w:bodyDiv w:val="1"/>
      <w:marLeft w:val="0"/>
      <w:marRight w:val="0"/>
      <w:marTop w:val="0"/>
      <w:marBottom w:val="0"/>
      <w:divBdr>
        <w:top w:val="none" w:sz="0" w:space="0" w:color="auto"/>
        <w:left w:val="none" w:sz="0" w:space="0" w:color="auto"/>
        <w:bottom w:val="none" w:sz="0" w:space="0" w:color="auto"/>
        <w:right w:val="none" w:sz="0" w:space="0" w:color="auto"/>
      </w:divBdr>
      <w:divsChild>
        <w:div w:id="674959304">
          <w:marLeft w:val="0"/>
          <w:marRight w:val="0"/>
          <w:marTop w:val="0"/>
          <w:marBottom w:val="58"/>
          <w:divBdr>
            <w:top w:val="none" w:sz="0" w:space="0" w:color="auto"/>
            <w:left w:val="none" w:sz="0" w:space="0" w:color="auto"/>
            <w:bottom w:val="none" w:sz="0" w:space="0" w:color="auto"/>
            <w:right w:val="none" w:sz="0" w:space="0" w:color="auto"/>
          </w:divBdr>
        </w:div>
        <w:div w:id="438642522">
          <w:marLeft w:val="0"/>
          <w:marRight w:val="0"/>
          <w:marTop w:val="0"/>
          <w:marBottom w:val="58"/>
          <w:divBdr>
            <w:top w:val="none" w:sz="0" w:space="0" w:color="auto"/>
            <w:left w:val="none" w:sz="0" w:space="0" w:color="auto"/>
            <w:bottom w:val="none" w:sz="0" w:space="0" w:color="auto"/>
            <w:right w:val="none" w:sz="0" w:space="0" w:color="auto"/>
          </w:divBdr>
        </w:div>
        <w:div w:id="1380937259">
          <w:marLeft w:val="0"/>
          <w:marRight w:val="0"/>
          <w:marTop w:val="0"/>
          <w:marBottom w:val="58"/>
          <w:divBdr>
            <w:top w:val="none" w:sz="0" w:space="0" w:color="auto"/>
            <w:left w:val="none" w:sz="0" w:space="0" w:color="auto"/>
            <w:bottom w:val="none" w:sz="0" w:space="0" w:color="auto"/>
            <w:right w:val="none" w:sz="0" w:space="0" w:color="auto"/>
          </w:divBdr>
        </w:div>
        <w:div w:id="549611842">
          <w:marLeft w:val="0"/>
          <w:marRight w:val="0"/>
          <w:marTop w:val="0"/>
          <w:marBottom w:val="58"/>
          <w:divBdr>
            <w:top w:val="none" w:sz="0" w:space="0" w:color="auto"/>
            <w:left w:val="none" w:sz="0" w:space="0" w:color="auto"/>
            <w:bottom w:val="none" w:sz="0" w:space="0" w:color="auto"/>
            <w:right w:val="none" w:sz="0" w:space="0" w:color="auto"/>
          </w:divBdr>
        </w:div>
        <w:div w:id="238516925">
          <w:marLeft w:val="0"/>
          <w:marRight w:val="0"/>
          <w:marTop w:val="0"/>
          <w:marBottom w:val="58"/>
          <w:divBdr>
            <w:top w:val="none" w:sz="0" w:space="0" w:color="auto"/>
            <w:left w:val="none" w:sz="0" w:space="0" w:color="auto"/>
            <w:bottom w:val="none" w:sz="0" w:space="0" w:color="auto"/>
            <w:right w:val="none" w:sz="0" w:space="0" w:color="auto"/>
          </w:divBdr>
        </w:div>
      </w:divsChild>
    </w:div>
    <w:div w:id="17633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conacyt.mx/cibiogem/index.php/sistema-nacional-de-informacion/formatos-de-avisos" TargetMode="External"/><Relationship Id="rId1" Type="http://schemas.openxmlformats.org/officeDocument/2006/relationships/hyperlink" Target="http://www.conacyt.mx/cibiogem/images/cibiogem/normatividad/vigente/ACUERDO-FORMATOS-AVIS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iliana.apodaca\AppData\Local\Microsoft\Windows\Temporary%20Internet%20Files\Content.Outlook\3S3HFJQJ\Base%20AUC%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t>Por número de Instituciones que se incorporaron </a:t>
            </a:r>
          </a:p>
        </c:rich>
      </c:tx>
      <c:layout>
        <c:manualLayout>
          <c:xMode val="edge"/>
          <c:yMode val="edge"/>
          <c:x val="0.1837124183006536"/>
          <c:y val="6.6603327476627408E-2"/>
        </c:manualLayout>
      </c:layout>
      <c:overlay val="0"/>
    </c:title>
    <c:autoTitleDeleted val="0"/>
    <c:plotArea>
      <c:layout>
        <c:manualLayout>
          <c:layoutTarget val="inner"/>
          <c:xMode val="edge"/>
          <c:yMode val="edge"/>
          <c:x val="0.1274263082919804"/>
          <c:y val="0.105571603155205"/>
          <c:w val="0.74390407081467758"/>
          <c:h val="0.76324447047424859"/>
        </c:manualLayout>
      </c:layout>
      <c:barChart>
        <c:barDir val="col"/>
        <c:grouping val="clustered"/>
        <c:varyColors val="0"/>
        <c:ser>
          <c:idx val="1"/>
          <c:order val="0"/>
          <c:tx>
            <c:strRef>
              <c:f>'Datos General'!$K$5</c:f>
              <c:strCache>
                <c:ptCount val="1"/>
                <c:pt idx="0">
                  <c:v>Instituciones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'Datos General'!$L$3:$R$3</c:f>
              <c:numCache>
                <c:formatCode>General</c:formatCode>
                <c:ptCount val="7"/>
                <c:pt idx="0">
                  <c:v>2009</c:v>
                </c:pt>
                <c:pt idx="1">
                  <c:v>2010</c:v>
                </c:pt>
                <c:pt idx="2">
                  <c:v>2011</c:v>
                </c:pt>
                <c:pt idx="3">
                  <c:v>2012</c:v>
                </c:pt>
                <c:pt idx="4">
                  <c:v>2013</c:v>
                </c:pt>
                <c:pt idx="5">
                  <c:v>2014</c:v>
                </c:pt>
                <c:pt idx="6">
                  <c:v>2015</c:v>
                </c:pt>
              </c:numCache>
            </c:numRef>
          </c:cat>
          <c:val>
            <c:numRef>
              <c:f>'Datos General'!$L$5:$R$5</c:f>
              <c:numCache>
                <c:formatCode>General</c:formatCode>
                <c:ptCount val="7"/>
                <c:pt idx="0">
                  <c:v>2</c:v>
                </c:pt>
                <c:pt idx="1">
                  <c:v>3</c:v>
                </c:pt>
                <c:pt idx="2">
                  <c:v>6</c:v>
                </c:pt>
                <c:pt idx="3">
                  <c:v>9</c:v>
                </c:pt>
                <c:pt idx="4">
                  <c:v>6</c:v>
                </c:pt>
                <c:pt idx="5">
                  <c:v>2</c:v>
                </c:pt>
                <c:pt idx="6">
                  <c:v>2</c:v>
                </c:pt>
              </c:numCache>
            </c:numRef>
          </c:val>
        </c:ser>
        <c:dLbls>
          <c:showLegendKey val="0"/>
          <c:showVal val="0"/>
          <c:showCatName val="0"/>
          <c:showSerName val="0"/>
          <c:showPercent val="0"/>
          <c:showBubbleSize val="0"/>
        </c:dLbls>
        <c:gapWidth val="75"/>
        <c:axId val="246604928"/>
        <c:axId val="246607232"/>
      </c:barChart>
      <c:catAx>
        <c:axId val="246604928"/>
        <c:scaling>
          <c:orientation val="minMax"/>
        </c:scaling>
        <c:delete val="0"/>
        <c:axPos val="b"/>
        <c:title>
          <c:tx>
            <c:rich>
              <a:bodyPr/>
              <a:lstStyle/>
              <a:p>
                <a:pPr>
                  <a:defRPr/>
                </a:pPr>
                <a:r>
                  <a:rPr lang="en-US"/>
                  <a:t>AÑO</a:t>
                </a:r>
              </a:p>
            </c:rich>
          </c:tx>
          <c:layout>
            <c:manualLayout>
              <c:xMode val="edge"/>
              <c:yMode val="edge"/>
              <c:x val="0.46335258092738407"/>
              <c:y val="0.94285069738183558"/>
            </c:manualLayout>
          </c:layout>
          <c:overlay val="0"/>
        </c:title>
        <c:numFmt formatCode="General" sourceLinked="1"/>
        <c:majorTickMark val="none"/>
        <c:minorTickMark val="none"/>
        <c:tickLblPos val="nextTo"/>
        <c:crossAx val="246607232"/>
        <c:crosses val="autoZero"/>
        <c:auto val="1"/>
        <c:lblAlgn val="ctr"/>
        <c:lblOffset val="100"/>
        <c:noMultiLvlLbl val="0"/>
      </c:catAx>
      <c:valAx>
        <c:axId val="246607232"/>
        <c:scaling>
          <c:orientation val="minMax"/>
        </c:scaling>
        <c:delete val="0"/>
        <c:axPos val="l"/>
        <c:title>
          <c:tx>
            <c:rich>
              <a:bodyPr rot="-5400000" vert="horz"/>
              <a:lstStyle/>
              <a:p>
                <a:pPr>
                  <a:defRPr/>
                </a:pPr>
                <a:r>
                  <a:rPr lang="es-ES"/>
                  <a:t>N Ú M E R O</a:t>
                </a:r>
              </a:p>
            </c:rich>
          </c:tx>
          <c:layout>
            <c:manualLayout>
              <c:xMode val="edge"/>
              <c:yMode val="edge"/>
              <c:x val="2.6056782663598461E-2"/>
              <c:y val="0.45369722589985984"/>
            </c:manualLayout>
          </c:layout>
          <c:overlay val="0"/>
        </c:title>
        <c:numFmt formatCode="General" sourceLinked="1"/>
        <c:majorTickMark val="none"/>
        <c:minorTickMark val="none"/>
        <c:tickLblPos val="nextTo"/>
        <c:crossAx val="24660492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0.09288</cdr:x>
      <cdr:y>0</cdr:y>
    </cdr:from>
    <cdr:to>
      <cdr:x>1</cdr:x>
      <cdr:y>0.09366</cdr:y>
    </cdr:to>
    <cdr:sp macro="" textlink="">
      <cdr:nvSpPr>
        <cdr:cNvPr id="3" name="2 CuadroTexto"/>
        <cdr:cNvSpPr txBox="1"/>
      </cdr:nvSpPr>
      <cdr:spPr>
        <a:xfrm xmlns:a="http://schemas.openxmlformats.org/drawingml/2006/main">
          <a:off x="451188" y="0"/>
          <a:ext cx="4406562"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50" b="1"/>
            <a:t>AVISOS DE UTLIZACIÓN CONFINADA (AUC)</a:t>
          </a:r>
          <a:r>
            <a:rPr lang="es-ES" sz="1050" b="1" baseline="0"/>
            <a:t> DEL AÑO 2009 AL 2015</a:t>
          </a:r>
          <a:endParaRPr lang="es-ES" sz="1050" b="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D4BA-1959-4B8B-BFDD-B6E68518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Gpe.Perez</dc:creator>
  <cp:lastModifiedBy>Natalhie Campos Reales Pineda</cp:lastModifiedBy>
  <cp:revision>4</cp:revision>
  <cp:lastPrinted>2016-04-28T19:41:00Z</cp:lastPrinted>
  <dcterms:created xsi:type="dcterms:W3CDTF">2016-04-29T22:22:00Z</dcterms:created>
  <dcterms:modified xsi:type="dcterms:W3CDTF">2016-04-29T22:36:00Z</dcterms:modified>
</cp:coreProperties>
</file>