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26FDFC" w14:textId="759E47D6" w:rsidR="00593BC6" w:rsidRDefault="00593BC6" w:rsidP="00593BC6">
      <w:pPr>
        <w:pStyle w:val="Header"/>
        <w:jc w:val="center"/>
        <w:rPr>
          <w:rFonts w:ascii="Times New Roman Bold" w:hAnsi="Times New Roman Bold"/>
          <w:b/>
          <w:caps/>
          <w:sz w:val="22"/>
          <w:szCs w:val="22"/>
        </w:rPr>
      </w:pPr>
      <w:r w:rsidRPr="00C658CD">
        <w:rPr>
          <w:rFonts w:ascii="Times New Roman Bold" w:hAnsi="Times New Roman Bold"/>
          <w:b/>
          <w:caps/>
          <w:sz w:val="22"/>
          <w:szCs w:val="22"/>
        </w:rPr>
        <w:t xml:space="preserve">template for </w:t>
      </w:r>
      <w:r w:rsidR="00054613">
        <w:rPr>
          <w:rFonts w:ascii="Times New Roman Bold" w:hAnsi="Times New Roman Bold"/>
          <w:b/>
          <w:caps/>
          <w:sz w:val="22"/>
          <w:szCs w:val="22"/>
        </w:rPr>
        <w:t xml:space="preserve">Peer Review </w:t>
      </w:r>
      <w:r w:rsidRPr="00C658CD">
        <w:rPr>
          <w:rFonts w:ascii="Times New Roman Bold" w:hAnsi="Times New Roman Bold"/>
          <w:b/>
          <w:caps/>
          <w:sz w:val="22"/>
          <w:szCs w:val="22"/>
        </w:rPr>
        <w:t xml:space="preserve">comments </w:t>
      </w:r>
    </w:p>
    <w:p w14:paraId="5436CA10" w14:textId="5E767C34" w:rsidR="0032155A" w:rsidRDefault="0032155A" w:rsidP="00593BC6">
      <w:pPr>
        <w:pStyle w:val="Header"/>
        <w:jc w:val="center"/>
        <w:rPr>
          <w:rFonts w:ascii="Times New Roman Bold" w:hAnsi="Times New Roman Bold"/>
          <w:b/>
          <w:caps/>
          <w:sz w:val="22"/>
          <w:szCs w:val="22"/>
        </w:rPr>
      </w:pPr>
      <w:r>
        <w:rPr>
          <w:rFonts w:ascii="Times New Roman Bold" w:hAnsi="Times New Roman Bold"/>
          <w:b/>
          <w:caps/>
          <w:sz w:val="22"/>
          <w:szCs w:val="22"/>
        </w:rPr>
        <w:t>Technical series on synthetic biology</w:t>
      </w:r>
    </w:p>
    <w:p w14:paraId="26EA7AB3" w14:textId="77777777" w:rsidR="00D97576" w:rsidRPr="00C658CD" w:rsidRDefault="00D97576" w:rsidP="00593BC6">
      <w:pPr>
        <w:pStyle w:val="Header"/>
        <w:jc w:val="center"/>
        <w:rPr>
          <w:rFonts w:ascii="Times New Roman Bold" w:hAnsi="Times New Roman Bold"/>
          <w:b/>
          <w:caps/>
          <w:sz w:val="22"/>
          <w:szCs w:val="22"/>
        </w:rPr>
      </w:pPr>
    </w:p>
    <w:tbl>
      <w:tblPr>
        <w:tblpPr w:leftFromText="180" w:rightFromText="180" w:vertAnchor="page" w:horzAnchor="margin" w:tblpY="1771"/>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1125"/>
        <w:gridCol w:w="107"/>
        <w:gridCol w:w="8038"/>
      </w:tblGrid>
      <w:tr w:rsidR="00593BC6" w:rsidRPr="00C658CD" w14:paraId="7DBA9CF5" w14:textId="77777777" w:rsidTr="00EA105F">
        <w:trPr>
          <w:cantSplit/>
          <w:trHeight w:val="233"/>
        </w:trPr>
        <w:tc>
          <w:tcPr>
            <w:tcW w:w="10188" w:type="dxa"/>
            <w:gridSpan w:val="4"/>
            <w:shd w:val="clear" w:color="auto" w:fill="C0C0C0"/>
          </w:tcPr>
          <w:p w14:paraId="0C71E9D1" w14:textId="77777777" w:rsidR="00593BC6" w:rsidRPr="00C658CD" w:rsidRDefault="00593BC6" w:rsidP="00EA105F">
            <w:pPr>
              <w:rPr>
                <w:b/>
                <w:sz w:val="22"/>
                <w:szCs w:val="22"/>
              </w:rPr>
            </w:pPr>
          </w:p>
          <w:p w14:paraId="0923A0AA" w14:textId="77777777" w:rsidR="00593BC6" w:rsidRPr="00C658CD" w:rsidRDefault="00593BC6" w:rsidP="00EA105F">
            <w:pPr>
              <w:rPr>
                <w:b/>
                <w:sz w:val="22"/>
                <w:szCs w:val="22"/>
              </w:rPr>
            </w:pPr>
            <w:r w:rsidRPr="00C658CD">
              <w:rPr>
                <w:b/>
                <w:sz w:val="22"/>
                <w:szCs w:val="22"/>
              </w:rPr>
              <w:t>Contact information</w:t>
            </w:r>
          </w:p>
          <w:p w14:paraId="36D753E7" w14:textId="77777777" w:rsidR="00593BC6" w:rsidRPr="00C658CD" w:rsidRDefault="00593BC6" w:rsidP="00EA105F">
            <w:pPr>
              <w:rPr>
                <w:b/>
                <w:sz w:val="22"/>
                <w:szCs w:val="22"/>
              </w:rPr>
            </w:pPr>
          </w:p>
        </w:tc>
      </w:tr>
      <w:tr w:rsidR="00593BC6" w:rsidRPr="00C658CD" w14:paraId="399E2057" w14:textId="77777777" w:rsidTr="00EA105F">
        <w:trPr>
          <w:cantSplit/>
          <w:trHeight w:val="270"/>
        </w:trPr>
        <w:tc>
          <w:tcPr>
            <w:tcW w:w="2150" w:type="dxa"/>
            <w:gridSpan w:val="3"/>
          </w:tcPr>
          <w:p w14:paraId="7B244D40" w14:textId="77777777" w:rsidR="00593BC6" w:rsidRPr="00C658CD" w:rsidRDefault="00593BC6" w:rsidP="00EA105F">
            <w:pPr>
              <w:rPr>
                <w:b/>
                <w:sz w:val="22"/>
                <w:szCs w:val="22"/>
              </w:rPr>
            </w:pPr>
            <w:r w:rsidRPr="00C658CD">
              <w:rPr>
                <w:b/>
                <w:sz w:val="22"/>
                <w:szCs w:val="22"/>
              </w:rPr>
              <w:t>Surname:</w:t>
            </w:r>
          </w:p>
        </w:tc>
        <w:tc>
          <w:tcPr>
            <w:tcW w:w="8038" w:type="dxa"/>
          </w:tcPr>
          <w:p w14:paraId="3AB47FF8" w14:textId="6EB6C70D" w:rsidR="00593BC6" w:rsidRPr="00C658CD" w:rsidRDefault="00692435" w:rsidP="00EA105F">
            <w:pPr>
              <w:rPr>
                <w:sz w:val="22"/>
                <w:szCs w:val="22"/>
              </w:rPr>
            </w:pPr>
            <w:r>
              <w:rPr>
                <w:sz w:val="22"/>
                <w:szCs w:val="22"/>
              </w:rPr>
              <w:t>Erb</w:t>
            </w:r>
          </w:p>
        </w:tc>
      </w:tr>
      <w:tr w:rsidR="00593BC6" w:rsidRPr="00C658CD" w14:paraId="2D70246E" w14:textId="77777777" w:rsidTr="00EA105F">
        <w:trPr>
          <w:cantSplit/>
          <w:trHeight w:val="280"/>
        </w:trPr>
        <w:tc>
          <w:tcPr>
            <w:tcW w:w="2150" w:type="dxa"/>
            <w:gridSpan w:val="3"/>
          </w:tcPr>
          <w:p w14:paraId="024B7BE1" w14:textId="77777777" w:rsidR="00593BC6" w:rsidRPr="00C658CD" w:rsidRDefault="00593BC6" w:rsidP="00EA105F">
            <w:pPr>
              <w:rPr>
                <w:b/>
                <w:sz w:val="22"/>
                <w:szCs w:val="22"/>
              </w:rPr>
            </w:pPr>
          </w:p>
        </w:tc>
        <w:tc>
          <w:tcPr>
            <w:tcW w:w="8038" w:type="dxa"/>
          </w:tcPr>
          <w:p w14:paraId="24DC2B26" w14:textId="77777777" w:rsidR="00593BC6" w:rsidRPr="00C658CD" w:rsidRDefault="00593BC6" w:rsidP="00EA105F">
            <w:pPr>
              <w:rPr>
                <w:sz w:val="22"/>
                <w:szCs w:val="22"/>
              </w:rPr>
            </w:pPr>
          </w:p>
        </w:tc>
      </w:tr>
      <w:tr w:rsidR="00593BC6" w:rsidRPr="00C658CD" w14:paraId="6960F46D" w14:textId="77777777" w:rsidTr="00EA105F">
        <w:trPr>
          <w:cantSplit/>
          <w:trHeight w:val="270"/>
        </w:trPr>
        <w:tc>
          <w:tcPr>
            <w:tcW w:w="2150" w:type="dxa"/>
            <w:gridSpan w:val="3"/>
          </w:tcPr>
          <w:p w14:paraId="42324F5A" w14:textId="77777777" w:rsidR="00593BC6" w:rsidRPr="00C658CD" w:rsidRDefault="00593BC6" w:rsidP="00EA105F">
            <w:pPr>
              <w:rPr>
                <w:b/>
                <w:sz w:val="22"/>
                <w:szCs w:val="22"/>
              </w:rPr>
            </w:pPr>
            <w:r w:rsidRPr="00C658CD">
              <w:rPr>
                <w:b/>
                <w:sz w:val="22"/>
                <w:szCs w:val="22"/>
              </w:rPr>
              <w:t>Given Name:</w:t>
            </w:r>
          </w:p>
        </w:tc>
        <w:tc>
          <w:tcPr>
            <w:tcW w:w="8038" w:type="dxa"/>
          </w:tcPr>
          <w:p w14:paraId="1F1AFCCD" w14:textId="718D5880" w:rsidR="00593BC6" w:rsidRPr="00C658CD" w:rsidRDefault="00692435" w:rsidP="00D37007">
            <w:pPr>
              <w:rPr>
                <w:sz w:val="22"/>
                <w:szCs w:val="22"/>
              </w:rPr>
            </w:pPr>
            <w:r>
              <w:rPr>
                <w:sz w:val="22"/>
                <w:szCs w:val="22"/>
              </w:rPr>
              <w:t>Tobias</w:t>
            </w:r>
            <w:r w:rsidR="0052797D">
              <w:rPr>
                <w:sz w:val="22"/>
                <w:szCs w:val="22"/>
              </w:rPr>
              <w:t xml:space="preserve"> </w:t>
            </w:r>
          </w:p>
        </w:tc>
      </w:tr>
      <w:tr w:rsidR="00593BC6" w:rsidRPr="00C658CD" w14:paraId="4D0E31D1" w14:textId="77777777" w:rsidTr="00EA105F">
        <w:trPr>
          <w:cantSplit/>
          <w:trHeight w:val="280"/>
        </w:trPr>
        <w:tc>
          <w:tcPr>
            <w:tcW w:w="2150" w:type="dxa"/>
            <w:gridSpan w:val="3"/>
          </w:tcPr>
          <w:p w14:paraId="478DDD07" w14:textId="77777777" w:rsidR="00593BC6" w:rsidRPr="00C658CD" w:rsidRDefault="00593BC6" w:rsidP="00EA105F">
            <w:pPr>
              <w:rPr>
                <w:b/>
                <w:sz w:val="22"/>
                <w:szCs w:val="22"/>
              </w:rPr>
            </w:pPr>
          </w:p>
        </w:tc>
        <w:tc>
          <w:tcPr>
            <w:tcW w:w="8038" w:type="dxa"/>
          </w:tcPr>
          <w:p w14:paraId="286530CF" w14:textId="23DEC416" w:rsidR="00593BC6" w:rsidRPr="00C658CD" w:rsidRDefault="00D37007" w:rsidP="00D37007">
            <w:pPr>
              <w:rPr>
                <w:sz w:val="22"/>
                <w:szCs w:val="22"/>
              </w:rPr>
            </w:pPr>
            <w:r>
              <w:rPr>
                <w:sz w:val="22"/>
                <w:szCs w:val="22"/>
              </w:rPr>
              <w:t>(</w:t>
            </w:r>
            <w:r>
              <w:rPr>
                <w:sz w:val="22"/>
                <w:szCs w:val="22"/>
              </w:rPr>
              <w:t xml:space="preserve">collected comments </w:t>
            </w:r>
            <w:r>
              <w:rPr>
                <w:sz w:val="22"/>
                <w:szCs w:val="22"/>
              </w:rPr>
              <w:t>of me</w:t>
            </w:r>
            <w:r>
              <w:rPr>
                <w:sz w:val="22"/>
                <w:szCs w:val="22"/>
              </w:rPr>
              <w:t>mbers of the Max Planck Society)</w:t>
            </w:r>
          </w:p>
        </w:tc>
      </w:tr>
      <w:tr w:rsidR="00593BC6" w:rsidRPr="00FF1A2A" w14:paraId="1C3067B8" w14:textId="77777777" w:rsidTr="00EA105F">
        <w:trPr>
          <w:cantSplit/>
          <w:trHeight w:val="270"/>
        </w:trPr>
        <w:tc>
          <w:tcPr>
            <w:tcW w:w="2150" w:type="dxa"/>
            <w:gridSpan w:val="3"/>
          </w:tcPr>
          <w:p w14:paraId="3499F6BE" w14:textId="77777777" w:rsidR="00593BC6" w:rsidRPr="00C658CD" w:rsidRDefault="00593BC6" w:rsidP="00EA105F">
            <w:pPr>
              <w:rPr>
                <w:b/>
                <w:sz w:val="22"/>
                <w:szCs w:val="22"/>
              </w:rPr>
            </w:pPr>
            <w:r w:rsidRPr="00C658CD">
              <w:rPr>
                <w:b/>
                <w:sz w:val="22"/>
                <w:szCs w:val="22"/>
              </w:rPr>
              <w:t>Government</w:t>
            </w:r>
          </w:p>
        </w:tc>
        <w:tc>
          <w:tcPr>
            <w:tcW w:w="8038" w:type="dxa"/>
          </w:tcPr>
          <w:p w14:paraId="119BAC5F" w14:textId="77777777" w:rsidR="00593BC6" w:rsidRPr="00F86F63" w:rsidRDefault="00593BC6" w:rsidP="00EA105F">
            <w:pPr>
              <w:rPr>
                <w:sz w:val="22"/>
                <w:szCs w:val="22"/>
              </w:rPr>
            </w:pPr>
          </w:p>
        </w:tc>
      </w:tr>
      <w:tr w:rsidR="00593BC6" w:rsidRPr="00C658CD" w14:paraId="590623FC" w14:textId="77777777" w:rsidTr="00EA105F">
        <w:trPr>
          <w:cantSplit/>
          <w:trHeight w:val="280"/>
        </w:trPr>
        <w:tc>
          <w:tcPr>
            <w:tcW w:w="2150" w:type="dxa"/>
            <w:gridSpan w:val="3"/>
          </w:tcPr>
          <w:p w14:paraId="0807C1F5" w14:textId="77777777" w:rsidR="00593BC6" w:rsidRPr="00C658CD" w:rsidRDefault="00593BC6" w:rsidP="00EA105F">
            <w:pPr>
              <w:rPr>
                <w:b/>
                <w:sz w:val="22"/>
                <w:szCs w:val="22"/>
              </w:rPr>
            </w:pPr>
            <w:r w:rsidRPr="00C658CD">
              <w:rPr>
                <w:b/>
                <w:sz w:val="22"/>
                <w:szCs w:val="22"/>
              </w:rPr>
              <w:t>(if applicable):</w:t>
            </w:r>
          </w:p>
        </w:tc>
        <w:tc>
          <w:tcPr>
            <w:tcW w:w="8038" w:type="dxa"/>
          </w:tcPr>
          <w:p w14:paraId="2CA88BC1" w14:textId="77777777" w:rsidR="00593BC6" w:rsidRPr="00C658CD" w:rsidRDefault="00593BC6" w:rsidP="00EA105F">
            <w:pPr>
              <w:rPr>
                <w:sz w:val="22"/>
                <w:szCs w:val="22"/>
              </w:rPr>
            </w:pPr>
          </w:p>
        </w:tc>
      </w:tr>
      <w:tr w:rsidR="00593BC6" w:rsidRPr="00C658CD" w14:paraId="131D5B27" w14:textId="77777777" w:rsidTr="00EA105F">
        <w:trPr>
          <w:cantSplit/>
          <w:trHeight w:val="270"/>
        </w:trPr>
        <w:tc>
          <w:tcPr>
            <w:tcW w:w="2150" w:type="dxa"/>
            <w:gridSpan w:val="3"/>
          </w:tcPr>
          <w:p w14:paraId="5B9F4F37" w14:textId="77777777" w:rsidR="00593BC6" w:rsidRPr="00C658CD" w:rsidRDefault="00593BC6" w:rsidP="00EA105F">
            <w:pPr>
              <w:rPr>
                <w:b/>
                <w:sz w:val="22"/>
                <w:szCs w:val="22"/>
              </w:rPr>
            </w:pPr>
          </w:p>
        </w:tc>
        <w:tc>
          <w:tcPr>
            <w:tcW w:w="8038" w:type="dxa"/>
          </w:tcPr>
          <w:p w14:paraId="09AED490" w14:textId="77777777" w:rsidR="00593BC6" w:rsidRPr="00C658CD" w:rsidRDefault="00593BC6" w:rsidP="00EA105F">
            <w:pPr>
              <w:rPr>
                <w:sz w:val="22"/>
                <w:szCs w:val="22"/>
              </w:rPr>
            </w:pPr>
          </w:p>
        </w:tc>
      </w:tr>
      <w:tr w:rsidR="00593BC6" w:rsidRPr="00C658CD" w14:paraId="2C8FC01D" w14:textId="77777777" w:rsidTr="00EA105F">
        <w:trPr>
          <w:cantSplit/>
          <w:trHeight w:val="270"/>
        </w:trPr>
        <w:tc>
          <w:tcPr>
            <w:tcW w:w="2150" w:type="dxa"/>
            <w:gridSpan w:val="3"/>
          </w:tcPr>
          <w:p w14:paraId="683E9B8A" w14:textId="77777777" w:rsidR="00593BC6" w:rsidRPr="00C658CD" w:rsidRDefault="00593BC6" w:rsidP="00EA105F">
            <w:pPr>
              <w:rPr>
                <w:b/>
                <w:sz w:val="22"/>
                <w:szCs w:val="22"/>
              </w:rPr>
            </w:pPr>
            <w:r w:rsidRPr="00C658CD">
              <w:rPr>
                <w:b/>
                <w:sz w:val="22"/>
                <w:szCs w:val="22"/>
              </w:rPr>
              <w:t>Organization:</w:t>
            </w:r>
          </w:p>
        </w:tc>
        <w:tc>
          <w:tcPr>
            <w:tcW w:w="8038" w:type="dxa"/>
          </w:tcPr>
          <w:p w14:paraId="44E1FC10" w14:textId="5CE65F2D" w:rsidR="00593BC6" w:rsidRPr="00C658CD" w:rsidRDefault="00692435" w:rsidP="00EA105F">
            <w:pPr>
              <w:rPr>
                <w:sz w:val="22"/>
                <w:szCs w:val="22"/>
              </w:rPr>
            </w:pPr>
            <w:r>
              <w:rPr>
                <w:sz w:val="22"/>
                <w:szCs w:val="22"/>
              </w:rPr>
              <w:t>Max Planck Institute for Terrestrial Microbiology</w:t>
            </w:r>
          </w:p>
        </w:tc>
      </w:tr>
      <w:tr w:rsidR="00593BC6" w:rsidRPr="00C658CD" w14:paraId="3ED36EA3" w14:textId="77777777" w:rsidTr="00EA105F">
        <w:trPr>
          <w:cantSplit/>
          <w:trHeight w:val="233"/>
        </w:trPr>
        <w:tc>
          <w:tcPr>
            <w:tcW w:w="2150" w:type="dxa"/>
            <w:gridSpan w:val="3"/>
          </w:tcPr>
          <w:p w14:paraId="21C9EB42" w14:textId="77777777" w:rsidR="00593BC6" w:rsidRPr="00C658CD" w:rsidRDefault="00593BC6" w:rsidP="00EA105F">
            <w:pPr>
              <w:rPr>
                <w:b/>
                <w:sz w:val="22"/>
                <w:szCs w:val="22"/>
              </w:rPr>
            </w:pPr>
          </w:p>
        </w:tc>
        <w:tc>
          <w:tcPr>
            <w:tcW w:w="8038" w:type="dxa"/>
          </w:tcPr>
          <w:p w14:paraId="5A530AD5" w14:textId="77777777" w:rsidR="00593BC6" w:rsidRPr="00C658CD" w:rsidRDefault="00593BC6" w:rsidP="00EA105F">
            <w:pPr>
              <w:rPr>
                <w:sz w:val="22"/>
                <w:szCs w:val="22"/>
              </w:rPr>
            </w:pPr>
          </w:p>
        </w:tc>
      </w:tr>
      <w:tr w:rsidR="00593BC6" w:rsidRPr="00C658CD" w14:paraId="329D03C5" w14:textId="77777777" w:rsidTr="00EA105F">
        <w:trPr>
          <w:cantSplit/>
          <w:trHeight w:val="233"/>
        </w:trPr>
        <w:tc>
          <w:tcPr>
            <w:tcW w:w="2150" w:type="dxa"/>
            <w:gridSpan w:val="3"/>
          </w:tcPr>
          <w:p w14:paraId="50483436" w14:textId="77777777" w:rsidR="00593BC6" w:rsidRPr="00C658CD" w:rsidRDefault="00593BC6" w:rsidP="00EA105F">
            <w:pPr>
              <w:rPr>
                <w:b/>
                <w:sz w:val="22"/>
                <w:szCs w:val="22"/>
              </w:rPr>
            </w:pPr>
            <w:r w:rsidRPr="00C658CD">
              <w:rPr>
                <w:b/>
                <w:sz w:val="22"/>
                <w:szCs w:val="22"/>
              </w:rPr>
              <w:t>E-mail:</w:t>
            </w:r>
          </w:p>
        </w:tc>
        <w:tc>
          <w:tcPr>
            <w:tcW w:w="8038" w:type="dxa"/>
          </w:tcPr>
          <w:p w14:paraId="7D07E304" w14:textId="4A063F3B" w:rsidR="00593BC6" w:rsidRPr="00C658CD" w:rsidRDefault="00692435" w:rsidP="00EA105F">
            <w:pPr>
              <w:rPr>
                <w:sz w:val="22"/>
                <w:szCs w:val="22"/>
              </w:rPr>
            </w:pPr>
            <w:hyperlink r:id="rId7" w:history="1">
              <w:r w:rsidRPr="003E3AA7">
                <w:rPr>
                  <w:rStyle w:val="Hyperlink"/>
                  <w:sz w:val="22"/>
                  <w:szCs w:val="22"/>
                </w:rPr>
                <w:t>toerb@mpi-marburg.mpg.de</w:t>
              </w:r>
            </w:hyperlink>
            <w:r>
              <w:rPr>
                <w:sz w:val="22"/>
                <w:szCs w:val="22"/>
              </w:rPr>
              <w:t xml:space="preserve"> </w:t>
            </w:r>
          </w:p>
        </w:tc>
      </w:tr>
      <w:tr w:rsidR="00593BC6" w:rsidRPr="00C658CD" w14:paraId="59BA55E5" w14:textId="77777777" w:rsidTr="00EA105F">
        <w:trPr>
          <w:cantSplit/>
          <w:trHeight w:val="233"/>
        </w:trPr>
        <w:tc>
          <w:tcPr>
            <w:tcW w:w="2150" w:type="dxa"/>
            <w:gridSpan w:val="3"/>
          </w:tcPr>
          <w:p w14:paraId="4CA66506" w14:textId="77777777" w:rsidR="00593BC6" w:rsidRPr="00C658CD" w:rsidRDefault="00593BC6" w:rsidP="00EA105F">
            <w:pPr>
              <w:rPr>
                <w:b/>
                <w:sz w:val="22"/>
                <w:szCs w:val="22"/>
              </w:rPr>
            </w:pPr>
          </w:p>
        </w:tc>
        <w:tc>
          <w:tcPr>
            <w:tcW w:w="8038" w:type="dxa"/>
          </w:tcPr>
          <w:p w14:paraId="267E6375" w14:textId="77777777" w:rsidR="00593BC6" w:rsidRPr="00C658CD" w:rsidRDefault="00593BC6" w:rsidP="00EA105F">
            <w:pPr>
              <w:rPr>
                <w:sz w:val="22"/>
                <w:szCs w:val="22"/>
              </w:rPr>
            </w:pPr>
          </w:p>
        </w:tc>
      </w:tr>
      <w:tr w:rsidR="00593BC6" w:rsidRPr="00C658CD" w14:paraId="333DFC97" w14:textId="77777777" w:rsidTr="00EA105F">
        <w:trPr>
          <w:cantSplit/>
          <w:trHeight w:val="233"/>
        </w:trPr>
        <w:tc>
          <w:tcPr>
            <w:tcW w:w="10188" w:type="dxa"/>
            <w:gridSpan w:val="4"/>
            <w:shd w:val="clear" w:color="auto" w:fill="BFBFBF"/>
          </w:tcPr>
          <w:p w14:paraId="21278E85" w14:textId="77777777" w:rsidR="00593BC6" w:rsidRPr="00C658CD" w:rsidRDefault="00593BC6" w:rsidP="00EA105F">
            <w:pPr>
              <w:rPr>
                <w:b/>
                <w:sz w:val="22"/>
                <w:szCs w:val="22"/>
              </w:rPr>
            </w:pPr>
          </w:p>
          <w:p w14:paraId="05933792" w14:textId="14B8E253" w:rsidR="00593BC6" w:rsidRPr="00C658CD" w:rsidRDefault="00593BC6" w:rsidP="00EA105F">
            <w:pPr>
              <w:rPr>
                <w:b/>
                <w:sz w:val="22"/>
                <w:szCs w:val="22"/>
              </w:rPr>
            </w:pPr>
            <w:r w:rsidRPr="00C658CD">
              <w:rPr>
                <w:b/>
                <w:sz w:val="22"/>
                <w:szCs w:val="22"/>
              </w:rPr>
              <w:t>Comments on th</w:t>
            </w:r>
            <w:r w:rsidR="00363EF2">
              <w:rPr>
                <w:b/>
                <w:sz w:val="22"/>
                <w:szCs w:val="22"/>
              </w:rPr>
              <w:t>e Technical Series on Synthetic Biology</w:t>
            </w:r>
          </w:p>
          <w:p w14:paraId="7BC798CD" w14:textId="77777777" w:rsidR="00593BC6" w:rsidRPr="00C658CD" w:rsidRDefault="00593BC6" w:rsidP="00EA105F">
            <w:pPr>
              <w:rPr>
                <w:b/>
                <w:sz w:val="22"/>
                <w:szCs w:val="22"/>
              </w:rPr>
            </w:pPr>
          </w:p>
        </w:tc>
      </w:tr>
      <w:tr w:rsidR="00593BC6" w:rsidRPr="00C658CD" w14:paraId="2A5F8AC1" w14:textId="77777777" w:rsidTr="00135D96">
        <w:trPr>
          <w:cantSplit/>
          <w:trHeight w:val="233"/>
        </w:trPr>
        <w:tc>
          <w:tcPr>
            <w:tcW w:w="918" w:type="dxa"/>
          </w:tcPr>
          <w:p w14:paraId="6C0FFA1B" w14:textId="77777777" w:rsidR="00593BC6" w:rsidRPr="00C658CD" w:rsidRDefault="00593BC6" w:rsidP="00EA105F">
            <w:pPr>
              <w:rPr>
                <w:b/>
                <w:sz w:val="22"/>
                <w:szCs w:val="22"/>
              </w:rPr>
            </w:pPr>
            <w:r w:rsidRPr="00C658CD">
              <w:rPr>
                <w:b/>
                <w:sz w:val="22"/>
                <w:szCs w:val="22"/>
              </w:rPr>
              <w:t>Page</w:t>
            </w:r>
            <w:r w:rsidR="00F94D0C">
              <w:rPr>
                <w:b/>
                <w:sz w:val="22"/>
                <w:szCs w:val="22"/>
              </w:rPr>
              <w:t xml:space="preserve"> #</w:t>
            </w:r>
          </w:p>
        </w:tc>
        <w:tc>
          <w:tcPr>
            <w:tcW w:w="1125" w:type="dxa"/>
          </w:tcPr>
          <w:p w14:paraId="3BFAC210" w14:textId="77777777" w:rsidR="00593BC6" w:rsidRPr="00C658CD" w:rsidRDefault="005411E6" w:rsidP="00135D96">
            <w:pPr>
              <w:rPr>
                <w:b/>
                <w:sz w:val="22"/>
                <w:szCs w:val="22"/>
              </w:rPr>
            </w:pPr>
            <w:r>
              <w:rPr>
                <w:b/>
                <w:sz w:val="22"/>
                <w:szCs w:val="22"/>
              </w:rPr>
              <w:t xml:space="preserve">Line </w:t>
            </w:r>
            <w:r w:rsidR="00135D96">
              <w:rPr>
                <w:b/>
                <w:sz w:val="22"/>
                <w:szCs w:val="22"/>
              </w:rPr>
              <w:t>#</w:t>
            </w:r>
          </w:p>
        </w:tc>
        <w:tc>
          <w:tcPr>
            <w:tcW w:w="8145" w:type="dxa"/>
            <w:gridSpan w:val="2"/>
          </w:tcPr>
          <w:p w14:paraId="1DF3BB27" w14:textId="77777777" w:rsidR="00593BC6" w:rsidRPr="00C658CD" w:rsidRDefault="00593BC6" w:rsidP="00EA105F">
            <w:pPr>
              <w:rPr>
                <w:b/>
                <w:sz w:val="22"/>
                <w:szCs w:val="22"/>
              </w:rPr>
            </w:pPr>
            <w:r w:rsidRPr="00C658CD">
              <w:rPr>
                <w:b/>
                <w:sz w:val="22"/>
                <w:szCs w:val="22"/>
              </w:rPr>
              <w:t>Comment</w:t>
            </w:r>
          </w:p>
        </w:tc>
      </w:tr>
      <w:tr w:rsidR="001212A8" w:rsidRPr="00C658CD" w14:paraId="04ECF151" w14:textId="77777777" w:rsidTr="00135D96">
        <w:trPr>
          <w:cantSplit/>
          <w:trHeight w:val="233"/>
        </w:trPr>
        <w:tc>
          <w:tcPr>
            <w:tcW w:w="918" w:type="dxa"/>
          </w:tcPr>
          <w:p w14:paraId="2F8D0BDF" w14:textId="77777777" w:rsidR="001212A8" w:rsidRPr="00C658CD" w:rsidRDefault="001212A8" w:rsidP="00EA105F">
            <w:pPr>
              <w:rPr>
                <w:b/>
                <w:sz w:val="22"/>
                <w:szCs w:val="22"/>
              </w:rPr>
            </w:pPr>
          </w:p>
        </w:tc>
        <w:tc>
          <w:tcPr>
            <w:tcW w:w="1125" w:type="dxa"/>
          </w:tcPr>
          <w:p w14:paraId="510D3337" w14:textId="77777777" w:rsidR="001212A8" w:rsidRDefault="001212A8" w:rsidP="00135D96">
            <w:pPr>
              <w:rPr>
                <w:b/>
                <w:sz w:val="22"/>
                <w:szCs w:val="22"/>
              </w:rPr>
            </w:pPr>
          </w:p>
        </w:tc>
        <w:tc>
          <w:tcPr>
            <w:tcW w:w="8145" w:type="dxa"/>
            <w:gridSpan w:val="2"/>
          </w:tcPr>
          <w:p w14:paraId="490DB745" w14:textId="31D0EBD5" w:rsidR="001212A8" w:rsidRDefault="001212A8" w:rsidP="00550EF8">
            <w:pPr>
              <w:rPr>
                <w:b/>
                <w:sz w:val="22"/>
                <w:szCs w:val="22"/>
              </w:rPr>
            </w:pPr>
            <w:r>
              <w:rPr>
                <w:b/>
                <w:sz w:val="22"/>
                <w:szCs w:val="22"/>
              </w:rPr>
              <w:t xml:space="preserve">Please note </w:t>
            </w:r>
            <w:r w:rsidR="00D37007">
              <w:rPr>
                <w:b/>
                <w:sz w:val="22"/>
                <w:szCs w:val="22"/>
              </w:rPr>
              <w:t xml:space="preserve">that this document contains collected comments of members of the Max Planck Society and is accompanied by an </w:t>
            </w:r>
            <w:r>
              <w:rPr>
                <w:b/>
                <w:sz w:val="22"/>
                <w:szCs w:val="22"/>
              </w:rPr>
              <w:t>additional document</w:t>
            </w:r>
            <w:r w:rsidR="00550EF8">
              <w:rPr>
                <w:b/>
                <w:sz w:val="22"/>
                <w:szCs w:val="22"/>
              </w:rPr>
              <w:t>,</w:t>
            </w:r>
            <w:r>
              <w:rPr>
                <w:b/>
                <w:sz w:val="22"/>
                <w:szCs w:val="22"/>
              </w:rPr>
              <w:t xml:space="preserve"> in which we </w:t>
            </w:r>
            <w:r w:rsidR="00D37007">
              <w:rPr>
                <w:b/>
                <w:sz w:val="22"/>
                <w:szCs w:val="22"/>
              </w:rPr>
              <w:t xml:space="preserve">comment on several issues with the </w:t>
            </w:r>
            <w:r w:rsidR="00550EF8">
              <w:rPr>
                <w:b/>
                <w:sz w:val="22"/>
                <w:szCs w:val="22"/>
              </w:rPr>
              <w:t xml:space="preserve">overall </w:t>
            </w:r>
            <w:r w:rsidR="00D37007">
              <w:rPr>
                <w:b/>
                <w:sz w:val="22"/>
                <w:szCs w:val="22"/>
              </w:rPr>
              <w:t>text</w:t>
            </w:r>
            <w:r w:rsidR="00550EF8">
              <w:rPr>
                <w:b/>
                <w:sz w:val="22"/>
                <w:szCs w:val="22"/>
              </w:rPr>
              <w:t>:</w:t>
            </w:r>
          </w:p>
          <w:p w14:paraId="1E982004" w14:textId="77777777" w:rsidR="00550EF8" w:rsidRDefault="00550EF8" w:rsidP="00550EF8">
            <w:pPr>
              <w:rPr>
                <w:b/>
                <w:sz w:val="22"/>
                <w:szCs w:val="22"/>
              </w:rPr>
            </w:pPr>
          </w:p>
          <w:p w14:paraId="62CBF55E" w14:textId="17EC9F82" w:rsidR="00550EF8" w:rsidRPr="00550EF8" w:rsidRDefault="00550EF8" w:rsidP="00550EF8">
            <w:pPr>
              <w:pStyle w:val="ListParagraph"/>
              <w:numPr>
                <w:ilvl w:val="0"/>
                <w:numId w:val="1"/>
              </w:numPr>
              <w:rPr>
                <w:b/>
                <w:sz w:val="22"/>
                <w:szCs w:val="22"/>
              </w:rPr>
            </w:pPr>
            <w:r w:rsidRPr="00550EF8">
              <w:rPr>
                <w:b/>
                <w:sz w:val="22"/>
                <w:szCs w:val="22"/>
              </w:rPr>
              <w:t>Lack of clear definition of the term "synthetic biology" and motivation to differentiate from</w:t>
            </w:r>
            <w:r>
              <w:rPr>
                <w:b/>
                <w:sz w:val="22"/>
                <w:szCs w:val="22"/>
              </w:rPr>
              <w:t xml:space="preserve"> existing regulatory processes</w:t>
            </w:r>
          </w:p>
          <w:p w14:paraId="32D0C252" w14:textId="6BB00388" w:rsidR="00550EF8" w:rsidRPr="00550EF8" w:rsidRDefault="00550EF8" w:rsidP="00550EF8">
            <w:pPr>
              <w:pStyle w:val="ListParagraph"/>
              <w:numPr>
                <w:ilvl w:val="0"/>
                <w:numId w:val="1"/>
              </w:numPr>
              <w:rPr>
                <w:b/>
                <w:sz w:val="22"/>
                <w:szCs w:val="22"/>
              </w:rPr>
            </w:pPr>
            <w:r w:rsidRPr="00550EF8">
              <w:rPr>
                <w:b/>
                <w:sz w:val="22"/>
                <w:szCs w:val="22"/>
              </w:rPr>
              <w:t>Need of a clear statement on the regulation of synthetic biological applications</w:t>
            </w:r>
            <w:r>
              <w:rPr>
                <w:b/>
                <w:sz w:val="22"/>
                <w:szCs w:val="22"/>
              </w:rPr>
              <w:t xml:space="preserve"> (Products or methodology should be evaluated?)</w:t>
            </w:r>
            <w:r w:rsidRPr="00550EF8">
              <w:rPr>
                <w:b/>
                <w:sz w:val="22"/>
                <w:szCs w:val="22"/>
              </w:rPr>
              <w:t xml:space="preserve"> </w:t>
            </w:r>
          </w:p>
          <w:p w14:paraId="05DA14FB" w14:textId="272DA92E" w:rsidR="00550EF8" w:rsidRPr="00550EF8" w:rsidRDefault="00550EF8" w:rsidP="00550EF8">
            <w:pPr>
              <w:pStyle w:val="ListParagraph"/>
              <w:numPr>
                <w:ilvl w:val="0"/>
                <w:numId w:val="1"/>
              </w:numPr>
              <w:rPr>
                <w:b/>
                <w:sz w:val="22"/>
                <w:szCs w:val="22"/>
              </w:rPr>
            </w:pPr>
            <w:r w:rsidRPr="00550EF8">
              <w:rPr>
                <w:b/>
                <w:sz w:val="22"/>
                <w:szCs w:val="22"/>
              </w:rPr>
              <w:t>Lack of commitment to objective, fact-based decisio</w:t>
            </w:r>
            <w:r>
              <w:rPr>
                <w:b/>
                <w:sz w:val="22"/>
                <w:szCs w:val="22"/>
              </w:rPr>
              <w:t>n-making for regulatory affairs</w:t>
            </w:r>
          </w:p>
          <w:p w14:paraId="4BB9C96A" w14:textId="77777777" w:rsidR="00550EF8" w:rsidRPr="00550EF8" w:rsidRDefault="00550EF8" w:rsidP="00550EF8">
            <w:pPr>
              <w:pStyle w:val="ListParagraph"/>
              <w:numPr>
                <w:ilvl w:val="0"/>
                <w:numId w:val="1"/>
              </w:numPr>
              <w:rPr>
                <w:b/>
                <w:sz w:val="22"/>
                <w:szCs w:val="22"/>
              </w:rPr>
            </w:pPr>
            <w:r w:rsidRPr="00550EF8">
              <w:rPr>
                <w:b/>
                <w:sz w:val="22"/>
                <w:szCs w:val="22"/>
              </w:rPr>
              <w:t>Weighing risks and benefits fairly, including discussion of alternatives during decision-making</w:t>
            </w:r>
          </w:p>
          <w:p w14:paraId="2018B8B5" w14:textId="42F13592" w:rsidR="00550EF8" w:rsidRDefault="00550EF8" w:rsidP="00550EF8">
            <w:pPr>
              <w:pStyle w:val="ListParagraph"/>
              <w:numPr>
                <w:ilvl w:val="0"/>
                <w:numId w:val="1"/>
              </w:numPr>
              <w:rPr>
                <w:b/>
                <w:sz w:val="22"/>
                <w:szCs w:val="22"/>
              </w:rPr>
            </w:pPr>
            <w:r>
              <w:rPr>
                <w:b/>
                <w:sz w:val="22"/>
                <w:szCs w:val="22"/>
              </w:rPr>
              <w:t>Problems of l</w:t>
            </w:r>
            <w:r w:rsidRPr="00550EF8">
              <w:rPr>
                <w:b/>
                <w:sz w:val="22"/>
                <w:szCs w:val="22"/>
              </w:rPr>
              <w:t>imitations of scientific freedom and open science through overarching regulations</w:t>
            </w:r>
          </w:p>
          <w:p w14:paraId="7C60D9C3" w14:textId="3DDBAF5D" w:rsidR="00550EF8" w:rsidRDefault="00550EF8" w:rsidP="00550EF8">
            <w:pPr>
              <w:pStyle w:val="ListParagraph"/>
              <w:numPr>
                <w:ilvl w:val="0"/>
                <w:numId w:val="1"/>
              </w:numPr>
              <w:rPr>
                <w:b/>
                <w:sz w:val="22"/>
                <w:szCs w:val="22"/>
              </w:rPr>
            </w:pPr>
            <w:r>
              <w:rPr>
                <w:b/>
                <w:sz w:val="22"/>
                <w:szCs w:val="22"/>
              </w:rPr>
              <w:t>Problem of e</w:t>
            </w:r>
            <w:r w:rsidRPr="00550EF8">
              <w:rPr>
                <w:b/>
                <w:sz w:val="22"/>
                <w:szCs w:val="22"/>
              </w:rPr>
              <w:t>conomic considerations impeding basic science</w:t>
            </w:r>
          </w:p>
          <w:p w14:paraId="6B90D901" w14:textId="77777777" w:rsidR="00550EF8" w:rsidRPr="00550EF8" w:rsidRDefault="00550EF8" w:rsidP="00550EF8">
            <w:pPr>
              <w:pStyle w:val="ListParagraph"/>
              <w:numPr>
                <w:ilvl w:val="0"/>
                <w:numId w:val="1"/>
              </w:numPr>
              <w:rPr>
                <w:b/>
                <w:sz w:val="22"/>
                <w:szCs w:val="22"/>
              </w:rPr>
            </w:pPr>
            <w:proofErr w:type="spellStart"/>
            <w:r w:rsidRPr="00550EF8">
              <w:rPr>
                <w:b/>
                <w:sz w:val="22"/>
                <w:szCs w:val="22"/>
              </w:rPr>
              <w:t>Intransparent</w:t>
            </w:r>
            <w:proofErr w:type="spellEnd"/>
            <w:r w:rsidRPr="00550EF8">
              <w:rPr>
                <w:b/>
                <w:sz w:val="22"/>
                <w:szCs w:val="22"/>
              </w:rPr>
              <w:t xml:space="preserve"> review process and lack of participation of experts </w:t>
            </w:r>
          </w:p>
          <w:p w14:paraId="2E3C9EDF" w14:textId="77777777" w:rsidR="00550EF8" w:rsidRDefault="00550EF8" w:rsidP="00550EF8">
            <w:pPr>
              <w:rPr>
                <w:b/>
                <w:sz w:val="22"/>
                <w:szCs w:val="22"/>
              </w:rPr>
            </w:pPr>
          </w:p>
          <w:p w14:paraId="0272B095" w14:textId="3EE97E1E" w:rsidR="00550EF8" w:rsidRPr="00550EF8" w:rsidRDefault="00550EF8" w:rsidP="00550EF8">
            <w:pPr>
              <w:rPr>
                <w:b/>
                <w:sz w:val="22"/>
                <w:szCs w:val="22"/>
                <w:lang w:val="en-US"/>
              </w:rPr>
            </w:pPr>
          </w:p>
        </w:tc>
      </w:tr>
      <w:tr w:rsidR="00593BC6" w:rsidRPr="00C658CD" w14:paraId="52D4B2D0" w14:textId="77777777" w:rsidTr="00135D96">
        <w:trPr>
          <w:cantSplit/>
          <w:trHeight w:val="233"/>
        </w:trPr>
        <w:tc>
          <w:tcPr>
            <w:tcW w:w="918" w:type="dxa"/>
          </w:tcPr>
          <w:p w14:paraId="2E5AE1CF" w14:textId="4D10FF23" w:rsidR="00593BC6" w:rsidRPr="00C658CD" w:rsidRDefault="00692435" w:rsidP="00EA105F">
            <w:pPr>
              <w:rPr>
                <w:sz w:val="22"/>
                <w:szCs w:val="22"/>
              </w:rPr>
            </w:pPr>
            <w:r>
              <w:rPr>
                <w:sz w:val="22"/>
                <w:szCs w:val="22"/>
              </w:rPr>
              <w:t>8</w:t>
            </w:r>
          </w:p>
        </w:tc>
        <w:tc>
          <w:tcPr>
            <w:tcW w:w="1125" w:type="dxa"/>
          </w:tcPr>
          <w:p w14:paraId="6F9597EA" w14:textId="758EDAE0" w:rsidR="00593BC6" w:rsidRPr="00C658CD" w:rsidRDefault="00692435" w:rsidP="000C7310">
            <w:pPr>
              <w:rPr>
                <w:sz w:val="22"/>
                <w:szCs w:val="22"/>
              </w:rPr>
            </w:pPr>
            <w:r>
              <w:rPr>
                <w:sz w:val="22"/>
                <w:szCs w:val="22"/>
              </w:rPr>
              <w:t>6</w:t>
            </w:r>
            <w:r w:rsidR="000C7310">
              <w:rPr>
                <w:sz w:val="22"/>
                <w:szCs w:val="22"/>
              </w:rPr>
              <w:t xml:space="preserve"> </w:t>
            </w:r>
            <w:proofErr w:type="spellStart"/>
            <w:r w:rsidR="000C7310">
              <w:rPr>
                <w:sz w:val="22"/>
                <w:szCs w:val="22"/>
              </w:rPr>
              <w:t>ff</w:t>
            </w:r>
            <w:proofErr w:type="spellEnd"/>
          </w:p>
        </w:tc>
        <w:tc>
          <w:tcPr>
            <w:tcW w:w="8145" w:type="dxa"/>
            <w:gridSpan w:val="2"/>
          </w:tcPr>
          <w:p w14:paraId="58F1E46B" w14:textId="0B109E0E" w:rsidR="000C7310" w:rsidRPr="00C658CD" w:rsidRDefault="004A7CD7" w:rsidP="000C7310">
            <w:pPr>
              <w:rPr>
                <w:sz w:val="22"/>
                <w:szCs w:val="22"/>
              </w:rPr>
            </w:pPr>
            <w:r>
              <w:rPr>
                <w:sz w:val="22"/>
                <w:szCs w:val="22"/>
              </w:rPr>
              <w:t xml:space="preserve">A </w:t>
            </w:r>
            <w:r w:rsidR="00692435">
              <w:rPr>
                <w:sz w:val="22"/>
                <w:szCs w:val="22"/>
              </w:rPr>
              <w:t>potential risk to biodiversity only arise</w:t>
            </w:r>
            <w:r>
              <w:rPr>
                <w:sz w:val="22"/>
                <w:szCs w:val="22"/>
              </w:rPr>
              <w:t>s</w:t>
            </w:r>
            <w:r w:rsidR="00692435">
              <w:rPr>
                <w:sz w:val="22"/>
                <w:szCs w:val="22"/>
              </w:rPr>
              <w:t xml:space="preserve"> from </w:t>
            </w:r>
            <w:r>
              <w:rPr>
                <w:sz w:val="22"/>
                <w:szCs w:val="22"/>
              </w:rPr>
              <w:t>the release of organisms</w:t>
            </w:r>
            <w:r w:rsidR="00692435">
              <w:rPr>
                <w:sz w:val="22"/>
                <w:szCs w:val="22"/>
              </w:rPr>
              <w:t xml:space="preserve"> to the unmanaged or wild setting. </w:t>
            </w:r>
            <w:r>
              <w:rPr>
                <w:sz w:val="22"/>
                <w:szCs w:val="22"/>
              </w:rPr>
              <w:t xml:space="preserve">As such, any product (either created through classical breeding, GMO or synthetic biology) should be treated equally, especially since product created through single-base editing are in principle even better </w:t>
            </w:r>
            <w:r w:rsidR="000C7310">
              <w:rPr>
                <w:sz w:val="22"/>
                <w:szCs w:val="22"/>
              </w:rPr>
              <w:t>controlled</w:t>
            </w:r>
            <w:r w:rsidR="00692435">
              <w:rPr>
                <w:sz w:val="22"/>
                <w:szCs w:val="22"/>
              </w:rPr>
              <w:t>.</w:t>
            </w:r>
            <w:r>
              <w:rPr>
                <w:sz w:val="22"/>
                <w:szCs w:val="22"/>
              </w:rPr>
              <w:t xml:space="preserve"> </w:t>
            </w:r>
            <w:r w:rsidR="000C7310">
              <w:rPr>
                <w:sz w:val="22"/>
                <w:szCs w:val="22"/>
              </w:rPr>
              <w:t xml:space="preserve">It should also be noted that CRISPR/Cas9 gene editing efforts that result in single-base changes, which are also naturally occurring and/or could be the result of spontaneous mutation are not considered GMO. </w:t>
            </w:r>
          </w:p>
        </w:tc>
      </w:tr>
      <w:tr w:rsidR="00EB7427" w:rsidRPr="00C658CD" w14:paraId="208FF508" w14:textId="77777777" w:rsidTr="00135D96">
        <w:trPr>
          <w:cantSplit/>
          <w:trHeight w:val="233"/>
        </w:trPr>
        <w:tc>
          <w:tcPr>
            <w:tcW w:w="918" w:type="dxa"/>
          </w:tcPr>
          <w:p w14:paraId="53DB9BAC" w14:textId="4DB8085A" w:rsidR="00EB7427" w:rsidRDefault="00EB7427" w:rsidP="00EA105F">
            <w:pPr>
              <w:rPr>
                <w:sz w:val="22"/>
                <w:szCs w:val="22"/>
              </w:rPr>
            </w:pPr>
            <w:r>
              <w:rPr>
                <w:sz w:val="22"/>
                <w:szCs w:val="22"/>
              </w:rPr>
              <w:t>8</w:t>
            </w:r>
          </w:p>
        </w:tc>
        <w:tc>
          <w:tcPr>
            <w:tcW w:w="1125" w:type="dxa"/>
          </w:tcPr>
          <w:p w14:paraId="2AEFF83E" w14:textId="2825335F" w:rsidR="00EB7427" w:rsidRDefault="00EB7427" w:rsidP="000C7310">
            <w:pPr>
              <w:rPr>
                <w:sz w:val="22"/>
                <w:szCs w:val="22"/>
              </w:rPr>
            </w:pPr>
            <w:r>
              <w:rPr>
                <w:sz w:val="22"/>
                <w:szCs w:val="22"/>
              </w:rPr>
              <w:t xml:space="preserve">9 </w:t>
            </w:r>
            <w:proofErr w:type="spellStart"/>
            <w:r>
              <w:rPr>
                <w:sz w:val="22"/>
                <w:szCs w:val="22"/>
              </w:rPr>
              <w:t>ff</w:t>
            </w:r>
            <w:proofErr w:type="spellEnd"/>
          </w:p>
        </w:tc>
        <w:tc>
          <w:tcPr>
            <w:tcW w:w="8145" w:type="dxa"/>
            <w:gridSpan w:val="2"/>
          </w:tcPr>
          <w:p w14:paraId="5313256F" w14:textId="4714559A" w:rsidR="00EB7427" w:rsidRPr="00EB7427" w:rsidRDefault="00EB7427" w:rsidP="00EB7427">
            <w:pPr>
              <w:rPr>
                <w:sz w:val="22"/>
                <w:szCs w:val="22"/>
                <w:lang w:val="en-US"/>
              </w:rPr>
            </w:pPr>
            <w:r w:rsidRPr="00EB7427">
              <w:rPr>
                <w:sz w:val="22"/>
                <w:szCs w:val="22"/>
              </w:rPr>
              <w:t xml:space="preserve">A fundamental difficulty with the text is that it does not precisely define synthetic biology and make a clear case why it should be regulated differently from processes such as </w:t>
            </w:r>
            <w:r>
              <w:rPr>
                <w:sz w:val="22"/>
                <w:szCs w:val="22"/>
              </w:rPr>
              <w:t>GMO</w:t>
            </w:r>
            <w:r w:rsidRPr="00EB7427">
              <w:rPr>
                <w:sz w:val="22"/>
                <w:szCs w:val="22"/>
              </w:rPr>
              <w:t>, genome editing (CRISPR-cas9) and gene drive that are already widely discussed by regulators.</w:t>
            </w:r>
            <w:r>
              <w:rPr>
                <w:sz w:val="22"/>
                <w:szCs w:val="22"/>
              </w:rPr>
              <w:t xml:space="preserve"> This is already an issue in the Executive summary, where it is vaguely mentioned </w:t>
            </w:r>
            <w:r w:rsidRPr="00EB7427">
              <w:rPr>
                <w:sz w:val="22"/>
                <w:szCs w:val="22"/>
              </w:rPr>
              <w:t>that synthetic biology</w:t>
            </w:r>
            <w:r>
              <w:rPr>
                <w:sz w:val="22"/>
                <w:szCs w:val="22"/>
              </w:rPr>
              <w:t xml:space="preserve"> (page 8 lines 9-20)</w:t>
            </w:r>
            <w:r w:rsidRPr="00EB7427">
              <w:rPr>
                <w:sz w:val="22"/>
                <w:szCs w:val="22"/>
              </w:rPr>
              <w:t xml:space="preserve"> “relies on a suite of supporting technologies and tools” but the only specific examples mentioned are </w:t>
            </w:r>
            <w:r w:rsidRPr="00EB7427">
              <w:rPr>
                <w:sz w:val="22"/>
                <w:szCs w:val="22"/>
              </w:rPr>
              <w:lastRenderedPageBreak/>
              <w:t>CRISPR-cas9 and gene drive. Also, on pages 30-34 most of the examples given are straightforward use of CRISPR-cas9 for single gene knock outs. The authors seem aware of this (page 15, line 21), as the document states “the broadest interpretation has been made in order to be as inclusive as possible whilst at the same time not championing this interpretation as being definitive”. But the breadth of the definition makes the document very difficult to assess or engage with. I suggest that they provide a clear, precise definition of synthetic biology as they interpret it and state exactly how this differs from the specific technologies they mention that are already heavily discussed by regulators.</w:t>
            </w:r>
          </w:p>
        </w:tc>
      </w:tr>
      <w:tr w:rsidR="00593BC6" w:rsidRPr="00AD22DE" w14:paraId="4CEEBB68" w14:textId="77777777" w:rsidTr="00135D96">
        <w:trPr>
          <w:cantSplit/>
          <w:trHeight w:val="233"/>
        </w:trPr>
        <w:tc>
          <w:tcPr>
            <w:tcW w:w="918" w:type="dxa"/>
          </w:tcPr>
          <w:p w14:paraId="7A6A7CB6" w14:textId="44E72492" w:rsidR="00593BC6" w:rsidRPr="00F86F63" w:rsidRDefault="00692435" w:rsidP="00975B19">
            <w:pPr>
              <w:rPr>
                <w:sz w:val="22"/>
                <w:szCs w:val="22"/>
              </w:rPr>
            </w:pPr>
            <w:r>
              <w:rPr>
                <w:sz w:val="22"/>
                <w:szCs w:val="22"/>
              </w:rPr>
              <w:lastRenderedPageBreak/>
              <w:t>8</w:t>
            </w:r>
          </w:p>
        </w:tc>
        <w:tc>
          <w:tcPr>
            <w:tcW w:w="1125" w:type="dxa"/>
          </w:tcPr>
          <w:p w14:paraId="623F395E" w14:textId="1A5E0F6E" w:rsidR="00593BC6" w:rsidRPr="00F86F63" w:rsidRDefault="00692435" w:rsidP="00975B19">
            <w:pPr>
              <w:rPr>
                <w:sz w:val="22"/>
                <w:szCs w:val="22"/>
              </w:rPr>
            </w:pPr>
            <w:r>
              <w:rPr>
                <w:sz w:val="22"/>
                <w:szCs w:val="22"/>
              </w:rPr>
              <w:t>42</w:t>
            </w:r>
            <w:r w:rsidR="00975B19">
              <w:rPr>
                <w:sz w:val="22"/>
                <w:szCs w:val="22"/>
              </w:rPr>
              <w:t xml:space="preserve"> </w:t>
            </w:r>
            <w:proofErr w:type="spellStart"/>
            <w:r w:rsidR="00975B19">
              <w:rPr>
                <w:sz w:val="22"/>
                <w:szCs w:val="22"/>
              </w:rPr>
              <w:t>ff</w:t>
            </w:r>
            <w:proofErr w:type="spellEnd"/>
          </w:p>
        </w:tc>
        <w:tc>
          <w:tcPr>
            <w:tcW w:w="8145" w:type="dxa"/>
            <w:gridSpan w:val="2"/>
          </w:tcPr>
          <w:p w14:paraId="2E88B0AD" w14:textId="536F6142" w:rsidR="00593BC6" w:rsidRPr="00F86F63" w:rsidRDefault="00692435" w:rsidP="000C7310">
            <w:pPr>
              <w:rPr>
                <w:sz w:val="22"/>
                <w:szCs w:val="22"/>
              </w:rPr>
            </w:pPr>
            <w:r>
              <w:rPr>
                <w:sz w:val="22"/>
                <w:szCs w:val="22"/>
              </w:rPr>
              <w:t xml:space="preserve">It is </w:t>
            </w:r>
            <w:r>
              <w:rPr>
                <w:sz w:val="22"/>
                <w:szCs w:val="22"/>
              </w:rPr>
              <w:t xml:space="preserve">unclear, </w:t>
            </w:r>
            <w:r w:rsidR="000C7310">
              <w:rPr>
                <w:sz w:val="22"/>
                <w:szCs w:val="22"/>
              </w:rPr>
              <w:t xml:space="preserve">why </w:t>
            </w:r>
            <w:r>
              <w:rPr>
                <w:sz w:val="22"/>
                <w:szCs w:val="22"/>
              </w:rPr>
              <w:t xml:space="preserve">synthetic biology is singled out compared to other human activities </w:t>
            </w:r>
            <w:r w:rsidR="000C7310">
              <w:rPr>
                <w:sz w:val="22"/>
                <w:szCs w:val="22"/>
              </w:rPr>
              <w:t xml:space="preserve">affecting </w:t>
            </w:r>
            <w:r>
              <w:rPr>
                <w:sz w:val="22"/>
                <w:szCs w:val="22"/>
              </w:rPr>
              <w:t>biodiversity</w:t>
            </w:r>
            <w:r w:rsidR="000C7310">
              <w:rPr>
                <w:sz w:val="22"/>
                <w:szCs w:val="22"/>
              </w:rPr>
              <w:t xml:space="preserve"> (e.g. agriculture, plant breeding, land use, etc.)</w:t>
            </w:r>
            <w:r>
              <w:rPr>
                <w:sz w:val="22"/>
                <w:szCs w:val="22"/>
              </w:rPr>
              <w:t>, especially given the fact that synthetic biology or more accurately (single</w:t>
            </w:r>
            <w:r w:rsidR="000C7310">
              <w:rPr>
                <w:sz w:val="22"/>
                <w:szCs w:val="22"/>
              </w:rPr>
              <w:t>-</w:t>
            </w:r>
            <w:r>
              <w:rPr>
                <w:sz w:val="22"/>
                <w:szCs w:val="22"/>
              </w:rPr>
              <w:t xml:space="preserve">base) </w:t>
            </w:r>
            <w:r w:rsidR="00975B19">
              <w:rPr>
                <w:sz w:val="22"/>
                <w:szCs w:val="22"/>
              </w:rPr>
              <w:t xml:space="preserve">genome </w:t>
            </w:r>
            <w:r>
              <w:rPr>
                <w:sz w:val="22"/>
                <w:szCs w:val="22"/>
              </w:rPr>
              <w:t>editing is much more precise and targeted than traditional plant breeding efforts.</w:t>
            </w:r>
            <w:r w:rsidR="000C7310">
              <w:rPr>
                <w:sz w:val="22"/>
                <w:szCs w:val="22"/>
              </w:rPr>
              <w:t xml:space="preserve"> The product and not the method that was used to create the product should be evaluated.</w:t>
            </w:r>
            <w:r>
              <w:rPr>
                <w:sz w:val="22"/>
                <w:szCs w:val="22"/>
              </w:rPr>
              <w:t xml:space="preserve"> </w:t>
            </w:r>
          </w:p>
        </w:tc>
      </w:tr>
      <w:tr w:rsidR="00EB7427" w:rsidRPr="00AD22DE" w14:paraId="2D5B0282" w14:textId="77777777" w:rsidTr="00135D96">
        <w:trPr>
          <w:cantSplit/>
          <w:trHeight w:val="233"/>
        </w:trPr>
        <w:tc>
          <w:tcPr>
            <w:tcW w:w="918" w:type="dxa"/>
          </w:tcPr>
          <w:p w14:paraId="1DCDD50C" w14:textId="177C021B" w:rsidR="00EB7427" w:rsidRDefault="00EB7427" w:rsidP="00975B19">
            <w:pPr>
              <w:rPr>
                <w:sz w:val="22"/>
                <w:szCs w:val="22"/>
              </w:rPr>
            </w:pPr>
            <w:r>
              <w:rPr>
                <w:sz w:val="22"/>
                <w:szCs w:val="22"/>
              </w:rPr>
              <w:t>8</w:t>
            </w:r>
          </w:p>
        </w:tc>
        <w:tc>
          <w:tcPr>
            <w:tcW w:w="1125" w:type="dxa"/>
          </w:tcPr>
          <w:p w14:paraId="7C72FF41" w14:textId="0B698739" w:rsidR="00EB7427" w:rsidRDefault="00EB7427" w:rsidP="00975B19">
            <w:pPr>
              <w:rPr>
                <w:sz w:val="22"/>
                <w:szCs w:val="22"/>
              </w:rPr>
            </w:pPr>
            <w:r>
              <w:rPr>
                <w:sz w:val="22"/>
                <w:szCs w:val="22"/>
              </w:rPr>
              <w:t xml:space="preserve">44 </w:t>
            </w:r>
            <w:proofErr w:type="spellStart"/>
            <w:r>
              <w:rPr>
                <w:sz w:val="22"/>
                <w:szCs w:val="22"/>
              </w:rPr>
              <w:t>ff</w:t>
            </w:r>
            <w:proofErr w:type="spellEnd"/>
          </w:p>
        </w:tc>
        <w:tc>
          <w:tcPr>
            <w:tcW w:w="8145" w:type="dxa"/>
            <w:gridSpan w:val="2"/>
          </w:tcPr>
          <w:p w14:paraId="62B74EE8" w14:textId="310F2D13" w:rsidR="00EB7427" w:rsidRDefault="00EB7427" w:rsidP="00EB7427">
            <w:pPr>
              <w:rPr>
                <w:sz w:val="22"/>
                <w:szCs w:val="22"/>
              </w:rPr>
            </w:pPr>
            <w:r w:rsidRPr="00EB7427">
              <w:rPr>
                <w:sz w:val="22"/>
                <w:szCs w:val="22"/>
              </w:rPr>
              <w:t>“</w:t>
            </w:r>
            <w:r w:rsidRPr="001C4BC4">
              <w:rPr>
                <w:i/>
                <w:sz w:val="22"/>
                <w:szCs w:val="22"/>
              </w:rPr>
              <w:t>Calls for improved governance of synthetic biology, including addressing gaps in the international legal and regulatory frameworks, place significant emphasis on the need to better address challenges that go beyond the scientific areas, and call to also consider societal, economic, and ethical dimensions.</w:t>
            </w:r>
            <w:r w:rsidRPr="00EB7427">
              <w:rPr>
                <w:sz w:val="22"/>
                <w:szCs w:val="22"/>
              </w:rPr>
              <w:t>” This comment seems poorly defined and delimited. Moreover, these broader issues certainly require an analysis of each potential product individually and not the process of synthetic biology. Vagueness on these societal issues also arises later on page 11 (line 15), where no detailed examples or references are used to raise a number of hypothetical potential problems. “There may be the need to consider creating rules for specimens produced from synthetic or cultured DNA as the demand for them could not only lead to an increase in the demand for (illegal) natural specimens, but they could also be mixed with (illegal) natural specimens. The displacement of some of the natural products (i.e. naturally occurring molecules obtained from plants) can also potentially ease negative pressures on wild or cultivated species, but it can also displace cultivation practices, often in topical and sub-tropical regions.”</w:t>
            </w:r>
          </w:p>
        </w:tc>
      </w:tr>
      <w:tr w:rsidR="000C7310" w:rsidRPr="00AD22DE" w14:paraId="5C4FEB94" w14:textId="77777777" w:rsidTr="00135D96">
        <w:trPr>
          <w:cantSplit/>
          <w:trHeight w:val="233"/>
        </w:trPr>
        <w:tc>
          <w:tcPr>
            <w:tcW w:w="918" w:type="dxa"/>
          </w:tcPr>
          <w:p w14:paraId="059FA1D1" w14:textId="010D6F73" w:rsidR="000C7310" w:rsidRDefault="000C7310" w:rsidP="00975B19">
            <w:pPr>
              <w:rPr>
                <w:sz w:val="22"/>
                <w:szCs w:val="22"/>
              </w:rPr>
            </w:pPr>
            <w:r>
              <w:rPr>
                <w:sz w:val="22"/>
                <w:szCs w:val="22"/>
              </w:rPr>
              <w:t>9</w:t>
            </w:r>
          </w:p>
        </w:tc>
        <w:tc>
          <w:tcPr>
            <w:tcW w:w="1125" w:type="dxa"/>
          </w:tcPr>
          <w:p w14:paraId="580F8E2A" w14:textId="77777777" w:rsidR="000C7310" w:rsidRDefault="000C7310" w:rsidP="00975B19">
            <w:pPr>
              <w:rPr>
                <w:sz w:val="22"/>
                <w:szCs w:val="22"/>
              </w:rPr>
            </w:pPr>
          </w:p>
        </w:tc>
        <w:tc>
          <w:tcPr>
            <w:tcW w:w="8145" w:type="dxa"/>
            <w:gridSpan w:val="2"/>
          </w:tcPr>
          <w:p w14:paraId="67CDC6C9" w14:textId="72F2FE09" w:rsidR="000C7310" w:rsidRDefault="000C7310" w:rsidP="000C7310">
            <w:pPr>
              <w:rPr>
                <w:sz w:val="22"/>
                <w:szCs w:val="22"/>
              </w:rPr>
            </w:pPr>
            <w:r>
              <w:rPr>
                <w:sz w:val="22"/>
                <w:szCs w:val="22"/>
              </w:rPr>
              <w:t>The use of gene drives is a very extreme example for genetic engineering and not exemplary for “synthetic biology”. There is a tendency to use “gene drives” as an extreme example for a product. Per se the “product” and its consequences, but not the methodology that was used to create the product should be evaluated.</w:t>
            </w:r>
          </w:p>
        </w:tc>
      </w:tr>
      <w:tr w:rsidR="00692435" w:rsidRPr="00AD22DE" w14:paraId="43E08A4F" w14:textId="77777777" w:rsidTr="00135D96">
        <w:trPr>
          <w:cantSplit/>
          <w:trHeight w:val="233"/>
        </w:trPr>
        <w:tc>
          <w:tcPr>
            <w:tcW w:w="918" w:type="dxa"/>
          </w:tcPr>
          <w:p w14:paraId="51FF4F00" w14:textId="77777777" w:rsidR="00692435" w:rsidRDefault="00975B19" w:rsidP="00EA105F">
            <w:pPr>
              <w:rPr>
                <w:sz w:val="22"/>
                <w:szCs w:val="22"/>
              </w:rPr>
            </w:pPr>
            <w:r>
              <w:rPr>
                <w:sz w:val="22"/>
                <w:szCs w:val="22"/>
              </w:rPr>
              <w:t>10</w:t>
            </w:r>
          </w:p>
          <w:p w14:paraId="51F8A830" w14:textId="4A868592" w:rsidR="004748F2" w:rsidRDefault="004748F2" w:rsidP="00EA105F">
            <w:pPr>
              <w:rPr>
                <w:sz w:val="22"/>
                <w:szCs w:val="22"/>
              </w:rPr>
            </w:pPr>
            <w:r>
              <w:rPr>
                <w:sz w:val="22"/>
                <w:szCs w:val="22"/>
              </w:rPr>
              <w:t>16</w:t>
            </w:r>
          </w:p>
        </w:tc>
        <w:tc>
          <w:tcPr>
            <w:tcW w:w="1125" w:type="dxa"/>
          </w:tcPr>
          <w:p w14:paraId="25BF1253" w14:textId="77777777" w:rsidR="00692435" w:rsidRDefault="00975B19" w:rsidP="00EA105F">
            <w:pPr>
              <w:rPr>
                <w:sz w:val="22"/>
                <w:szCs w:val="22"/>
              </w:rPr>
            </w:pPr>
            <w:r>
              <w:rPr>
                <w:sz w:val="22"/>
                <w:szCs w:val="22"/>
              </w:rPr>
              <w:t xml:space="preserve">1 </w:t>
            </w:r>
            <w:proofErr w:type="spellStart"/>
            <w:r>
              <w:rPr>
                <w:sz w:val="22"/>
                <w:szCs w:val="22"/>
              </w:rPr>
              <w:t>ff</w:t>
            </w:r>
            <w:proofErr w:type="spellEnd"/>
          </w:p>
          <w:p w14:paraId="4B5918F9" w14:textId="2E2EBD4A" w:rsidR="004748F2" w:rsidRDefault="004748F2" w:rsidP="00EA105F">
            <w:pPr>
              <w:rPr>
                <w:sz w:val="22"/>
                <w:szCs w:val="22"/>
              </w:rPr>
            </w:pPr>
            <w:r>
              <w:rPr>
                <w:sz w:val="22"/>
                <w:szCs w:val="22"/>
              </w:rPr>
              <w:t xml:space="preserve">26 </w:t>
            </w:r>
            <w:proofErr w:type="spellStart"/>
            <w:r>
              <w:rPr>
                <w:sz w:val="22"/>
                <w:szCs w:val="22"/>
              </w:rPr>
              <w:t>ff</w:t>
            </w:r>
            <w:proofErr w:type="spellEnd"/>
          </w:p>
        </w:tc>
        <w:tc>
          <w:tcPr>
            <w:tcW w:w="8145" w:type="dxa"/>
            <w:gridSpan w:val="2"/>
          </w:tcPr>
          <w:p w14:paraId="341FD2A3" w14:textId="371CAF34" w:rsidR="00692435" w:rsidRDefault="00975B19" w:rsidP="00975B19">
            <w:pPr>
              <w:rPr>
                <w:sz w:val="22"/>
                <w:szCs w:val="22"/>
              </w:rPr>
            </w:pPr>
            <w:r>
              <w:rPr>
                <w:sz w:val="22"/>
                <w:szCs w:val="22"/>
              </w:rPr>
              <w:t>Most of the examples (or products) are rather considered classical GMOs and not “synthetic biology”</w:t>
            </w:r>
          </w:p>
        </w:tc>
      </w:tr>
      <w:tr w:rsidR="00692435" w:rsidRPr="00AD22DE" w14:paraId="199C9A7A" w14:textId="77777777" w:rsidTr="00135D96">
        <w:trPr>
          <w:cantSplit/>
          <w:trHeight w:val="233"/>
        </w:trPr>
        <w:tc>
          <w:tcPr>
            <w:tcW w:w="918" w:type="dxa"/>
          </w:tcPr>
          <w:p w14:paraId="093BA5EC" w14:textId="578377AA" w:rsidR="004748F2" w:rsidRDefault="00975B19" w:rsidP="00EA105F">
            <w:pPr>
              <w:rPr>
                <w:sz w:val="22"/>
                <w:szCs w:val="22"/>
              </w:rPr>
            </w:pPr>
            <w:r>
              <w:rPr>
                <w:sz w:val="22"/>
                <w:szCs w:val="22"/>
              </w:rPr>
              <w:t>14</w:t>
            </w:r>
          </w:p>
          <w:p w14:paraId="6992A5F9" w14:textId="39F62CE8" w:rsidR="004748F2" w:rsidRDefault="004748F2" w:rsidP="004748F2">
            <w:pPr>
              <w:rPr>
                <w:sz w:val="22"/>
                <w:szCs w:val="22"/>
              </w:rPr>
            </w:pPr>
          </w:p>
          <w:p w14:paraId="342585E4" w14:textId="77777777" w:rsidR="00692435" w:rsidRPr="004748F2" w:rsidRDefault="00692435" w:rsidP="004748F2">
            <w:pPr>
              <w:rPr>
                <w:sz w:val="22"/>
                <w:szCs w:val="22"/>
              </w:rPr>
            </w:pPr>
          </w:p>
        </w:tc>
        <w:tc>
          <w:tcPr>
            <w:tcW w:w="1125" w:type="dxa"/>
          </w:tcPr>
          <w:p w14:paraId="50590163" w14:textId="1D8E2BBA" w:rsidR="00692435" w:rsidRDefault="00975B19" w:rsidP="00EA105F">
            <w:pPr>
              <w:rPr>
                <w:sz w:val="22"/>
                <w:szCs w:val="22"/>
              </w:rPr>
            </w:pPr>
            <w:r>
              <w:rPr>
                <w:sz w:val="22"/>
                <w:szCs w:val="22"/>
              </w:rPr>
              <w:t>Table</w:t>
            </w:r>
          </w:p>
        </w:tc>
        <w:tc>
          <w:tcPr>
            <w:tcW w:w="8145" w:type="dxa"/>
            <w:gridSpan w:val="2"/>
          </w:tcPr>
          <w:p w14:paraId="019704B7" w14:textId="7647A3DF" w:rsidR="00692435" w:rsidRDefault="00975B19" w:rsidP="00975B19">
            <w:pPr>
              <w:rPr>
                <w:sz w:val="22"/>
                <w:szCs w:val="22"/>
              </w:rPr>
            </w:pPr>
            <w:r>
              <w:rPr>
                <w:sz w:val="22"/>
                <w:szCs w:val="22"/>
              </w:rPr>
              <w:t xml:space="preserve">Some of the genome-edited plants listed would not be considered “synthetic biology” products, but rather products of classical genetic engineering. Some plants would be eventually even not considered GMOs (in case of single-base modifications that occur also naturally). Again no clear definition of “synthetic biology” </w:t>
            </w:r>
          </w:p>
        </w:tc>
      </w:tr>
      <w:tr w:rsidR="001C4BC4" w:rsidRPr="00AD22DE" w14:paraId="3B397873" w14:textId="77777777" w:rsidTr="00135D96">
        <w:trPr>
          <w:cantSplit/>
          <w:trHeight w:val="233"/>
        </w:trPr>
        <w:tc>
          <w:tcPr>
            <w:tcW w:w="918" w:type="dxa"/>
          </w:tcPr>
          <w:p w14:paraId="007C5C78" w14:textId="26CEB363" w:rsidR="001C4BC4" w:rsidRDefault="001C4BC4" w:rsidP="00EA105F">
            <w:pPr>
              <w:rPr>
                <w:sz w:val="22"/>
                <w:szCs w:val="22"/>
              </w:rPr>
            </w:pPr>
            <w:r>
              <w:rPr>
                <w:sz w:val="22"/>
                <w:szCs w:val="22"/>
              </w:rPr>
              <w:t>14</w:t>
            </w:r>
          </w:p>
        </w:tc>
        <w:tc>
          <w:tcPr>
            <w:tcW w:w="1125" w:type="dxa"/>
          </w:tcPr>
          <w:p w14:paraId="3DF410CE" w14:textId="62C4AE1C" w:rsidR="001C4BC4" w:rsidRDefault="001C4BC4" w:rsidP="00EA105F">
            <w:pPr>
              <w:rPr>
                <w:sz w:val="22"/>
                <w:szCs w:val="22"/>
              </w:rPr>
            </w:pPr>
            <w:r>
              <w:rPr>
                <w:sz w:val="22"/>
                <w:szCs w:val="22"/>
              </w:rPr>
              <w:t xml:space="preserve">34 </w:t>
            </w:r>
            <w:proofErr w:type="spellStart"/>
            <w:r>
              <w:rPr>
                <w:sz w:val="22"/>
                <w:szCs w:val="22"/>
              </w:rPr>
              <w:t>ff</w:t>
            </w:r>
            <w:proofErr w:type="spellEnd"/>
          </w:p>
        </w:tc>
        <w:tc>
          <w:tcPr>
            <w:tcW w:w="8145" w:type="dxa"/>
            <w:gridSpan w:val="2"/>
          </w:tcPr>
          <w:p w14:paraId="2ECE42AB" w14:textId="5BD5CD69" w:rsidR="001C4BC4" w:rsidRPr="001C4BC4" w:rsidRDefault="001C4BC4" w:rsidP="001C4BC4">
            <w:pPr>
              <w:rPr>
                <w:sz w:val="22"/>
                <w:szCs w:val="22"/>
              </w:rPr>
            </w:pPr>
            <w:r w:rsidRPr="001C4BC4">
              <w:rPr>
                <w:i/>
                <w:sz w:val="22"/>
                <w:szCs w:val="22"/>
              </w:rPr>
              <w:t>Often, international and national regulatory regimes tend to focus on</w:t>
            </w:r>
            <w:r w:rsidRPr="001C4BC4">
              <w:rPr>
                <w:i/>
                <w:sz w:val="22"/>
                <w:szCs w:val="22"/>
              </w:rPr>
              <w:t xml:space="preserve"> biosafety risks rather than a </w:t>
            </w:r>
            <w:r w:rsidRPr="001C4BC4">
              <w:rPr>
                <w:i/>
                <w:sz w:val="22"/>
                <w:szCs w:val="22"/>
              </w:rPr>
              <w:t xml:space="preserve">more holistic approach that takes into account a range of public interest issues related to the biosecurity, ethics, </w:t>
            </w:r>
            <w:proofErr w:type="gramStart"/>
            <w:r w:rsidRPr="001C4BC4">
              <w:rPr>
                <w:i/>
                <w:sz w:val="22"/>
                <w:szCs w:val="22"/>
              </w:rPr>
              <w:t>societal</w:t>
            </w:r>
            <w:proofErr w:type="gramEnd"/>
            <w:r w:rsidRPr="001C4BC4">
              <w:rPr>
                <w:i/>
                <w:sz w:val="22"/>
                <w:szCs w:val="22"/>
              </w:rPr>
              <w:t>, cultural and economic implications of synthetic biology more broadly, as well as potential benefits related to biodiversity conservation and sustainable use. In this sense, a new paradigm for regulating synthetic biology applications is needed t</w:t>
            </w:r>
            <w:r>
              <w:rPr>
                <w:i/>
                <w:sz w:val="22"/>
                <w:szCs w:val="22"/>
              </w:rPr>
              <w:t>hat looks beyond just biosafety</w:t>
            </w:r>
            <w:r w:rsidRPr="001C4BC4">
              <w:rPr>
                <w:sz w:val="22"/>
                <w:szCs w:val="22"/>
              </w:rPr>
              <w:t>”</w:t>
            </w:r>
          </w:p>
          <w:p w14:paraId="573584EE" w14:textId="432FC165" w:rsidR="001C4BC4" w:rsidRDefault="001C4BC4" w:rsidP="001C4BC4">
            <w:pPr>
              <w:rPr>
                <w:sz w:val="22"/>
                <w:szCs w:val="22"/>
              </w:rPr>
            </w:pPr>
            <w:r w:rsidRPr="001C4BC4">
              <w:rPr>
                <w:sz w:val="22"/>
                <w:szCs w:val="22"/>
              </w:rPr>
              <w:t>I</w:t>
            </w:r>
            <w:r>
              <w:rPr>
                <w:sz w:val="22"/>
                <w:szCs w:val="22"/>
              </w:rPr>
              <w:t>t should be</w:t>
            </w:r>
            <w:r w:rsidRPr="001C4BC4">
              <w:rPr>
                <w:sz w:val="22"/>
                <w:szCs w:val="22"/>
              </w:rPr>
              <w:t xml:space="preserve"> caution</w:t>
            </w:r>
            <w:r>
              <w:rPr>
                <w:sz w:val="22"/>
                <w:szCs w:val="22"/>
              </w:rPr>
              <w:t>ed</w:t>
            </w:r>
            <w:r w:rsidRPr="001C4BC4">
              <w:rPr>
                <w:sz w:val="22"/>
                <w:szCs w:val="22"/>
              </w:rPr>
              <w:t xml:space="preserve"> against bringing broader policy and societal issues into regulatory issues related to synthetic biology in the CBD. A more pragmatic way forward is an evidence-based approach, including evidence-based decision-making by the scientific community on a case-by-case basis to avoid violating biodiversity and sustainability goals.  </w:t>
            </w:r>
          </w:p>
        </w:tc>
      </w:tr>
      <w:tr w:rsidR="00975B19" w:rsidRPr="00AD22DE" w14:paraId="08021164" w14:textId="77777777" w:rsidTr="00135D96">
        <w:trPr>
          <w:cantSplit/>
          <w:trHeight w:val="233"/>
        </w:trPr>
        <w:tc>
          <w:tcPr>
            <w:tcW w:w="918" w:type="dxa"/>
          </w:tcPr>
          <w:p w14:paraId="6719893F" w14:textId="5261D310" w:rsidR="00975B19" w:rsidRDefault="00975B19" w:rsidP="00EA105F">
            <w:pPr>
              <w:rPr>
                <w:sz w:val="22"/>
                <w:szCs w:val="22"/>
              </w:rPr>
            </w:pPr>
            <w:r>
              <w:rPr>
                <w:sz w:val="22"/>
                <w:szCs w:val="22"/>
              </w:rPr>
              <w:t>15</w:t>
            </w:r>
          </w:p>
        </w:tc>
        <w:tc>
          <w:tcPr>
            <w:tcW w:w="1125" w:type="dxa"/>
          </w:tcPr>
          <w:p w14:paraId="59B33676" w14:textId="0DEAED53" w:rsidR="00975B19" w:rsidRDefault="00975B19" w:rsidP="00EA105F">
            <w:pPr>
              <w:rPr>
                <w:sz w:val="22"/>
                <w:szCs w:val="22"/>
              </w:rPr>
            </w:pPr>
            <w:r>
              <w:rPr>
                <w:sz w:val="22"/>
                <w:szCs w:val="22"/>
              </w:rPr>
              <w:t xml:space="preserve">13 </w:t>
            </w:r>
            <w:proofErr w:type="spellStart"/>
            <w:r>
              <w:rPr>
                <w:sz w:val="22"/>
                <w:szCs w:val="22"/>
              </w:rPr>
              <w:t>ff</w:t>
            </w:r>
            <w:proofErr w:type="spellEnd"/>
          </w:p>
        </w:tc>
        <w:tc>
          <w:tcPr>
            <w:tcW w:w="8145" w:type="dxa"/>
            <w:gridSpan w:val="2"/>
          </w:tcPr>
          <w:p w14:paraId="4B3D4161" w14:textId="3A4F3C60" w:rsidR="00975B19" w:rsidRDefault="004748F2" w:rsidP="00745A82">
            <w:pPr>
              <w:rPr>
                <w:sz w:val="22"/>
                <w:szCs w:val="22"/>
              </w:rPr>
            </w:pPr>
            <w:r>
              <w:rPr>
                <w:sz w:val="22"/>
                <w:szCs w:val="22"/>
              </w:rPr>
              <w:t>Use of “</w:t>
            </w:r>
            <w:r w:rsidR="00975B19">
              <w:rPr>
                <w:sz w:val="22"/>
                <w:szCs w:val="22"/>
              </w:rPr>
              <w:t>synthetic biology</w:t>
            </w:r>
            <w:r>
              <w:rPr>
                <w:sz w:val="22"/>
                <w:szCs w:val="22"/>
              </w:rPr>
              <w:t>”</w:t>
            </w:r>
            <w:r w:rsidR="00975B19">
              <w:rPr>
                <w:sz w:val="22"/>
                <w:szCs w:val="22"/>
              </w:rPr>
              <w:t xml:space="preserve"> </w:t>
            </w:r>
            <w:r>
              <w:rPr>
                <w:sz w:val="22"/>
                <w:szCs w:val="22"/>
              </w:rPr>
              <w:t xml:space="preserve">as </w:t>
            </w:r>
            <w:r w:rsidR="000C7310">
              <w:rPr>
                <w:sz w:val="22"/>
                <w:szCs w:val="22"/>
              </w:rPr>
              <w:t>very inaccurate “</w:t>
            </w:r>
            <w:r w:rsidR="00745A82">
              <w:rPr>
                <w:sz w:val="22"/>
                <w:szCs w:val="22"/>
              </w:rPr>
              <w:t>blanket</w:t>
            </w:r>
            <w:r w:rsidR="00975B19">
              <w:rPr>
                <w:sz w:val="22"/>
                <w:szCs w:val="22"/>
              </w:rPr>
              <w:t xml:space="preserve"> definition</w:t>
            </w:r>
            <w:r w:rsidR="000C7310">
              <w:rPr>
                <w:sz w:val="22"/>
                <w:szCs w:val="22"/>
              </w:rPr>
              <w:t>”</w:t>
            </w:r>
            <w:r>
              <w:rPr>
                <w:sz w:val="22"/>
                <w:szCs w:val="22"/>
              </w:rPr>
              <w:t xml:space="preserve"> for classical biotechnological efforts.</w:t>
            </w:r>
          </w:p>
        </w:tc>
      </w:tr>
      <w:tr w:rsidR="00BA7AD5" w:rsidRPr="00AD22DE" w14:paraId="3689DAD2" w14:textId="77777777" w:rsidTr="00135D96">
        <w:trPr>
          <w:cantSplit/>
          <w:trHeight w:val="233"/>
        </w:trPr>
        <w:tc>
          <w:tcPr>
            <w:tcW w:w="918" w:type="dxa"/>
          </w:tcPr>
          <w:p w14:paraId="25C2273F" w14:textId="619C713F" w:rsidR="00BA7AD5" w:rsidRDefault="00BA7AD5" w:rsidP="00EA105F">
            <w:pPr>
              <w:rPr>
                <w:sz w:val="22"/>
                <w:szCs w:val="22"/>
              </w:rPr>
            </w:pPr>
            <w:r>
              <w:rPr>
                <w:sz w:val="22"/>
                <w:szCs w:val="22"/>
              </w:rPr>
              <w:t>24</w:t>
            </w:r>
          </w:p>
        </w:tc>
        <w:tc>
          <w:tcPr>
            <w:tcW w:w="1125" w:type="dxa"/>
          </w:tcPr>
          <w:p w14:paraId="24685595" w14:textId="49B15840" w:rsidR="00BA7AD5" w:rsidRDefault="00BA7AD5" w:rsidP="00EA105F">
            <w:pPr>
              <w:rPr>
                <w:sz w:val="22"/>
                <w:szCs w:val="22"/>
              </w:rPr>
            </w:pPr>
            <w:r>
              <w:rPr>
                <w:sz w:val="22"/>
                <w:szCs w:val="22"/>
              </w:rPr>
              <w:t>37</w:t>
            </w:r>
          </w:p>
        </w:tc>
        <w:tc>
          <w:tcPr>
            <w:tcW w:w="8145" w:type="dxa"/>
            <w:gridSpan w:val="2"/>
          </w:tcPr>
          <w:p w14:paraId="51A809B9" w14:textId="788EE08F" w:rsidR="00BA7AD5" w:rsidRDefault="00BA7AD5" w:rsidP="00BA7AD5">
            <w:pPr>
              <w:rPr>
                <w:sz w:val="22"/>
                <w:szCs w:val="22"/>
              </w:rPr>
            </w:pPr>
            <w:r>
              <w:rPr>
                <w:sz w:val="22"/>
                <w:szCs w:val="22"/>
              </w:rPr>
              <w:t>This example is classical protein engineering, but not synthetic biology</w:t>
            </w:r>
          </w:p>
        </w:tc>
      </w:tr>
      <w:tr w:rsidR="004748F2" w:rsidRPr="00AD22DE" w14:paraId="6CA5478A" w14:textId="77777777" w:rsidTr="00135D96">
        <w:trPr>
          <w:cantSplit/>
          <w:trHeight w:val="233"/>
        </w:trPr>
        <w:tc>
          <w:tcPr>
            <w:tcW w:w="918" w:type="dxa"/>
          </w:tcPr>
          <w:p w14:paraId="223BAA43" w14:textId="1BB66A6D" w:rsidR="004748F2" w:rsidRDefault="004748F2" w:rsidP="00EA105F">
            <w:pPr>
              <w:rPr>
                <w:sz w:val="22"/>
                <w:szCs w:val="22"/>
              </w:rPr>
            </w:pPr>
            <w:r>
              <w:rPr>
                <w:sz w:val="22"/>
                <w:szCs w:val="22"/>
              </w:rPr>
              <w:lastRenderedPageBreak/>
              <w:t>27</w:t>
            </w:r>
          </w:p>
        </w:tc>
        <w:tc>
          <w:tcPr>
            <w:tcW w:w="1125" w:type="dxa"/>
          </w:tcPr>
          <w:p w14:paraId="65FF8E80" w14:textId="401DA3A6" w:rsidR="004748F2" w:rsidRDefault="004748F2" w:rsidP="00EA105F">
            <w:pPr>
              <w:rPr>
                <w:sz w:val="22"/>
                <w:szCs w:val="22"/>
              </w:rPr>
            </w:pPr>
            <w:r>
              <w:rPr>
                <w:sz w:val="22"/>
                <w:szCs w:val="22"/>
              </w:rPr>
              <w:t xml:space="preserve">1 </w:t>
            </w:r>
            <w:proofErr w:type="spellStart"/>
            <w:r>
              <w:rPr>
                <w:sz w:val="22"/>
                <w:szCs w:val="22"/>
              </w:rPr>
              <w:t>ff</w:t>
            </w:r>
            <w:proofErr w:type="spellEnd"/>
          </w:p>
        </w:tc>
        <w:tc>
          <w:tcPr>
            <w:tcW w:w="8145" w:type="dxa"/>
            <w:gridSpan w:val="2"/>
          </w:tcPr>
          <w:p w14:paraId="180AAD41" w14:textId="20A0A9A5" w:rsidR="004748F2" w:rsidRDefault="004748F2" w:rsidP="004748F2">
            <w:pPr>
              <w:rPr>
                <w:sz w:val="22"/>
                <w:szCs w:val="22"/>
              </w:rPr>
            </w:pPr>
            <w:r>
              <w:rPr>
                <w:sz w:val="22"/>
                <w:szCs w:val="22"/>
              </w:rPr>
              <w:t xml:space="preserve">Unclear, why protocells and/or cell-free systems are classified as synthetic biology, also unclear why these systems are considered in the context of CBD, as they do not replicate and/or evolve. </w:t>
            </w:r>
          </w:p>
        </w:tc>
      </w:tr>
      <w:tr w:rsidR="004748F2" w:rsidRPr="00AD22DE" w14:paraId="178D01B7" w14:textId="77777777" w:rsidTr="00135D96">
        <w:trPr>
          <w:cantSplit/>
          <w:trHeight w:val="233"/>
        </w:trPr>
        <w:tc>
          <w:tcPr>
            <w:tcW w:w="918" w:type="dxa"/>
          </w:tcPr>
          <w:p w14:paraId="11C67561" w14:textId="17877C82" w:rsidR="004748F2" w:rsidRDefault="004748F2" w:rsidP="00EA105F">
            <w:pPr>
              <w:rPr>
                <w:sz w:val="22"/>
                <w:szCs w:val="22"/>
              </w:rPr>
            </w:pPr>
            <w:r>
              <w:rPr>
                <w:sz w:val="22"/>
                <w:szCs w:val="22"/>
              </w:rPr>
              <w:t>33</w:t>
            </w:r>
          </w:p>
        </w:tc>
        <w:tc>
          <w:tcPr>
            <w:tcW w:w="1125" w:type="dxa"/>
          </w:tcPr>
          <w:p w14:paraId="0591D6F8" w14:textId="43C05574" w:rsidR="004748F2" w:rsidRDefault="004748F2" w:rsidP="00EA105F">
            <w:pPr>
              <w:rPr>
                <w:sz w:val="22"/>
                <w:szCs w:val="22"/>
              </w:rPr>
            </w:pPr>
            <w:r>
              <w:rPr>
                <w:sz w:val="22"/>
                <w:szCs w:val="22"/>
              </w:rPr>
              <w:t xml:space="preserve">13 </w:t>
            </w:r>
            <w:proofErr w:type="spellStart"/>
            <w:r>
              <w:rPr>
                <w:sz w:val="22"/>
                <w:szCs w:val="22"/>
              </w:rPr>
              <w:t>ff</w:t>
            </w:r>
            <w:proofErr w:type="spellEnd"/>
          </w:p>
        </w:tc>
        <w:tc>
          <w:tcPr>
            <w:tcW w:w="8145" w:type="dxa"/>
            <w:gridSpan w:val="2"/>
          </w:tcPr>
          <w:p w14:paraId="46F09B92" w14:textId="58EAFE87" w:rsidR="004748F2" w:rsidRDefault="004748F2" w:rsidP="000D6227">
            <w:pPr>
              <w:rPr>
                <w:sz w:val="22"/>
                <w:szCs w:val="22"/>
              </w:rPr>
            </w:pPr>
            <w:r>
              <w:rPr>
                <w:sz w:val="22"/>
                <w:szCs w:val="22"/>
              </w:rPr>
              <w:t xml:space="preserve">“Synthetic” microbial communities do not </w:t>
            </w:r>
            <w:r w:rsidR="000D6227">
              <w:rPr>
                <w:sz w:val="22"/>
                <w:szCs w:val="22"/>
              </w:rPr>
              <w:t xml:space="preserve">necessarily </w:t>
            </w:r>
            <w:r>
              <w:rPr>
                <w:sz w:val="22"/>
                <w:szCs w:val="22"/>
              </w:rPr>
              <w:t xml:space="preserve">involve the use of modified microbes, but </w:t>
            </w:r>
            <w:r w:rsidR="000D6227">
              <w:rPr>
                <w:sz w:val="22"/>
                <w:szCs w:val="22"/>
              </w:rPr>
              <w:t xml:space="preserve">typically </w:t>
            </w:r>
            <w:r>
              <w:rPr>
                <w:sz w:val="22"/>
                <w:szCs w:val="22"/>
              </w:rPr>
              <w:t>the defined composition of a microbial community from natural</w:t>
            </w:r>
            <w:r w:rsidR="000D6227">
              <w:rPr>
                <w:sz w:val="22"/>
                <w:szCs w:val="22"/>
              </w:rPr>
              <w:t>ly</w:t>
            </w:r>
            <w:r>
              <w:rPr>
                <w:sz w:val="22"/>
                <w:szCs w:val="22"/>
              </w:rPr>
              <w:t xml:space="preserve"> existing strains</w:t>
            </w:r>
            <w:r w:rsidR="000D6227">
              <w:rPr>
                <w:sz w:val="22"/>
                <w:szCs w:val="22"/>
              </w:rPr>
              <w:t>. Usually no synthetic biology or genetic engineering involved.</w:t>
            </w:r>
            <w:r>
              <w:rPr>
                <w:sz w:val="22"/>
                <w:szCs w:val="22"/>
              </w:rPr>
              <w:t xml:space="preserve"> </w:t>
            </w:r>
          </w:p>
        </w:tc>
      </w:tr>
      <w:tr w:rsidR="004A7CD7" w:rsidRPr="00AD22DE" w14:paraId="3B7BC960" w14:textId="77777777" w:rsidTr="00135D96">
        <w:trPr>
          <w:cantSplit/>
          <w:trHeight w:val="233"/>
        </w:trPr>
        <w:tc>
          <w:tcPr>
            <w:tcW w:w="918" w:type="dxa"/>
          </w:tcPr>
          <w:p w14:paraId="14767B88" w14:textId="16E93B6C" w:rsidR="004A7CD7" w:rsidRDefault="004A7CD7" w:rsidP="00EA105F">
            <w:pPr>
              <w:rPr>
                <w:sz w:val="22"/>
                <w:szCs w:val="22"/>
              </w:rPr>
            </w:pPr>
            <w:r>
              <w:rPr>
                <w:sz w:val="22"/>
                <w:szCs w:val="22"/>
              </w:rPr>
              <w:t>34</w:t>
            </w:r>
          </w:p>
        </w:tc>
        <w:tc>
          <w:tcPr>
            <w:tcW w:w="1125" w:type="dxa"/>
          </w:tcPr>
          <w:p w14:paraId="206DD44B" w14:textId="0C996605" w:rsidR="004A7CD7" w:rsidRDefault="004A7CD7" w:rsidP="00EA105F">
            <w:pPr>
              <w:rPr>
                <w:sz w:val="22"/>
                <w:szCs w:val="22"/>
              </w:rPr>
            </w:pPr>
            <w:r>
              <w:rPr>
                <w:sz w:val="22"/>
                <w:szCs w:val="22"/>
              </w:rPr>
              <w:t>8</w:t>
            </w:r>
          </w:p>
        </w:tc>
        <w:tc>
          <w:tcPr>
            <w:tcW w:w="8145" w:type="dxa"/>
            <w:gridSpan w:val="2"/>
          </w:tcPr>
          <w:p w14:paraId="30760A74" w14:textId="6E437CFB" w:rsidR="004A7CD7" w:rsidRDefault="004A7CD7" w:rsidP="004A7CD7">
            <w:pPr>
              <w:rPr>
                <w:sz w:val="22"/>
                <w:szCs w:val="22"/>
              </w:rPr>
            </w:pPr>
            <w:r>
              <w:rPr>
                <w:sz w:val="22"/>
                <w:szCs w:val="22"/>
              </w:rPr>
              <w:t xml:space="preserve">Describes transient modifications </w:t>
            </w:r>
          </w:p>
        </w:tc>
      </w:tr>
      <w:tr w:rsidR="004748F2" w:rsidRPr="00AD22DE" w14:paraId="6EC4C451" w14:textId="77777777" w:rsidTr="00135D96">
        <w:trPr>
          <w:cantSplit/>
          <w:trHeight w:val="233"/>
        </w:trPr>
        <w:tc>
          <w:tcPr>
            <w:tcW w:w="918" w:type="dxa"/>
          </w:tcPr>
          <w:p w14:paraId="45B5A713" w14:textId="0DAC5562" w:rsidR="004748F2" w:rsidRDefault="004748F2" w:rsidP="00EA105F">
            <w:pPr>
              <w:rPr>
                <w:sz w:val="22"/>
                <w:szCs w:val="22"/>
              </w:rPr>
            </w:pPr>
            <w:r>
              <w:rPr>
                <w:sz w:val="22"/>
                <w:szCs w:val="22"/>
              </w:rPr>
              <w:t>38</w:t>
            </w:r>
          </w:p>
        </w:tc>
        <w:tc>
          <w:tcPr>
            <w:tcW w:w="1125" w:type="dxa"/>
          </w:tcPr>
          <w:p w14:paraId="64D75F9D" w14:textId="2754511E" w:rsidR="004748F2" w:rsidRDefault="004748F2" w:rsidP="00EA105F">
            <w:pPr>
              <w:rPr>
                <w:sz w:val="22"/>
                <w:szCs w:val="22"/>
              </w:rPr>
            </w:pPr>
            <w:r>
              <w:rPr>
                <w:sz w:val="22"/>
                <w:szCs w:val="22"/>
              </w:rPr>
              <w:t xml:space="preserve">22 </w:t>
            </w:r>
            <w:proofErr w:type="spellStart"/>
            <w:r>
              <w:rPr>
                <w:sz w:val="22"/>
                <w:szCs w:val="22"/>
              </w:rPr>
              <w:t>ff</w:t>
            </w:r>
            <w:proofErr w:type="spellEnd"/>
          </w:p>
        </w:tc>
        <w:tc>
          <w:tcPr>
            <w:tcW w:w="8145" w:type="dxa"/>
            <w:gridSpan w:val="2"/>
          </w:tcPr>
          <w:p w14:paraId="357BF077" w14:textId="3777253E" w:rsidR="004748F2" w:rsidRDefault="004748F2" w:rsidP="004748F2">
            <w:pPr>
              <w:rPr>
                <w:sz w:val="22"/>
                <w:szCs w:val="22"/>
              </w:rPr>
            </w:pPr>
            <w:r>
              <w:rPr>
                <w:sz w:val="22"/>
                <w:szCs w:val="22"/>
              </w:rPr>
              <w:t>Protocells and/or viruses are not organisms</w:t>
            </w:r>
          </w:p>
        </w:tc>
      </w:tr>
      <w:tr w:rsidR="00EB7427" w:rsidRPr="00AD22DE" w14:paraId="780F3FA3" w14:textId="77777777" w:rsidTr="00135D96">
        <w:trPr>
          <w:cantSplit/>
          <w:trHeight w:val="233"/>
        </w:trPr>
        <w:tc>
          <w:tcPr>
            <w:tcW w:w="918" w:type="dxa"/>
          </w:tcPr>
          <w:p w14:paraId="6B04DFF1" w14:textId="7C093B49" w:rsidR="00EB7427" w:rsidRDefault="00EB7427" w:rsidP="00EA105F">
            <w:pPr>
              <w:rPr>
                <w:sz w:val="22"/>
                <w:szCs w:val="22"/>
              </w:rPr>
            </w:pPr>
            <w:r>
              <w:rPr>
                <w:sz w:val="22"/>
                <w:szCs w:val="22"/>
              </w:rPr>
              <w:t>48</w:t>
            </w:r>
          </w:p>
        </w:tc>
        <w:tc>
          <w:tcPr>
            <w:tcW w:w="1125" w:type="dxa"/>
          </w:tcPr>
          <w:p w14:paraId="351000FC" w14:textId="436DC2A5" w:rsidR="00EB7427" w:rsidRDefault="00EB7427" w:rsidP="00EA105F">
            <w:pPr>
              <w:rPr>
                <w:sz w:val="22"/>
                <w:szCs w:val="22"/>
              </w:rPr>
            </w:pPr>
            <w:r>
              <w:rPr>
                <w:sz w:val="22"/>
                <w:szCs w:val="22"/>
              </w:rPr>
              <w:t xml:space="preserve">19 </w:t>
            </w:r>
            <w:proofErr w:type="spellStart"/>
            <w:r>
              <w:rPr>
                <w:sz w:val="22"/>
                <w:szCs w:val="22"/>
              </w:rPr>
              <w:t>ff</w:t>
            </w:r>
            <w:proofErr w:type="spellEnd"/>
          </w:p>
        </w:tc>
        <w:tc>
          <w:tcPr>
            <w:tcW w:w="8145" w:type="dxa"/>
            <w:gridSpan w:val="2"/>
          </w:tcPr>
          <w:p w14:paraId="420294B2" w14:textId="54DD28A9" w:rsidR="00EB7427" w:rsidRDefault="00EB7427" w:rsidP="00EB7427">
            <w:pPr>
              <w:rPr>
                <w:sz w:val="22"/>
                <w:szCs w:val="22"/>
              </w:rPr>
            </w:pPr>
            <w:r w:rsidRPr="00EB7427">
              <w:rPr>
                <w:sz w:val="22"/>
                <w:szCs w:val="22"/>
              </w:rPr>
              <w:t>Potential negative impacts are attributed to the technology that are not technology-specific, but rather broader social practices for example over-farming/aggre</w:t>
            </w:r>
            <w:r>
              <w:rPr>
                <w:sz w:val="22"/>
                <w:szCs w:val="22"/>
              </w:rPr>
              <w:t>ssive monopoly business models</w:t>
            </w:r>
            <w:r w:rsidRPr="00EB7427">
              <w:rPr>
                <w:sz w:val="22"/>
                <w:szCs w:val="22"/>
              </w:rPr>
              <w:t>.</w:t>
            </w:r>
          </w:p>
        </w:tc>
      </w:tr>
      <w:tr w:rsidR="00745A82" w:rsidRPr="00AD22DE" w14:paraId="0CFD9379" w14:textId="77777777" w:rsidTr="00135D96">
        <w:trPr>
          <w:cantSplit/>
          <w:trHeight w:val="233"/>
        </w:trPr>
        <w:tc>
          <w:tcPr>
            <w:tcW w:w="918" w:type="dxa"/>
          </w:tcPr>
          <w:p w14:paraId="3DAC2258" w14:textId="0CCBF0AA" w:rsidR="00745A82" w:rsidRDefault="00745A82" w:rsidP="00EA105F">
            <w:pPr>
              <w:rPr>
                <w:sz w:val="22"/>
                <w:szCs w:val="22"/>
              </w:rPr>
            </w:pPr>
            <w:r>
              <w:rPr>
                <w:sz w:val="22"/>
                <w:szCs w:val="22"/>
              </w:rPr>
              <w:t>50</w:t>
            </w:r>
          </w:p>
        </w:tc>
        <w:tc>
          <w:tcPr>
            <w:tcW w:w="1125" w:type="dxa"/>
          </w:tcPr>
          <w:p w14:paraId="0FAE7019" w14:textId="70922CD9" w:rsidR="00745A82" w:rsidRDefault="00745A82" w:rsidP="00EA105F">
            <w:pPr>
              <w:rPr>
                <w:sz w:val="22"/>
                <w:szCs w:val="22"/>
              </w:rPr>
            </w:pPr>
            <w:r>
              <w:rPr>
                <w:sz w:val="22"/>
                <w:szCs w:val="22"/>
              </w:rPr>
              <w:t xml:space="preserve">16 </w:t>
            </w:r>
            <w:proofErr w:type="spellStart"/>
            <w:r>
              <w:rPr>
                <w:sz w:val="22"/>
                <w:szCs w:val="22"/>
              </w:rPr>
              <w:t>ff</w:t>
            </w:r>
            <w:proofErr w:type="spellEnd"/>
          </w:p>
        </w:tc>
        <w:tc>
          <w:tcPr>
            <w:tcW w:w="8145" w:type="dxa"/>
            <w:gridSpan w:val="2"/>
          </w:tcPr>
          <w:p w14:paraId="5B968FC3" w14:textId="77777777" w:rsidR="001C4BC4" w:rsidRDefault="00745A82" w:rsidP="00EB7427">
            <w:pPr>
              <w:rPr>
                <w:sz w:val="22"/>
                <w:szCs w:val="22"/>
              </w:rPr>
            </w:pPr>
            <w:r w:rsidRPr="00745A82">
              <w:rPr>
                <w:sz w:val="22"/>
                <w:szCs w:val="22"/>
              </w:rPr>
              <w:t>“</w:t>
            </w:r>
            <w:r w:rsidRPr="001C4BC4">
              <w:rPr>
                <w:i/>
                <w:sz w:val="22"/>
                <w:szCs w:val="22"/>
              </w:rPr>
              <w:t>However, the degree to which a risk is acceptable cannot be determined purely scientifically; science can predict the likelihood of certain effects, but non-scientific criteria must be included in the process of judging their acceptability</w:t>
            </w:r>
            <w:r>
              <w:rPr>
                <w:sz w:val="22"/>
                <w:szCs w:val="22"/>
              </w:rPr>
              <w:t>”</w:t>
            </w:r>
            <w:r w:rsidRPr="00745A82">
              <w:rPr>
                <w:sz w:val="22"/>
                <w:szCs w:val="22"/>
              </w:rPr>
              <w:t xml:space="preserve">. </w:t>
            </w:r>
          </w:p>
          <w:p w14:paraId="70ED4508" w14:textId="77777777" w:rsidR="001C4BC4" w:rsidRDefault="001C4BC4" w:rsidP="001C4BC4">
            <w:pPr>
              <w:rPr>
                <w:sz w:val="22"/>
                <w:szCs w:val="22"/>
              </w:rPr>
            </w:pPr>
            <w:r w:rsidRPr="001C4BC4">
              <w:rPr>
                <w:sz w:val="22"/>
                <w:szCs w:val="22"/>
              </w:rPr>
              <w:t xml:space="preserve">A big concern </w:t>
            </w:r>
            <w:r>
              <w:rPr>
                <w:sz w:val="22"/>
                <w:szCs w:val="22"/>
              </w:rPr>
              <w:t xml:space="preserve">in this statement </w:t>
            </w:r>
            <w:r w:rsidRPr="001C4BC4">
              <w:rPr>
                <w:sz w:val="22"/>
                <w:szCs w:val="22"/>
              </w:rPr>
              <w:t xml:space="preserve">is the lack of a clear commitment to scientific theory and fact-based argumentation as guiding principle for decision-making. We agree that there is a need for scientific bodies to continuously engage in dialogue with the public and to increase the quality of that dialogue, as well as a need to promote transparent information sharing.  However, there also needs to be an in-principle agreement on the possibility of attaining an objective definition of risk. We would strongly caution against bringing broader policy and societal issues into regulatory issues related to synthetic biology and instead strongly favour an evidence-based approach, including evidence-based decision-making guided by the scientific community on a case-by-case basis to avoid violating biodiversity and sustainability goals.  </w:t>
            </w:r>
          </w:p>
          <w:p w14:paraId="5969F620" w14:textId="77777777" w:rsidR="001C4BC4" w:rsidRDefault="001C4BC4" w:rsidP="001C4BC4">
            <w:pPr>
              <w:rPr>
                <w:sz w:val="22"/>
                <w:szCs w:val="22"/>
              </w:rPr>
            </w:pPr>
          </w:p>
          <w:p w14:paraId="320F38AA" w14:textId="597E32A6" w:rsidR="00745A82" w:rsidRPr="00EB7427" w:rsidRDefault="001C4BC4" w:rsidP="001C4BC4">
            <w:pPr>
              <w:rPr>
                <w:sz w:val="22"/>
                <w:szCs w:val="22"/>
              </w:rPr>
            </w:pPr>
            <w:r w:rsidRPr="001C4BC4">
              <w:rPr>
                <w:sz w:val="22"/>
                <w:szCs w:val="22"/>
              </w:rPr>
              <w:t xml:space="preserve">While it is important to consider societal and ethical concerns relating to synthetic biology research and applications, we find it also important that potential and realized benefits to society and environment are widely publicized for an informed discussion in the public. Considering the polarized and emotionalized discussion on the generation and release of genetically modified organisms in the past, we deem it essential to fairly weigh risks and benefits based on a scientifically informed discussion to prevent the ban of technologies that hold significant promise to solve societal and ecological problems. We also would like to stress that any discussion on technologies needs to incorporate considerations of potential alternatives and their benefits and risks (e.g., the use of pesticides versus specifically designed biocontrol agents). </w:t>
            </w:r>
            <w:r>
              <w:rPr>
                <w:sz w:val="22"/>
                <w:szCs w:val="22"/>
              </w:rPr>
              <w:t>W</w:t>
            </w:r>
            <w:r w:rsidRPr="001C4BC4">
              <w:rPr>
                <w:sz w:val="22"/>
                <w:szCs w:val="22"/>
              </w:rPr>
              <w:t xml:space="preserve">e would also like to highlight that many of the risks discussed in the text </w:t>
            </w:r>
            <w:r>
              <w:rPr>
                <w:sz w:val="22"/>
                <w:szCs w:val="22"/>
              </w:rPr>
              <w:t xml:space="preserve">in general </w:t>
            </w:r>
            <w:r w:rsidRPr="001C4BC4">
              <w:rPr>
                <w:sz w:val="22"/>
                <w:szCs w:val="22"/>
              </w:rPr>
              <w:t>are not related to the specific technology of “synthetic biology”, but rather to broader social practices, such as aggressive monopoly business models.</w:t>
            </w:r>
          </w:p>
        </w:tc>
      </w:tr>
      <w:tr w:rsidR="00692435" w:rsidRPr="00AD22DE" w14:paraId="4A4D44A2" w14:textId="77777777" w:rsidTr="00135D96">
        <w:trPr>
          <w:cantSplit/>
          <w:trHeight w:val="233"/>
        </w:trPr>
        <w:tc>
          <w:tcPr>
            <w:tcW w:w="918" w:type="dxa"/>
          </w:tcPr>
          <w:p w14:paraId="7D986775" w14:textId="76FCAA8D" w:rsidR="00692435" w:rsidRPr="00F86F63" w:rsidRDefault="00692435" w:rsidP="00692435">
            <w:pPr>
              <w:rPr>
                <w:sz w:val="22"/>
                <w:szCs w:val="22"/>
              </w:rPr>
            </w:pPr>
            <w:r>
              <w:rPr>
                <w:sz w:val="22"/>
                <w:szCs w:val="22"/>
              </w:rPr>
              <w:t>58</w:t>
            </w:r>
          </w:p>
        </w:tc>
        <w:tc>
          <w:tcPr>
            <w:tcW w:w="1125" w:type="dxa"/>
          </w:tcPr>
          <w:p w14:paraId="5AC5FC2C" w14:textId="5C12CD62" w:rsidR="00692435" w:rsidRPr="00F86F63" w:rsidRDefault="00692435" w:rsidP="00EB7427">
            <w:pPr>
              <w:rPr>
                <w:sz w:val="22"/>
                <w:szCs w:val="22"/>
              </w:rPr>
            </w:pPr>
            <w:r>
              <w:rPr>
                <w:sz w:val="22"/>
                <w:szCs w:val="22"/>
              </w:rPr>
              <w:t>47</w:t>
            </w:r>
            <w:r w:rsidR="00EB7427">
              <w:rPr>
                <w:sz w:val="22"/>
                <w:szCs w:val="22"/>
              </w:rPr>
              <w:t xml:space="preserve"> </w:t>
            </w:r>
            <w:proofErr w:type="spellStart"/>
            <w:r w:rsidR="00EB7427">
              <w:rPr>
                <w:sz w:val="22"/>
                <w:szCs w:val="22"/>
              </w:rPr>
              <w:t>ff</w:t>
            </w:r>
            <w:proofErr w:type="spellEnd"/>
          </w:p>
        </w:tc>
        <w:tc>
          <w:tcPr>
            <w:tcW w:w="8145" w:type="dxa"/>
            <w:gridSpan w:val="2"/>
          </w:tcPr>
          <w:p w14:paraId="786809CF" w14:textId="50F0F981" w:rsidR="00692435" w:rsidRPr="00F86F63" w:rsidRDefault="00692435" w:rsidP="00692435">
            <w:pPr>
              <w:rPr>
                <w:sz w:val="22"/>
                <w:szCs w:val="22"/>
              </w:rPr>
            </w:pPr>
            <w:r>
              <w:rPr>
                <w:sz w:val="22"/>
                <w:szCs w:val="22"/>
              </w:rPr>
              <w:t xml:space="preserve">The claim that genome editing allows for modifications that would not otherwise naturally arise is in complete ignorance of the entire body of knowledge regarding Darwin’s theory of evolution by means of natural selection. The cited work grossly misrepresents statements made in original research that is cited in support of these absurd claims. For example, </w:t>
            </w:r>
            <w:r w:rsidRPr="00B12126">
              <w:rPr>
                <w:sz w:val="22"/>
                <w:szCs w:val="22"/>
                <w:lang w:val="en-US"/>
              </w:rPr>
              <w:t xml:space="preserve">Monroe, J. G., Srikant, T., </w:t>
            </w:r>
            <w:proofErr w:type="spellStart"/>
            <w:r w:rsidRPr="00B12126">
              <w:rPr>
                <w:sz w:val="22"/>
                <w:szCs w:val="22"/>
                <w:lang w:val="en-US"/>
              </w:rPr>
              <w:t>Carbonell-Bejerano</w:t>
            </w:r>
            <w:proofErr w:type="spellEnd"/>
            <w:r w:rsidRPr="00B12126">
              <w:rPr>
                <w:sz w:val="22"/>
                <w:szCs w:val="22"/>
                <w:lang w:val="en-US"/>
              </w:rPr>
              <w:t xml:space="preserve">, P., Exposito-Alonso, M., Weng M.-L., Rutter, M. T., Fenster, C. B., and Weigel, D. </w:t>
            </w:r>
            <w:r>
              <w:rPr>
                <w:sz w:val="22"/>
                <w:szCs w:val="22"/>
                <w:lang w:val="en-US"/>
              </w:rPr>
              <w:t>(</w:t>
            </w:r>
            <w:r w:rsidRPr="00B12126">
              <w:rPr>
                <w:sz w:val="22"/>
                <w:szCs w:val="22"/>
                <w:lang w:val="en-US"/>
              </w:rPr>
              <w:t>2020</w:t>
            </w:r>
            <w:r>
              <w:rPr>
                <w:sz w:val="22"/>
                <w:szCs w:val="22"/>
                <w:lang w:val="en-US"/>
              </w:rPr>
              <w:t>)</w:t>
            </w:r>
            <w:r w:rsidRPr="00B12126">
              <w:rPr>
                <w:sz w:val="22"/>
                <w:szCs w:val="22"/>
                <w:lang w:val="en-US"/>
              </w:rPr>
              <w:t xml:space="preserve"> Mutation bias shapes gene evolution in </w:t>
            </w:r>
            <w:r w:rsidRPr="00B12126">
              <w:rPr>
                <w:i/>
                <w:sz w:val="22"/>
                <w:szCs w:val="22"/>
                <w:lang w:val="en-US"/>
              </w:rPr>
              <w:t>Arabidopsis thaliana</w:t>
            </w:r>
            <w:r w:rsidRPr="00B12126">
              <w:rPr>
                <w:sz w:val="22"/>
                <w:szCs w:val="22"/>
                <w:lang w:val="en-US"/>
              </w:rPr>
              <w:t>. bioRxiv 156752</w:t>
            </w:r>
            <w:r>
              <w:rPr>
                <w:sz w:val="22"/>
                <w:szCs w:val="22"/>
                <w:lang w:val="en-US"/>
              </w:rPr>
              <w:t xml:space="preserve"> </w:t>
            </w:r>
            <w:r>
              <w:t xml:space="preserve"> </w:t>
            </w:r>
            <w:hyperlink r:id="rId8" w:history="1">
              <w:r w:rsidRPr="00DE727D">
                <w:rPr>
                  <w:rStyle w:val="Hyperlink"/>
                  <w:sz w:val="22"/>
                  <w:szCs w:val="22"/>
                  <w:lang w:val="en-US"/>
                </w:rPr>
                <w:t>https://doi.org/10.1101/2020.06.17.156752</w:t>
              </w:r>
            </w:hyperlink>
            <w:r>
              <w:rPr>
                <w:sz w:val="22"/>
                <w:szCs w:val="22"/>
                <w:lang w:val="en-US"/>
              </w:rPr>
              <w:t xml:space="preserve">, states that mutations are less likely at some sites in the genome than others but does not claim that mutations at some sites are impossible, as misrepresented by </w:t>
            </w:r>
            <w:r>
              <w:t xml:space="preserve">the </w:t>
            </w:r>
            <w:proofErr w:type="spellStart"/>
            <w:r>
              <w:t>Kawall</w:t>
            </w:r>
            <w:proofErr w:type="spellEnd"/>
            <w:r>
              <w:t xml:space="preserve"> et al. reference cited in the report (</w:t>
            </w:r>
            <w:proofErr w:type="spellStart"/>
            <w:r w:rsidRPr="00B12126">
              <w:rPr>
                <w:sz w:val="22"/>
                <w:szCs w:val="22"/>
                <w:lang w:val="en-US"/>
              </w:rPr>
              <w:t>Kawall</w:t>
            </w:r>
            <w:proofErr w:type="spellEnd"/>
            <w:r w:rsidRPr="00B12126">
              <w:rPr>
                <w:sz w:val="22"/>
                <w:szCs w:val="22"/>
                <w:lang w:val="en-US"/>
              </w:rPr>
              <w:t xml:space="preserve">, K., Cotter, J., &amp; Then, C. (2020). Broadening the GMO risk assessment in the EU for genome 6 editing technologies in agriculture. Environmental Sciences Europe, 32(1), 106. 7 </w:t>
            </w:r>
            <w:hyperlink r:id="rId9" w:history="1">
              <w:r w:rsidRPr="00DE727D">
                <w:rPr>
                  <w:rStyle w:val="Hyperlink"/>
                  <w:sz w:val="22"/>
                  <w:szCs w:val="22"/>
                  <w:lang w:val="en-US"/>
                </w:rPr>
                <w:t>https://doi.org/10.1186/s12302-020-00361-2</w:t>
              </w:r>
            </w:hyperlink>
            <w:r>
              <w:rPr>
                <w:sz w:val="22"/>
                <w:szCs w:val="22"/>
                <w:lang w:val="en-US"/>
              </w:rPr>
              <w:t>).</w:t>
            </w:r>
          </w:p>
        </w:tc>
      </w:tr>
      <w:tr w:rsidR="00EB7427" w:rsidRPr="00AD22DE" w14:paraId="11190DAF" w14:textId="77777777" w:rsidTr="00135D96">
        <w:trPr>
          <w:cantSplit/>
          <w:trHeight w:val="233"/>
        </w:trPr>
        <w:tc>
          <w:tcPr>
            <w:tcW w:w="918" w:type="dxa"/>
          </w:tcPr>
          <w:p w14:paraId="60494DA9" w14:textId="092EB1D1" w:rsidR="00EB7427" w:rsidRDefault="00EB7427" w:rsidP="00692435">
            <w:pPr>
              <w:rPr>
                <w:sz w:val="22"/>
                <w:szCs w:val="22"/>
              </w:rPr>
            </w:pPr>
            <w:r>
              <w:rPr>
                <w:sz w:val="22"/>
                <w:szCs w:val="22"/>
              </w:rPr>
              <w:t>61</w:t>
            </w:r>
          </w:p>
        </w:tc>
        <w:tc>
          <w:tcPr>
            <w:tcW w:w="1125" w:type="dxa"/>
          </w:tcPr>
          <w:p w14:paraId="77354088" w14:textId="6A401EC1" w:rsidR="00EB7427" w:rsidRDefault="00EB7427" w:rsidP="00EB7427">
            <w:pPr>
              <w:rPr>
                <w:sz w:val="22"/>
                <w:szCs w:val="22"/>
              </w:rPr>
            </w:pPr>
            <w:r>
              <w:rPr>
                <w:sz w:val="22"/>
                <w:szCs w:val="22"/>
              </w:rPr>
              <w:t xml:space="preserve">7 </w:t>
            </w:r>
            <w:proofErr w:type="spellStart"/>
            <w:r>
              <w:rPr>
                <w:sz w:val="22"/>
                <w:szCs w:val="22"/>
              </w:rPr>
              <w:t>ff</w:t>
            </w:r>
            <w:proofErr w:type="spellEnd"/>
          </w:p>
        </w:tc>
        <w:tc>
          <w:tcPr>
            <w:tcW w:w="8145" w:type="dxa"/>
            <w:gridSpan w:val="2"/>
          </w:tcPr>
          <w:p w14:paraId="50F99013" w14:textId="668D29AD" w:rsidR="00EB7427" w:rsidRDefault="00EB7427" w:rsidP="00EB7427">
            <w:pPr>
              <w:rPr>
                <w:sz w:val="22"/>
                <w:szCs w:val="22"/>
              </w:rPr>
            </w:pPr>
            <w:r w:rsidRPr="00EB7427">
              <w:rPr>
                <w:sz w:val="22"/>
                <w:szCs w:val="22"/>
              </w:rPr>
              <w:t xml:space="preserve">It is not clear how the discussion </w:t>
            </w:r>
            <w:proofErr w:type="gramStart"/>
            <w:r w:rsidRPr="00EB7427">
              <w:rPr>
                <w:sz w:val="22"/>
                <w:szCs w:val="22"/>
              </w:rPr>
              <w:t>on</w:t>
            </w:r>
            <w:r>
              <w:rPr>
                <w:sz w:val="22"/>
                <w:szCs w:val="22"/>
              </w:rPr>
              <w:t xml:space="preserve"> </w:t>
            </w:r>
            <w:r w:rsidRPr="00EB7427">
              <w:rPr>
                <w:sz w:val="22"/>
                <w:szCs w:val="22"/>
              </w:rPr>
              <w:t>”</w:t>
            </w:r>
            <w:proofErr w:type="gramEnd"/>
            <w:r w:rsidRPr="00EB7427">
              <w:rPr>
                <w:sz w:val="22"/>
                <w:szCs w:val="22"/>
              </w:rPr>
              <w:t xml:space="preserve">off-target” effects in plants with genomes of different sizes informs on specific risks. </w:t>
            </w:r>
            <w:proofErr w:type="spellStart"/>
            <w:r w:rsidRPr="00EB7427">
              <w:rPr>
                <w:sz w:val="22"/>
                <w:szCs w:val="22"/>
              </w:rPr>
              <w:t>CrispR</w:t>
            </w:r>
            <w:proofErr w:type="spellEnd"/>
            <w:r w:rsidRPr="00EB7427">
              <w:rPr>
                <w:sz w:val="22"/>
                <w:szCs w:val="22"/>
              </w:rPr>
              <w:t xml:space="preserve"> is in fact, a cleaner technology than </w:t>
            </w:r>
            <w:r w:rsidRPr="00EB7427">
              <w:rPr>
                <w:sz w:val="22"/>
                <w:szCs w:val="22"/>
              </w:rPr>
              <w:lastRenderedPageBreak/>
              <w:t>classical mutagenesis (which is already proven safe and societally valuable with currently used crop varieties), and now with whole-genome sequencing, the genetic material considered in each case</w:t>
            </w:r>
            <w:r>
              <w:rPr>
                <w:sz w:val="22"/>
                <w:szCs w:val="22"/>
              </w:rPr>
              <w:t xml:space="preserve"> can be precisely evaluated. Further </w:t>
            </w:r>
            <w:r w:rsidRPr="00EB7427">
              <w:rPr>
                <w:sz w:val="22"/>
                <w:szCs w:val="22"/>
              </w:rPr>
              <w:t>“Largely missing from this conversation, however, is attention to local communities in decision-making which are likely to be the first to feel any potential impact from these applications (</w:t>
            </w:r>
            <w:proofErr w:type="spellStart"/>
            <w:r w:rsidRPr="00EB7427">
              <w:rPr>
                <w:sz w:val="22"/>
                <w:szCs w:val="22"/>
              </w:rPr>
              <w:t>Kofler</w:t>
            </w:r>
            <w:proofErr w:type="spellEnd"/>
            <w:r w:rsidRPr="00EB7427">
              <w:rPr>
                <w:sz w:val="22"/>
                <w:szCs w:val="22"/>
              </w:rPr>
              <w:t xml:space="preserve"> et al., 2018)”. It is unclear what type of cost that local communities will bear e.g. upon the cultivation of a maize </w:t>
            </w:r>
            <w:proofErr w:type="spellStart"/>
            <w:r w:rsidRPr="00EB7427">
              <w:rPr>
                <w:sz w:val="22"/>
                <w:szCs w:val="22"/>
              </w:rPr>
              <w:t>CrispR</w:t>
            </w:r>
            <w:proofErr w:type="spellEnd"/>
            <w:r w:rsidRPr="00EB7427">
              <w:rPr>
                <w:sz w:val="22"/>
                <w:szCs w:val="22"/>
              </w:rPr>
              <w:t xml:space="preserve"> line.</w:t>
            </w:r>
          </w:p>
        </w:tc>
      </w:tr>
      <w:tr w:rsidR="00692435" w:rsidRPr="00AD22DE" w14:paraId="12F556C9" w14:textId="77777777" w:rsidTr="00135D96">
        <w:trPr>
          <w:cantSplit/>
          <w:trHeight w:val="233"/>
        </w:trPr>
        <w:tc>
          <w:tcPr>
            <w:tcW w:w="918" w:type="dxa"/>
          </w:tcPr>
          <w:p w14:paraId="114ECD33" w14:textId="47A0994A" w:rsidR="00692435" w:rsidRPr="00F86F63" w:rsidRDefault="00692435" w:rsidP="00692435">
            <w:pPr>
              <w:rPr>
                <w:sz w:val="22"/>
                <w:szCs w:val="22"/>
              </w:rPr>
            </w:pPr>
            <w:r>
              <w:rPr>
                <w:sz w:val="22"/>
                <w:szCs w:val="22"/>
              </w:rPr>
              <w:lastRenderedPageBreak/>
              <w:t>67</w:t>
            </w:r>
          </w:p>
        </w:tc>
        <w:tc>
          <w:tcPr>
            <w:tcW w:w="1125" w:type="dxa"/>
          </w:tcPr>
          <w:p w14:paraId="1722E8E8" w14:textId="59018DC7" w:rsidR="00692435" w:rsidRPr="00F86F63" w:rsidRDefault="00692435" w:rsidP="00EB7427">
            <w:pPr>
              <w:rPr>
                <w:sz w:val="22"/>
                <w:szCs w:val="22"/>
              </w:rPr>
            </w:pPr>
            <w:r>
              <w:rPr>
                <w:sz w:val="22"/>
                <w:szCs w:val="22"/>
              </w:rPr>
              <w:t>11</w:t>
            </w:r>
            <w:r w:rsidR="00EB7427">
              <w:rPr>
                <w:sz w:val="22"/>
                <w:szCs w:val="22"/>
              </w:rPr>
              <w:t xml:space="preserve"> </w:t>
            </w:r>
            <w:proofErr w:type="spellStart"/>
            <w:r w:rsidR="00EB7427">
              <w:rPr>
                <w:sz w:val="22"/>
                <w:szCs w:val="22"/>
              </w:rPr>
              <w:t>ff</w:t>
            </w:r>
            <w:proofErr w:type="spellEnd"/>
          </w:p>
        </w:tc>
        <w:tc>
          <w:tcPr>
            <w:tcW w:w="8145" w:type="dxa"/>
            <w:gridSpan w:val="2"/>
          </w:tcPr>
          <w:p w14:paraId="314DDBC8" w14:textId="72E17A66" w:rsidR="00692435" w:rsidRPr="00F86F63" w:rsidRDefault="00692435" w:rsidP="00692435">
            <w:pPr>
              <w:rPr>
                <w:sz w:val="22"/>
                <w:szCs w:val="22"/>
              </w:rPr>
            </w:pPr>
            <w:r>
              <w:rPr>
                <w:sz w:val="22"/>
                <w:szCs w:val="22"/>
              </w:rPr>
              <w:t xml:space="preserve">The discussion of detection of genome edits reflects a thorough lack of understanding of limitation of such detection methods. For a more balanced and nuanced treatment of the matter, see, for example, </w:t>
            </w:r>
            <w:r w:rsidRPr="00B12126">
              <w:rPr>
                <w:sz w:val="22"/>
                <w:szCs w:val="22"/>
              </w:rPr>
              <w:t>Huang, S., Weigel, D., Beachy, R. N., and Li, J. (2016) A proposed regulatory framework for genome-edited crops. Nat. Genet. 48, 109-111</w:t>
            </w:r>
            <w:r>
              <w:rPr>
                <w:sz w:val="22"/>
                <w:szCs w:val="22"/>
              </w:rPr>
              <w:t xml:space="preserve"> </w:t>
            </w:r>
            <w:hyperlink r:id="rId10" w:history="1">
              <w:r w:rsidRPr="00DE727D">
                <w:rPr>
                  <w:rStyle w:val="Hyperlink"/>
                  <w:sz w:val="22"/>
                  <w:szCs w:val="22"/>
                </w:rPr>
                <w:t>https://doi.org/10.1038/ng.3484</w:t>
              </w:r>
            </w:hyperlink>
            <w:r>
              <w:rPr>
                <w:sz w:val="22"/>
                <w:szCs w:val="22"/>
              </w:rPr>
              <w:t xml:space="preserve">. </w:t>
            </w:r>
          </w:p>
        </w:tc>
      </w:tr>
      <w:tr w:rsidR="00EB7427" w:rsidRPr="00AD22DE" w14:paraId="318086AA" w14:textId="77777777" w:rsidTr="00135D96">
        <w:trPr>
          <w:cantSplit/>
          <w:trHeight w:val="233"/>
        </w:trPr>
        <w:tc>
          <w:tcPr>
            <w:tcW w:w="918" w:type="dxa"/>
          </w:tcPr>
          <w:p w14:paraId="53CE9F8B" w14:textId="2ABB0831" w:rsidR="00EB7427" w:rsidRDefault="00EB7427" w:rsidP="00692435">
            <w:pPr>
              <w:rPr>
                <w:sz w:val="22"/>
                <w:szCs w:val="22"/>
              </w:rPr>
            </w:pPr>
            <w:r>
              <w:rPr>
                <w:sz w:val="22"/>
                <w:szCs w:val="22"/>
              </w:rPr>
              <w:t>109</w:t>
            </w:r>
          </w:p>
        </w:tc>
        <w:tc>
          <w:tcPr>
            <w:tcW w:w="1125" w:type="dxa"/>
          </w:tcPr>
          <w:p w14:paraId="38CB74C9" w14:textId="2BA8F731" w:rsidR="00EB7427" w:rsidRDefault="00EB7427" w:rsidP="00692435">
            <w:pPr>
              <w:rPr>
                <w:sz w:val="22"/>
                <w:szCs w:val="22"/>
              </w:rPr>
            </w:pPr>
            <w:r>
              <w:rPr>
                <w:sz w:val="22"/>
                <w:szCs w:val="22"/>
              </w:rPr>
              <w:t xml:space="preserve">85 </w:t>
            </w:r>
            <w:proofErr w:type="spellStart"/>
            <w:r>
              <w:rPr>
                <w:sz w:val="22"/>
                <w:szCs w:val="22"/>
              </w:rPr>
              <w:t>ff</w:t>
            </w:r>
            <w:proofErr w:type="spellEnd"/>
          </w:p>
        </w:tc>
        <w:tc>
          <w:tcPr>
            <w:tcW w:w="8145" w:type="dxa"/>
            <w:gridSpan w:val="2"/>
          </w:tcPr>
          <w:p w14:paraId="704C12F7" w14:textId="50CCF93B" w:rsidR="00EB7427" w:rsidRDefault="00EB7427" w:rsidP="00EB7427">
            <w:pPr>
              <w:rPr>
                <w:sz w:val="22"/>
                <w:szCs w:val="22"/>
              </w:rPr>
            </w:pPr>
            <w:r w:rsidRPr="00EB7427">
              <w:rPr>
                <w:sz w:val="22"/>
                <w:szCs w:val="22"/>
              </w:rPr>
              <w:t xml:space="preserve"> “</w:t>
            </w:r>
            <w:proofErr w:type="gramStart"/>
            <w:r w:rsidRPr="00EB7427">
              <w:rPr>
                <w:sz w:val="22"/>
                <w:szCs w:val="22"/>
              </w:rPr>
              <w:t>potential</w:t>
            </w:r>
            <w:proofErr w:type="gramEnd"/>
            <w:r w:rsidRPr="00EB7427">
              <w:rPr>
                <w:sz w:val="22"/>
                <w:szCs w:val="22"/>
              </w:rPr>
              <w:t xml:space="preserve"> impacts of very low probability but very high magnitude”. This statement is so broad that it is very difficult to discuss properly.</w:t>
            </w:r>
            <w:r>
              <w:rPr>
                <w:sz w:val="22"/>
                <w:szCs w:val="22"/>
              </w:rPr>
              <w:t xml:space="preserve"> S</w:t>
            </w:r>
            <w:r w:rsidRPr="00EB7427">
              <w:rPr>
                <w:sz w:val="22"/>
                <w:szCs w:val="22"/>
              </w:rPr>
              <w:t>uch considerations make sense to discuss only when evaluating a specific, pre-defined, concrete risk situation.</w:t>
            </w:r>
          </w:p>
        </w:tc>
      </w:tr>
      <w:tr w:rsidR="00692435" w:rsidRPr="00C658CD" w14:paraId="6817A6D0" w14:textId="77777777" w:rsidTr="00135D96">
        <w:trPr>
          <w:cantSplit/>
          <w:trHeight w:val="233"/>
        </w:trPr>
        <w:tc>
          <w:tcPr>
            <w:tcW w:w="918" w:type="dxa"/>
          </w:tcPr>
          <w:p w14:paraId="4455D7DB" w14:textId="77777777" w:rsidR="00692435" w:rsidRPr="00F86F63" w:rsidRDefault="00692435" w:rsidP="00692435">
            <w:pPr>
              <w:rPr>
                <w:sz w:val="22"/>
                <w:szCs w:val="22"/>
              </w:rPr>
            </w:pPr>
          </w:p>
        </w:tc>
        <w:tc>
          <w:tcPr>
            <w:tcW w:w="1125" w:type="dxa"/>
          </w:tcPr>
          <w:p w14:paraId="2C46BB89" w14:textId="77777777" w:rsidR="00692435" w:rsidRPr="00F86F63" w:rsidRDefault="00692435" w:rsidP="00692435">
            <w:pPr>
              <w:rPr>
                <w:sz w:val="22"/>
                <w:szCs w:val="22"/>
              </w:rPr>
            </w:pPr>
          </w:p>
        </w:tc>
        <w:tc>
          <w:tcPr>
            <w:tcW w:w="8145" w:type="dxa"/>
            <w:gridSpan w:val="2"/>
          </w:tcPr>
          <w:p w14:paraId="30953B7B" w14:textId="77777777" w:rsidR="00692435" w:rsidRPr="00C658CD" w:rsidRDefault="00692435" w:rsidP="00692435">
            <w:pPr>
              <w:rPr>
                <w:sz w:val="22"/>
                <w:szCs w:val="22"/>
              </w:rPr>
            </w:pPr>
            <w:r w:rsidRPr="00C658CD">
              <w:rPr>
                <w:sz w:val="22"/>
                <w:szCs w:val="22"/>
              </w:rPr>
              <w:t>Additional rows can be added to this table by selecting “Table” followed by “insert” and “rows below”</w:t>
            </w:r>
          </w:p>
        </w:tc>
      </w:tr>
    </w:tbl>
    <w:p w14:paraId="6E675E30" w14:textId="77777777" w:rsidR="00593BC6" w:rsidRDefault="00593BC6" w:rsidP="00593BC6">
      <w:pPr>
        <w:tabs>
          <w:tab w:val="left" w:pos="7020"/>
        </w:tabs>
        <w:ind w:right="44"/>
        <w:jc w:val="both"/>
        <w:rPr>
          <w:szCs w:val="22"/>
        </w:rPr>
      </w:pPr>
    </w:p>
    <w:p w14:paraId="0E955578" w14:textId="77777777" w:rsidR="00593BC6" w:rsidRDefault="00593BC6" w:rsidP="00593BC6">
      <w:pPr>
        <w:tabs>
          <w:tab w:val="left" w:pos="7020"/>
        </w:tabs>
        <w:ind w:right="44"/>
        <w:jc w:val="both"/>
        <w:rPr>
          <w:szCs w:val="22"/>
        </w:rPr>
      </w:pPr>
    </w:p>
    <w:p w14:paraId="11FCA427" w14:textId="77777777" w:rsidR="00593BC6" w:rsidRDefault="00593BC6" w:rsidP="00593BC6">
      <w:pPr>
        <w:tabs>
          <w:tab w:val="left" w:pos="7020"/>
        </w:tabs>
        <w:ind w:right="44"/>
        <w:jc w:val="both"/>
        <w:rPr>
          <w:szCs w:val="22"/>
        </w:rPr>
      </w:pPr>
    </w:p>
    <w:p w14:paraId="2432318E" w14:textId="1E7BC26A" w:rsidR="004D6145" w:rsidRPr="00593BC6" w:rsidRDefault="00593BC6" w:rsidP="004B6042">
      <w:pPr>
        <w:pStyle w:val="Footer"/>
        <w:jc w:val="center"/>
        <w:rPr>
          <w:lang w:val="en-CA"/>
        </w:rPr>
      </w:pPr>
      <w:r w:rsidRPr="00C658CD">
        <w:rPr>
          <w:sz w:val="22"/>
          <w:szCs w:val="22"/>
          <w:lang w:val="en-CA"/>
        </w:rPr>
        <w:t>Please submit your comments t</w:t>
      </w:r>
      <w:bookmarkStart w:id="0" w:name="_GoBack"/>
      <w:bookmarkEnd w:id="0"/>
      <w:r w:rsidRPr="00C658CD">
        <w:rPr>
          <w:sz w:val="22"/>
          <w:szCs w:val="22"/>
          <w:lang w:val="en-CA"/>
        </w:rPr>
        <w:t xml:space="preserve">o </w:t>
      </w:r>
      <w:hyperlink r:id="rId11" w:history="1">
        <w:r w:rsidRPr="00C658CD">
          <w:rPr>
            <w:rStyle w:val="Hyperlink"/>
            <w:sz w:val="22"/>
            <w:szCs w:val="22"/>
            <w:lang w:val="en-CA"/>
          </w:rPr>
          <w:t>secretariat@cbd.int</w:t>
        </w:r>
      </w:hyperlink>
      <w:r w:rsidRPr="00C658CD">
        <w:rPr>
          <w:sz w:val="22"/>
          <w:szCs w:val="22"/>
          <w:lang w:val="en-CA"/>
        </w:rPr>
        <w:t>.</w:t>
      </w:r>
    </w:p>
    <w:sectPr w:rsidR="004D6145" w:rsidRPr="00593BC6" w:rsidSect="00EA105F">
      <w:headerReference w:type="first" r:id="rId12"/>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C9F3A" w14:textId="77777777" w:rsidR="0028487D" w:rsidRDefault="0028487D" w:rsidP="00593BC6">
      <w:r>
        <w:separator/>
      </w:r>
    </w:p>
  </w:endnote>
  <w:endnote w:type="continuationSeparator" w:id="0">
    <w:p w14:paraId="585B9D85" w14:textId="77777777" w:rsidR="0028487D" w:rsidRDefault="0028487D"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18332" w14:textId="77777777" w:rsidR="0028487D" w:rsidRDefault="0028487D" w:rsidP="00593BC6">
      <w:r>
        <w:separator/>
      </w:r>
    </w:p>
  </w:footnote>
  <w:footnote w:type="continuationSeparator" w:id="0">
    <w:p w14:paraId="69806AA5" w14:textId="77777777" w:rsidR="0028487D" w:rsidRDefault="0028487D" w:rsidP="0059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1991" w14:textId="77777777" w:rsidR="00EA105F" w:rsidRDefault="00EA105F" w:rsidP="00EA105F">
    <w:pPr>
      <w:pStyle w:val="Header"/>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554DD"/>
    <w:multiLevelType w:val="hybridMultilevel"/>
    <w:tmpl w:val="0A4A1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BC6"/>
    <w:rsid w:val="00054613"/>
    <w:rsid w:val="000569AC"/>
    <w:rsid w:val="00091F4D"/>
    <w:rsid w:val="000A54FC"/>
    <w:rsid w:val="000C7310"/>
    <w:rsid w:val="000D6227"/>
    <w:rsid w:val="000E0195"/>
    <w:rsid w:val="000E2E07"/>
    <w:rsid w:val="001212A8"/>
    <w:rsid w:val="00135D96"/>
    <w:rsid w:val="001C4BC4"/>
    <w:rsid w:val="00226ED1"/>
    <w:rsid w:val="0024383F"/>
    <w:rsid w:val="0028487D"/>
    <w:rsid w:val="00293F84"/>
    <w:rsid w:val="0032155A"/>
    <w:rsid w:val="00363EF2"/>
    <w:rsid w:val="003925B2"/>
    <w:rsid w:val="00393449"/>
    <w:rsid w:val="003C2E13"/>
    <w:rsid w:val="003C5737"/>
    <w:rsid w:val="00430349"/>
    <w:rsid w:val="004748F2"/>
    <w:rsid w:val="004A7CD7"/>
    <w:rsid w:val="004B6042"/>
    <w:rsid w:val="004D6145"/>
    <w:rsid w:val="004E16E2"/>
    <w:rsid w:val="004E426F"/>
    <w:rsid w:val="00524BE0"/>
    <w:rsid w:val="0052797D"/>
    <w:rsid w:val="005411E6"/>
    <w:rsid w:val="00550EF8"/>
    <w:rsid w:val="00593BC6"/>
    <w:rsid w:val="00594E31"/>
    <w:rsid w:val="005C4C24"/>
    <w:rsid w:val="005D4C67"/>
    <w:rsid w:val="00652D1D"/>
    <w:rsid w:val="00692435"/>
    <w:rsid w:val="00735FF1"/>
    <w:rsid w:val="00745A82"/>
    <w:rsid w:val="00780EC4"/>
    <w:rsid w:val="00854B69"/>
    <w:rsid w:val="00872EB7"/>
    <w:rsid w:val="008C05B8"/>
    <w:rsid w:val="00975B19"/>
    <w:rsid w:val="00991F51"/>
    <w:rsid w:val="00A05BE6"/>
    <w:rsid w:val="00A545C6"/>
    <w:rsid w:val="00AD22DE"/>
    <w:rsid w:val="00B12126"/>
    <w:rsid w:val="00B30682"/>
    <w:rsid w:val="00B373CC"/>
    <w:rsid w:val="00B662B0"/>
    <w:rsid w:val="00BA7AD5"/>
    <w:rsid w:val="00BB14D8"/>
    <w:rsid w:val="00BD5D26"/>
    <w:rsid w:val="00C33566"/>
    <w:rsid w:val="00C36E3F"/>
    <w:rsid w:val="00C4702E"/>
    <w:rsid w:val="00C73961"/>
    <w:rsid w:val="00D37007"/>
    <w:rsid w:val="00D60758"/>
    <w:rsid w:val="00D97576"/>
    <w:rsid w:val="00DD4F55"/>
    <w:rsid w:val="00E227B2"/>
    <w:rsid w:val="00EA105F"/>
    <w:rsid w:val="00EB7427"/>
    <w:rsid w:val="00F73C17"/>
    <w:rsid w:val="00F754C0"/>
    <w:rsid w:val="00F8658F"/>
    <w:rsid w:val="00F86F63"/>
    <w:rsid w:val="00F94D0C"/>
    <w:rsid w:val="00FB07C1"/>
    <w:rsid w:val="00FB1BA9"/>
    <w:rsid w:val="00FE279B"/>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5135"/>
  <w15:docId w15:val="{2EF4503E-AC8B-4C4E-A148-C22CF5937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3BC6"/>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3BC6"/>
    <w:pPr>
      <w:tabs>
        <w:tab w:val="center" w:pos="4320"/>
        <w:tab w:val="right" w:pos="8640"/>
      </w:tabs>
    </w:pPr>
  </w:style>
  <w:style w:type="character" w:customStyle="1" w:styleId="HeaderChar">
    <w:name w:val="Header Char"/>
    <w:link w:val="Header"/>
    <w:rsid w:val="00593BC6"/>
    <w:rPr>
      <w:rFonts w:ascii="Times New Roman" w:eastAsia="Times New Roman" w:hAnsi="Times New Roman" w:cs="Times New Roman"/>
      <w:sz w:val="24"/>
      <w:szCs w:val="24"/>
      <w:lang w:val="en-GB" w:eastAsia="en-CA"/>
    </w:rPr>
  </w:style>
  <w:style w:type="paragraph" w:styleId="Footer">
    <w:name w:val="footer"/>
    <w:basedOn w:val="Normal"/>
    <w:link w:val="FooterChar"/>
    <w:rsid w:val="00593BC6"/>
    <w:pPr>
      <w:tabs>
        <w:tab w:val="center" w:pos="4320"/>
        <w:tab w:val="right" w:pos="8640"/>
      </w:tabs>
    </w:pPr>
  </w:style>
  <w:style w:type="character" w:customStyle="1" w:styleId="FooterChar">
    <w:name w:val="Footer Char"/>
    <w:link w:val="Footer"/>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BalloonText">
    <w:name w:val="Balloon Text"/>
    <w:basedOn w:val="Normal"/>
    <w:link w:val="BalloonTextChar"/>
    <w:uiPriority w:val="99"/>
    <w:semiHidden/>
    <w:unhideWhenUsed/>
    <w:rsid w:val="00054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613"/>
    <w:rPr>
      <w:rFonts w:ascii="Segoe UI" w:eastAsia="Times New Roman" w:hAnsi="Segoe UI" w:cs="Segoe UI"/>
      <w:sz w:val="18"/>
      <w:szCs w:val="18"/>
      <w:lang w:val="en-GB"/>
    </w:rPr>
  </w:style>
  <w:style w:type="character" w:customStyle="1" w:styleId="UnresolvedMention">
    <w:name w:val="Unresolved Mention"/>
    <w:basedOn w:val="DefaultParagraphFont"/>
    <w:uiPriority w:val="99"/>
    <w:semiHidden/>
    <w:unhideWhenUsed/>
    <w:rsid w:val="00B12126"/>
    <w:rPr>
      <w:color w:val="605E5C"/>
      <w:shd w:val="clear" w:color="auto" w:fill="E1DFDD"/>
    </w:rPr>
  </w:style>
  <w:style w:type="paragraph" w:styleId="ListParagraph">
    <w:name w:val="List Paragraph"/>
    <w:basedOn w:val="Normal"/>
    <w:uiPriority w:val="34"/>
    <w:qFormat/>
    <w:rsid w:val="00550E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681885">
      <w:bodyDiv w:val="1"/>
      <w:marLeft w:val="0"/>
      <w:marRight w:val="0"/>
      <w:marTop w:val="0"/>
      <w:marBottom w:val="0"/>
      <w:divBdr>
        <w:top w:val="none" w:sz="0" w:space="0" w:color="auto"/>
        <w:left w:val="none" w:sz="0" w:space="0" w:color="auto"/>
        <w:bottom w:val="none" w:sz="0" w:space="0" w:color="auto"/>
        <w:right w:val="none" w:sz="0" w:space="0" w:color="auto"/>
      </w:divBdr>
    </w:div>
    <w:div w:id="1504782978">
      <w:bodyDiv w:val="1"/>
      <w:marLeft w:val="0"/>
      <w:marRight w:val="0"/>
      <w:marTop w:val="0"/>
      <w:marBottom w:val="0"/>
      <w:divBdr>
        <w:top w:val="none" w:sz="0" w:space="0" w:color="auto"/>
        <w:left w:val="none" w:sz="0" w:space="0" w:color="auto"/>
        <w:bottom w:val="none" w:sz="0" w:space="0" w:color="auto"/>
        <w:right w:val="none" w:sz="0" w:space="0" w:color="auto"/>
      </w:divBdr>
    </w:div>
    <w:div w:id="1690837742">
      <w:bodyDiv w:val="1"/>
      <w:marLeft w:val="0"/>
      <w:marRight w:val="0"/>
      <w:marTop w:val="0"/>
      <w:marBottom w:val="0"/>
      <w:divBdr>
        <w:top w:val="none" w:sz="0" w:space="0" w:color="auto"/>
        <w:left w:val="none" w:sz="0" w:space="0" w:color="auto"/>
        <w:bottom w:val="none" w:sz="0" w:space="0" w:color="auto"/>
        <w:right w:val="none" w:sz="0" w:space="0" w:color="auto"/>
      </w:divBdr>
    </w:div>
    <w:div w:id="190441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01/2020.06.17.1567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erb@mpi-marburg.mpg.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cretariat@cbd.int" TargetMode="External"/><Relationship Id="rId5" Type="http://schemas.openxmlformats.org/officeDocument/2006/relationships/footnotes" Target="footnotes.xml"/><Relationship Id="rId10" Type="http://schemas.openxmlformats.org/officeDocument/2006/relationships/hyperlink" Target="https://doi.org/10.1038/ng.3484" TargetMode="External"/><Relationship Id="rId4" Type="http://schemas.openxmlformats.org/officeDocument/2006/relationships/webSettings" Target="webSettings.xml"/><Relationship Id="rId9" Type="http://schemas.openxmlformats.org/officeDocument/2006/relationships/hyperlink" Target="https://doi.org/10.1186/s12302-020-00361-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1845</Words>
  <Characters>10518</Characters>
  <Application>Microsoft Office Word</Application>
  <DocSecurity>0</DocSecurity>
  <Lines>87</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SCBD</Company>
  <LinksUpToDate>false</LinksUpToDate>
  <CharactersWithSpaces>12339</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annie cung</dc:creator>
  <cp:lastModifiedBy>Erbt10</cp:lastModifiedBy>
  <cp:revision>3</cp:revision>
  <dcterms:created xsi:type="dcterms:W3CDTF">2021-07-06T22:25:00Z</dcterms:created>
  <dcterms:modified xsi:type="dcterms:W3CDTF">2021-07-06T22:32:00Z</dcterms:modified>
</cp:coreProperties>
</file>