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6FDFC" w14:textId="759E47D6" w:rsidR="00593BC6" w:rsidRDefault="00593BC6" w:rsidP="00593BC6">
      <w:pPr>
        <w:pStyle w:val="Encabezado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template for </w:t>
      </w:r>
      <w:r w:rsidR="00054613">
        <w:rPr>
          <w:rFonts w:ascii="Times New Roman Bold" w:hAnsi="Times New Roman Bold"/>
          <w:b/>
          <w:caps/>
          <w:sz w:val="22"/>
          <w:szCs w:val="22"/>
        </w:rPr>
        <w:t xml:space="preserve">Peer Review </w:t>
      </w: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comments </w:t>
      </w:r>
    </w:p>
    <w:p w14:paraId="4A29DF5F" w14:textId="5BA1BC6B" w:rsidR="007D2347" w:rsidRDefault="0032155A" w:rsidP="006210F8">
      <w:pPr>
        <w:pStyle w:val="Encabezado"/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Technical series on synthetic biology</w:t>
      </w:r>
    </w:p>
    <w:tbl>
      <w:tblPr>
        <w:tblpPr w:leftFromText="180" w:rightFromText="180" w:vertAnchor="page" w:horzAnchor="margin" w:tblpY="21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280"/>
        <w:gridCol w:w="104"/>
        <w:gridCol w:w="7895"/>
      </w:tblGrid>
      <w:tr w:rsidR="006210F8" w:rsidRPr="00C658CD" w14:paraId="78E02885" w14:textId="77777777" w:rsidTr="0057169D">
        <w:trPr>
          <w:cantSplit/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07CBA47A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</w:p>
          <w:p w14:paraId="2A718323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Contact information</w:t>
            </w:r>
          </w:p>
          <w:p w14:paraId="5FC08CA3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</w:p>
        </w:tc>
      </w:tr>
      <w:tr w:rsidR="006210F8" w:rsidRPr="00C658CD" w14:paraId="4B40998C" w14:textId="77777777" w:rsidTr="0057169D">
        <w:trPr>
          <w:cantSplit/>
          <w:trHeight w:val="270"/>
        </w:trPr>
        <w:tc>
          <w:tcPr>
            <w:tcW w:w="2293" w:type="dxa"/>
            <w:gridSpan w:val="3"/>
          </w:tcPr>
          <w:p w14:paraId="4A7F7851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7895" w:type="dxa"/>
          </w:tcPr>
          <w:p w14:paraId="17379AF6" w14:textId="77777777" w:rsidR="006210F8" w:rsidRPr="00C658CD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Regalado</w:t>
            </w:r>
          </w:p>
        </w:tc>
      </w:tr>
      <w:tr w:rsidR="006210F8" w:rsidRPr="00C658CD" w14:paraId="14037743" w14:textId="77777777" w:rsidTr="0057169D">
        <w:trPr>
          <w:cantSplit/>
          <w:trHeight w:val="280"/>
        </w:trPr>
        <w:tc>
          <w:tcPr>
            <w:tcW w:w="2293" w:type="dxa"/>
            <w:gridSpan w:val="3"/>
          </w:tcPr>
          <w:p w14:paraId="084F62F5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</w:p>
        </w:tc>
        <w:tc>
          <w:tcPr>
            <w:tcW w:w="7895" w:type="dxa"/>
          </w:tcPr>
          <w:p w14:paraId="68941556" w14:textId="77777777" w:rsidR="006210F8" w:rsidRPr="00C658CD" w:rsidRDefault="006210F8" w:rsidP="0057169D">
            <w:pPr>
              <w:rPr>
                <w:sz w:val="22"/>
                <w:szCs w:val="22"/>
              </w:rPr>
            </w:pPr>
          </w:p>
        </w:tc>
      </w:tr>
      <w:tr w:rsidR="006210F8" w:rsidRPr="00C658CD" w14:paraId="3736BE24" w14:textId="77777777" w:rsidTr="0057169D">
        <w:trPr>
          <w:cantSplit/>
          <w:trHeight w:val="270"/>
        </w:trPr>
        <w:tc>
          <w:tcPr>
            <w:tcW w:w="2293" w:type="dxa"/>
            <w:gridSpan w:val="3"/>
          </w:tcPr>
          <w:p w14:paraId="6402F1D8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Given Name:</w:t>
            </w:r>
          </w:p>
        </w:tc>
        <w:tc>
          <w:tcPr>
            <w:tcW w:w="7895" w:type="dxa"/>
          </w:tcPr>
          <w:p w14:paraId="6004E7A0" w14:textId="77777777" w:rsidR="006210F8" w:rsidRPr="00C658CD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Lazaro</w:t>
            </w:r>
          </w:p>
        </w:tc>
      </w:tr>
      <w:tr w:rsidR="006210F8" w:rsidRPr="00C658CD" w14:paraId="04BD7C33" w14:textId="77777777" w:rsidTr="0057169D">
        <w:trPr>
          <w:cantSplit/>
          <w:trHeight w:val="280"/>
        </w:trPr>
        <w:tc>
          <w:tcPr>
            <w:tcW w:w="2293" w:type="dxa"/>
            <w:gridSpan w:val="3"/>
          </w:tcPr>
          <w:p w14:paraId="4A293CD3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</w:p>
        </w:tc>
        <w:tc>
          <w:tcPr>
            <w:tcW w:w="7895" w:type="dxa"/>
          </w:tcPr>
          <w:p w14:paraId="2B0F4B03" w14:textId="77777777" w:rsidR="006210F8" w:rsidRPr="00C658CD" w:rsidRDefault="006210F8" w:rsidP="0057169D">
            <w:pPr>
              <w:rPr>
                <w:sz w:val="22"/>
                <w:szCs w:val="22"/>
              </w:rPr>
            </w:pPr>
          </w:p>
        </w:tc>
      </w:tr>
      <w:tr w:rsidR="006210F8" w:rsidRPr="00FF1A2A" w14:paraId="4BC31CBE" w14:textId="77777777" w:rsidTr="0057169D">
        <w:trPr>
          <w:cantSplit/>
          <w:trHeight w:val="270"/>
        </w:trPr>
        <w:tc>
          <w:tcPr>
            <w:tcW w:w="2293" w:type="dxa"/>
            <w:gridSpan w:val="3"/>
          </w:tcPr>
          <w:p w14:paraId="7452564A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Government</w:t>
            </w:r>
          </w:p>
        </w:tc>
        <w:tc>
          <w:tcPr>
            <w:tcW w:w="7895" w:type="dxa"/>
          </w:tcPr>
          <w:p w14:paraId="15C543B4" w14:textId="77777777" w:rsidR="006210F8" w:rsidRPr="00F86F63" w:rsidRDefault="006210F8" w:rsidP="0057169D">
            <w:pPr>
              <w:rPr>
                <w:sz w:val="22"/>
                <w:szCs w:val="22"/>
              </w:rPr>
            </w:pPr>
          </w:p>
        </w:tc>
      </w:tr>
      <w:tr w:rsidR="006210F8" w:rsidRPr="00C658CD" w14:paraId="0AF3C242" w14:textId="77777777" w:rsidTr="0057169D">
        <w:trPr>
          <w:cantSplit/>
          <w:trHeight w:val="280"/>
        </w:trPr>
        <w:tc>
          <w:tcPr>
            <w:tcW w:w="2293" w:type="dxa"/>
            <w:gridSpan w:val="3"/>
          </w:tcPr>
          <w:p w14:paraId="17328263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(if applicable):</w:t>
            </w:r>
          </w:p>
        </w:tc>
        <w:tc>
          <w:tcPr>
            <w:tcW w:w="7895" w:type="dxa"/>
          </w:tcPr>
          <w:p w14:paraId="07C0CFE2" w14:textId="77777777" w:rsidR="006210F8" w:rsidRPr="00C658CD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Cuba</w:t>
            </w:r>
          </w:p>
        </w:tc>
      </w:tr>
      <w:tr w:rsidR="006210F8" w:rsidRPr="00C658CD" w14:paraId="0E41FC35" w14:textId="77777777" w:rsidTr="0057169D">
        <w:trPr>
          <w:cantSplit/>
          <w:trHeight w:val="270"/>
        </w:trPr>
        <w:tc>
          <w:tcPr>
            <w:tcW w:w="2293" w:type="dxa"/>
            <w:gridSpan w:val="3"/>
          </w:tcPr>
          <w:p w14:paraId="44701772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</w:p>
        </w:tc>
        <w:tc>
          <w:tcPr>
            <w:tcW w:w="7895" w:type="dxa"/>
          </w:tcPr>
          <w:p w14:paraId="1B405678" w14:textId="77777777" w:rsidR="006210F8" w:rsidRPr="00C658CD" w:rsidRDefault="006210F8" w:rsidP="0057169D">
            <w:pPr>
              <w:rPr>
                <w:sz w:val="22"/>
                <w:szCs w:val="22"/>
              </w:rPr>
            </w:pPr>
          </w:p>
        </w:tc>
      </w:tr>
      <w:tr w:rsidR="006210F8" w:rsidRPr="00C658CD" w14:paraId="76BA35E8" w14:textId="77777777" w:rsidTr="0057169D">
        <w:trPr>
          <w:cantSplit/>
          <w:trHeight w:val="270"/>
        </w:trPr>
        <w:tc>
          <w:tcPr>
            <w:tcW w:w="2293" w:type="dxa"/>
            <w:gridSpan w:val="3"/>
          </w:tcPr>
          <w:p w14:paraId="14754317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7895" w:type="dxa"/>
          </w:tcPr>
          <w:p w14:paraId="719B87EB" w14:textId="77777777" w:rsidR="006210F8" w:rsidRPr="00C658CD" w:rsidRDefault="006210F8" w:rsidP="0057169D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Department of Biodiversity and Biosafety/ Office for Regulation and Environmental Safety (ORSA)/ Ministry of Science, Technology and Environment</w:t>
            </w:r>
          </w:p>
        </w:tc>
      </w:tr>
      <w:tr w:rsidR="006210F8" w:rsidRPr="00C658CD" w14:paraId="1E2B21DC" w14:textId="77777777" w:rsidTr="0057169D">
        <w:trPr>
          <w:cantSplit/>
          <w:trHeight w:val="233"/>
        </w:trPr>
        <w:tc>
          <w:tcPr>
            <w:tcW w:w="2293" w:type="dxa"/>
            <w:gridSpan w:val="3"/>
          </w:tcPr>
          <w:p w14:paraId="60B30914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</w:p>
        </w:tc>
        <w:tc>
          <w:tcPr>
            <w:tcW w:w="7895" w:type="dxa"/>
          </w:tcPr>
          <w:p w14:paraId="4F703196" w14:textId="77777777" w:rsidR="006210F8" w:rsidRPr="00C658CD" w:rsidRDefault="006210F8" w:rsidP="0057169D">
            <w:pPr>
              <w:rPr>
                <w:sz w:val="22"/>
                <w:szCs w:val="22"/>
              </w:rPr>
            </w:pPr>
          </w:p>
        </w:tc>
      </w:tr>
      <w:tr w:rsidR="006210F8" w:rsidRPr="00D708BC" w14:paraId="2B347BAE" w14:textId="77777777" w:rsidTr="0057169D">
        <w:trPr>
          <w:cantSplit/>
          <w:trHeight w:val="233"/>
        </w:trPr>
        <w:tc>
          <w:tcPr>
            <w:tcW w:w="2293" w:type="dxa"/>
            <w:gridSpan w:val="3"/>
          </w:tcPr>
          <w:p w14:paraId="77BEAAA4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895" w:type="dxa"/>
          </w:tcPr>
          <w:p w14:paraId="68A55ED8" w14:textId="77777777" w:rsidR="006210F8" w:rsidRPr="00D708BC" w:rsidRDefault="006210F8" w:rsidP="0057169D">
            <w:pPr>
              <w:rPr>
                <w:sz w:val="22"/>
                <w:szCs w:val="22"/>
              </w:rPr>
            </w:pPr>
            <w:hyperlink r:id="rId6" w:history="1">
              <w:r w:rsidRPr="00D708BC">
                <w:rPr>
                  <w:rStyle w:val="Hipervnculo"/>
                  <w:sz w:val="22"/>
                  <w:szCs w:val="22"/>
                </w:rPr>
                <w:t>lregalado@orasen.co.cu</w:t>
              </w:r>
            </w:hyperlink>
            <w:r w:rsidRPr="00D708BC">
              <w:rPr>
                <w:sz w:val="22"/>
                <w:szCs w:val="22"/>
              </w:rPr>
              <w:t xml:space="preserve">  /  </w:t>
            </w:r>
            <w:hyperlink r:id="rId7" w:history="1">
              <w:r w:rsidRPr="00D708BC">
                <w:rPr>
                  <w:rStyle w:val="Hipervnculo"/>
                  <w:sz w:val="22"/>
                  <w:szCs w:val="22"/>
                </w:rPr>
                <w:t>rgalfo@ceniai.inf.cu</w:t>
              </w:r>
            </w:hyperlink>
            <w:r w:rsidRPr="00D708BC">
              <w:rPr>
                <w:sz w:val="22"/>
                <w:szCs w:val="22"/>
              </w:rPr>
              <w:t xml:space="preserve"> / </w:t>
            </w:r>
            <w:hyperlink r:id="rId8" w:history="1">
              <w:r w:rsidRPr="00C971A9">
                <w:rPr>
                  <w:rStyle w:val="Hipervnculo"/>
                  <w:sz w:val="22"/>
                  <w:szCs w:val="22"/>
                </w:rPr>
                <w:t>regalfo07@gmail.com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210F8" w:rsidRPr="00D708BC" w14:paraId="13D89AA1" w14:textId="77777777" w:rsidTr="0057169D">
        <w:trPr>
          <w:cantSplit/>
          <w:trHeight w:val="233"/>
        </w:trPr>
        <w:tc>
          <w:tcPr>
            <w:tcW w:w="2293" w:type="dxa"/>
            <w:gridSpan w:val="3"/>
          </w:tcPr>
          <w:p w14:paraId="17799BAE" w14:textId="77777777" w:rsidR="006210F8" w:rsidRPr="00D708BC" w:rsidRDefault="006210F8" w:rsidP="0057169D">
            <w:pPr>
              <w:rPr>
                <w:b/>
                <w:sz w:val="22"/>
                <w:szCs w:val="22"/>
              </w:rPr>
            </w:pPr>
          </w:p>
        </w:tc>
        <w:tc>
          <w:tcPr>
            <w:tcW w:w="7895" w:type="dxa"/>
          </w:tcPr>
          <w:p w14:paraId="2F56110B" w14:textId="77777777" w:rsidR="006210F8" w:rsidRPr="00D708BC" w:rsidRDefault="006210F8" w:rsidP="0057169D">
            <w:pPr>
              <w:rPr>
                <w:sz w:val="22"/>
                <w:szCs w:val="22"/>
              </w:rPr>
            </w:pPr>
          </w:p>
        </w:tc>
      </w:tr>
      <w:tr w:rsidR="006210F8" w:rsidRPr="00C658CD" w14:paraId="4CDCD47C" w14:textId="77777777" w:rsidTr="0057169D">
        <w:trPr>
          <w:cantSplit/>
          <w:trHeight w:val="233"/>
        </w:trPr>
        <w:tc>
          <w:tcPr>
            <w:tcW w:w="10188" w:type="dxa"/>
            <w:gridSpan w:val="4"/>
            <w:shd w:val="clear" w:color="auto" w:fill="BFBFBF"/>
          </w:tcPr>
          <w:p w14:paraId="77B0DED6" w14:textId="77777777" w:rsidR="006210F8" w:rsidRPr="00D708BC" w:rsidRDefault="006210F8" w:rsidP="0057169D">
            <w:pPr>
              <w:rPr>
                <w:b/>
                <w:sz w:val="22"/>
                <w:szCs w:val="22"/>
              </w:rPr>
            </w:pPr>
          </w:p>
          <w:p w14:paraId="5761BB77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Comments on th</w:t>
            </w:r>
            <w:r>
              <w:rPr>
                <w:b/>
                <w:sz w:val="22"/>
                <w:szCs w:val="22"/>
              </w:rPr>
              <w:t>e Technical Series on Synthetic Biology</w:t>
            </w:r>
          </w:p>
          <w:p w14:paraId="5B61AAA8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</w:p>
        </w:tc>
      </w:tr>
      <w:tr w:rsidR="006210F8" w:rsidRPr="00C658CD" w14:paraId="2C286BF4" w14:textId="77777777" w:rsidTr="0057169D">
        <w:trPr>
          <w:cantSplit/>
          <w:trHeight w:val="233"/>
        </w:trPr>
        <w:tc>
          <w:tcPr>
            <w:tcW w:w="909" w:type="dxa"/>
          </w:tcPr>
          <w:p w14:paraId="4ED070A3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Page</w:t>
            </w:r>
            <w:r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280" w:type="dxa"/>
          </w:tcPr>
          <w:p w14:paraId="2D7E0405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#</w:t>
            </w:r>
          </w:p>
        </w:tc>
        <w:tc>
          <w:tcPr>
            <w:tcW w:w="7999" w:type="dxa"/>
            <w:gridSpan w:val="2"/>
          </w:tcPr>
          <w:p w14:paraId="566CEF62" w14:textId="77777777" w:rsidR="006210F8" w:rsidRPr="00C658CD" w:rsidRDefault="006210F8" w:rsidP="0057169D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</w:t>
            </w:r>
          </w:p>
        </w:tc>
      </w:tr>
      <w:tr w:rsidR="006210F8" w:rsidRPr="00B30682" w14:paraId="25276356" w14:textId="77777777" w:rsidTr="0057169D">
        <w:trPr>
          <w:cantSplit/>
          <w:trHeight w:val="233"/>
        </w:trPr>
        <w:tc>
          <w:tcPr>
            <w:tcW w:w="909" w:type="dxa"/>
          </w:tcPr>
          <w:p w14:paraId="25C231F4" w14:textId="77777777" w:rsidR="006210F8" w:rsidRPr="00C658CD" w:rsidRDefault="006210F8" w:rsidP="0057169D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26032DF7" w14:textId="77777777" w:rsidR="006210F8" w:rsidRPr="00C658CD" w:rsidRDefault="006210F8" w:rsidP="0057169D">
            <w:pPr>
              <w:rPr>
                <w:sz w:val="22"/>
                <w:szCs w:val="22"/>
              </w:rPr>
            </w:pPr>
          </w:p>
        </w:tc>
        <w:tc>
          <w:tcPr>
            <w:tcW w:w="7999" w:type="dxa"/>
            <w:gridSpan w:val="2"/>
          </w:tcPr>
          <w:p w14:paraId="63072BC7" w14:textId="77777777" w:rsidR="006210F8" w:rsidRPr="00F86F63" w:rsidRDefault="006210F8" w:rsidP="0057169D">
            <w:pPr>
              <w:rPr>
                <w:sz w:val="22"/>
                <w:szCs w:val="22"/>
              </w:rPr>
            </w:pPr>
          </w:p>
        </w:tc>
      </w:tr>
      <w:tr w:rsidR="006210F8" w:rsidRPr="00AD22DE" w14:paraId="1874E093" w14:textId="77777777" w:rsidTr="0057169D">
        <w:trPr>
          <w:cantSplit/>
          <w:trHeight w:val="233"/>
        </w:trPr>
        <w:tc>
          <w:tcPr>
            <w:tcW w:w="909" w:type="dxa"/>
          </w:tcPr>
          <w:p w14:paraId="731A9F40" w14:textId="77777777" w:rsidR="006210F8" w:rsidRPr="00F86F63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80" w:type="dxa"/>
          </w:tcPr>
          <w:p w14:paraId="5F5C3F40" w14:textId="77777777" w:rsidR="006210F8" w:rsidRPr="00F86F63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999" w:type="dxa"/>
            <w:gridSpan w:val="2"/>
          </w:tcPr>
          <w:p w14:paraId="70F374C1" w14:textId="77777777" w:rsidR="006210F8" w:rsidRDefault="006210F8" w:rsidP="0057169D">
            <w:pPr>
              <w:rPr>
                <w:sz w:val="22"/>
              </w:rPr>
            </w:pPr>
            <w:r w:rsidRPr="008B6E70">
              <w:rPr>
                <w:sz w:val="22"/>
              </w:rPr>
              <w:t xml:space="preserve">into force in 1975 and currently has </w:t>
            </w:r>
            <w:r w:rsidRPr="00FE6ABC">
              <w:rPr>
                <w:sz w:val="22"/>
                <w:highlight w:val="lightGray"/>
              </w:rPr>
              <w:t>168</w:t>
            </w:r>
            <w:r w:rsidRPr="008B6E70">
              <w:rPr>
                <w:sz w:val="22"/>
              </w:rPr>
              <w:t xml:space="preserve"> Parties (</w:t>
            </w:r>
            <w:r w:rsidRPr="008B6E70">
              <w:rPr>
                <w:b/>
                <w:sz w:val="22"/>
              </w:rPr>
              <w:t>Delete and substitute by 183</w:t>
            </w:r>
            <w:r w:rsidRPr="008B6E70">
              <w:rPr>
                <w:sz w:val="22"/>
              </w:rPr>
              <w:t>)</w:t>
            </w:r>
          </w:p>
          <w:p w14:paraId="46D30FA4" w14:textId="77777777" w:rsidR="006210F8" w:rsidRPr="000B7FB3" w:rsidRDefault="006210F8" w:rsidP="0057169D">
            <w:pPr>
              <w:rPr>
                <w:sz w:val="22"/>
                <w:szCs w:val="22"/>
                <w:lang w:val="en-US"/>
              </w:rPr>
            </w:pPr>
            <w:r w:rsidRPr="000B7FB3">
              <w:rPr>
                <w:sz w:val="22"/>
                <w:szCs w:val="22"/>
                <w:lang w:val="en-US"/>
              </w:rPr>
              <w:t>Today, the Convention has 183 States Parties – most of the world’s countries</w:t>
            </w:r>
          </w:p>
          <w:p w14:paraId="2A0BE66A" w14:textId="77777777" w:rsidR="006210F8" w:rsidRDefault="006210F8" w:rsidP="0057169D">
            <w:pPr>
              <w:rPr>
                <w:sz w:val="22"/>
                <w:szCs w:val="22"/>
                <w:lang w:val="en-US"/>
              </w:rPr>
            </w:pPr>
            <w:r w:rsidRPr="000B7FB3">
              <w:rPr>
                <w:sz w:val="22"/>
                <w:szCs w:val="22"/>
                <w:lang w:val="en-US"/>
              </w:rPr>
              <w:t xml:space="preserve">As of 1 March 2021. See United Nations Office for Disarmament Affairs, Treaties Database, </w:t>
            </w:r>
            <w:hyperlink r:id="rId9" w:history="1">
              <w:r w:rsidRPr="000B7FB3">
                <w:rPr>
                  <w:rStyle w:val="Hipervnculo"/>
                  <w:sz w:val="22"/>
                  <w:szCs w:val="22"/>
                  <w:lang w:val="en-US"/>
                </w:rPr>
                <w:t>http://disarmament.un.org/treaties/t/bwc</w:t>
              </w:r>
            </w:hyperlink>
            <w:r w:rsidRPr="000B7FB3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       and</w:t>
            </w:r>
          </w:p>
          <w:p w14:paraId="25933033" w14:textId="77777777" w:rsidR="006210F8" w:rsidRPr="00172CF9" w:rsidRDefault="006210F8" w:rsidP="0057169D">
            <w:pPr>
              <w:tabs>
                <w:tab w:val="left" w:pos="7020"/>
              </w:tabs>
              <w:ind w:right="44"/>
              <w:jc w:val="both"/>
              <w:rPr>
                <w:sz w:val="22"/>
                <w:szCs w:val="22"/>
                <w:lang w:val="en-US"/>
              </w:rPr>
            </w:pPr>
            <w:r w:rsidRPr="00172CF9">
              <w:rPr>
                <w:sz w:val="22"/>
                <w:szCs w:val="22"/>
                <w:lang w:val="en-US"/>
              </w:rPr>
              <w:t>J. Revill, J. Borrie, R. Lennane and E. Saunders, 2021. “Preparing for Success at the Ninth Biological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72CF9">
              <w:rPr>
                <w:sz w:val="22"/>
                <w:szCs w:val="22"/>
                <w:lang w:val="en-US"/>
              </w:rPr>
              <w:t>and Toxin Weapons Convention Review Conference: A Guide to the Issues”, UNIDIR, Geneva.</w:t>
            </w:r>
          </w:p>
          <w:p w14:paraId="1AACD724" w14:textId="77777777" w:rsidR="006210F8" w:rsidRDefault="006210F8" w:rsidP="0057169D">
            <w:pPr>
              <w:tabs>
                <w:tab w:val="left" w:pos="7020"/>
              </w:tabs>
              <w:ind w:right="44"/>
              <w:jc w:val="both"/>
              <w:rPr>
                <w:sz w:val="22"/>
                <w:szCs w:val="22"/>
                <w:lang w:val="en-US"/>
              </w:rPr>
            </w:pPr>
            <w:hyperlink r:id="rId10" w:history="1">
              <w:r w:rsidRPr="00C971A9">
                <w:rPr>
                  <w:rStyle w:val="Hipervnculo"/>
                  <w:sz w:val="22"/>
                  <w:szCs w:val="22"/>
                  <w:lang w:val="en-US"/>
                </w:rPr>
                <w:t>https://doi.org/10.37559/WMD/21/BWC/01</w:t>
              </w:r>
            </w:hyperlink>
            <w:r w:rsidRPr="00172CF9">
              <w:rPr>
                <w:sz w:val="22"/>
                <w:szCs w:val="22"/>
                <w:lang w:val="en-US"/>
              </w:rPr>
              <w:t>.</w:t>
            </w:r>
          </w:p>
          <w:p w14:paraId="73C645E9" w14:textId="77777777" w:rsidR="006210F8" w:rsidRPr="000B7FB3" w:rsidRDefault="006210F8" w:rsidP="0057169D">
            <w:pPr>
              <w:rPr>
                <w:sz w:val="22"/>
                <w:szCs w:val="22"/>
                <w:lang w:val="en-US"/>
              </w:rPr>
            </w:pPr>
          </w:p>
        </w:tc>
      </w:tr>
      <w:tr w:rsidR="006210F8" w:rsidRPr="00AD22DE" w14:paraId="7FDFA01A" w14:textId="77777777" w:rsidTr="0057169D">
        <w:trPr>
          <w:cantSplit/>
          <w:trHeight w:val="233"/>
        </w:trPr>
        <w:tc>
          <w:tcPr>
            <w:tcW w:w="909" w:type="dxa"/>
          </w:tcPr>
          <w:p w14:paraId="56D834A7" w14:textId="77777777" w:rsidR="006210F8" w:rsidRPr="00F86F63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80" w:type="dxa"/>
          </w:tcPr>
          <w:p w14:paraId="3F68CEEC" w14:textId="77777777" w:rsidR="006210F8" w:rsidRPr="00F86F63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37/38/39/40</w:t>
            </w:r>
          </w:p>
        </w:tc>
        <w:tc>
          <w:tcPr>
            <w:tcW w:w="7999" w:type="dxa"/>
            <w:gridSpan w:val="2"/>
          </w:tcPr>
          <w:p w14:paraId="32D70EEC" w14:textId="77777777" w:rsidR="006210F8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 to the Pandemic situation there is a new schedule:</w:t>
            </w:r>
          </w:p>
          <w:p w14:paraId="7F644FBE" w14:textId="77777777" w:rsidR="006210F8" w:rsidRDefault="006210F8" w:rsidP="0057169D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46542E53" w14:textId="77777777" w:rsidR="006210F8" w:rsidRPr="00D559DD" w:rsidRDefault="006210F8" w:rsidP="0057169D">
            <w:pPr>
              <w:rPr>
                <w:sz w:val="22"/>
                <w:szCs w:val="22"/>
                <w:lang w:val="en-US"/>
              </w:rPr>
            </w:pPr>
            <w:r w:rsidRPr="00D559DD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D559DD">
              <w:rPr>
                <w:b/>
                <w:bCs/>
                <w:sz w:val="22"/>
                <w:szCs w:val="22"/>
                <w:vertAlign w:val="superscript"/>
                <w:lang w:val="en-US"/>
              </w:rPr>
              <w:t>st</w:t>
            </w:r>
            <w:r w:rsidRPr="00D559DD">
              <w:rPr>
                <w:b/>
                <w:bCs/>
                <w:sz w:val="22"/>
                <w:szCs w:val="22"/>
                <w:lang w:val="en-US"/>
              </w:rPr>
              <w:t xml:space="preserve"> Preparatory Committee (PrepCom)</w:t>
            </w:r>
            <w:r w:rsidRPr="00D559DD">
              <w:rPr>
                <w:sz w:val="22"/>
                <w:szCs w:val="22"/>
                <w:lang w:val="en-US"/>
              </w:rPr>
              <w:t xml:space="preserve"> for the Ninth Review Conference of the Convention is scheduled for November 26, 2021</w:t>
            </w:r>
          </w:p>
          <w:p w14:paraId="2681FB33" w14:textId="77777777" w:rsidR="006210F8" w:rsidRPr="00D559DD" w:rsidRDefault="006210F8" w:rsidP="0057169D">
            <w:pPr>
              <w:rPr>
                <w:sz w:val="22"/>
                <w:szCs w:val="22"/>
                <w:u w:val="single"/>
              </w:rPr>
            </w:pPr>
            <w:hyperlink r:id="rId11" w:history="1">
              <w:r w:rsidRPr="00D559DD">
                <w:rPr>
                  <w:rStyle w:val="Hipervnculo"/>
                  <w:sz w:val="22"/>
                  <w:szCs w:val="22"/>
                </w:rPr>
                <w:t>https://indico.un.org/event/35464/</w:t>
              </w:r>
            </w:hyperlink>
          </w:p>
          <w:p w14:paraId="638E8D38" w14:textId="77777777" w:rsidR="006210F8" w:rsidRPr="00D559DD" w:rsidRDefault="006210F8" w:rsidP="0057169D">
            <w:pPr>
              <w:rPr>
                <w:sz w:val="22"/>
                <w:szCs w:val="22"/>
              </w:rPr>
            </w:pPr>
          </w:p>
          <w:p w14:paraId="6ECC984C" w14:textId="77777777" w:rsidR="006210F8" w:rsidRPr="00D559DD" w:rsidRDefault="006210F8" w:rsidP="0057169D">
            <w:pPr>
              <w:rPr>
                <w:sz w:val="22"/>
                <w:szCs w:val="22"/>
              </w:rPr>
            </w:pPr>
            <w:r w:rsidRPr="00D559DD">
              <w:rPr>
                <w:sz w:val="22"/>
                <w:szCs w:val="22"/>
              </w:rPr>
              <w:t>2</w:t>
            </w:r>
            <w:r w:rsidRPr="00D559DD">
              <w:rPr>
                <w:sz w:val="22"/>
                <w:szCs w:val="22"/>
                <w:vertAlign w:val="superscript"/>
              </w:rPr>
              <w:t>nd</w:t>
            </w:r>
            <w:r w:rsidRPr="00D559DD">
              <w:rPr>
                <w:sz w:val="22"/>
                <w:szCs w:val="22"/>
              </w:rPr>
              <w:t xml:space="preserve"> </w:t>
            </w:r>
            <w:r w:rsidRPr="00D559DD">
              <w:rPr>
                <w:b/>
                <w:bCs/>
                <w:sz w:val="22"/>
                <w:szCs w:val="22"/>
                <w:lang w:val="en-US"/>
              </w:rPr>
              <w:t>Preparatory Committee (PrepCom)</w:t>
            </w:r>
            <w:r w:rsidRPr="00D559DD">
              <w:rPr>
                <w:sz w:val="22"/>
                <w:szCs w:val="22"/>
                <w:lang w:val="en-US"/>
              </w:rPr>
              <w:t xml:space="preserve"> for the Ninth Review Conference of the Convention is scheduled for 4-8 April 2022.</w:t>
            </w:r>
          </w:p>
          <w:p w14:paraId="39FB9E96" w14:textId="77777777" w:rsidR="006210F8" w:rsidRPr="00D559DD" w:rsidRDefault="006210F8" w:rsidP="0057169D">
            <w:pPr>
              <w:rPr>
                <w:sz w:val="22"/>
                <w:szCs w:val="22"/>
                <w:lang w:val="en-US"/>
              </w:rPr>
            </w:pPr>
          </w:p>
          <w:p w14:paraId="04FFA774" w14:textId="77777777" w:rsidR="006210F8" w:rsidRPr="00D559DD" w:rsidRDefault="006210F8" w:rsidP="0057169D">
            <w:pPr>
              <w:rPr>
                <w:sz w:val="22"/>
                <w:szCs w:val="22"/>
                <w:lang w:val="en-US"/>
              </w:rPr>
            </w:pPr>
            <w:r w:rsidRPr="00D559DD">
              <w:rPr>
                <w:sz w:val="22"/>
                <w:szCs w:val="22"/>
                <w:lang w:val="en-US"/>
              </w:rPr>
              <w:t>The Ninth Review Conference of the Convention on the Prohibition of the Development,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559DD">
              <w:rPr>
                <w:sz w:val="22"/>
                <w:szCs w:val="22"/>
                <w:lang w:val="en-US"/>
              </w:rPr>
              <w:t>Production and Stockpiling of Bacteriological (Biological) and Toxin Weapons and on their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559DD">
              <w:rPr>
                <w:sz w:val="22"/>
                <w:szCs w:val="22"/>
                <w:lang w:val="en-US"/>
              </w:rPr>
              <w:t xml:space="preserve">Destruction (BWC) was originally scheduled for late 2021 and will take place in Geneva from 8-26 August 2022 at Palais des Nations  </w:t>
            </w:r>
          </w:p>
          <w:p w14:paraId="5EC7C124" w14:textId="77777777" w:rsidR="006210F8" w:rsidRPr="00D559DD" w:rsidRDefault="006210F8" w:rsidP="0057169D">
            <w:pPr>
              <w:rPr>
                <w:sz w:val="22"/>
                <w:szCs w:val="22"/>
                <w:lang w:val="en-US"/>
              </w:rPr>
            </w:pPr>
          </w:p>
          <w:p w14:paraId="30495E2B" w14:textId="77777777" w:rsidR="006210F8" w:rsidRPr="00D559DD" w:rsidRDefault="006210F8" w:rsidP="0057169D">
            <w:pPr>
              <w:rPr>
                <w:sz w:val="22"/>
                <w:szCs w:val="22"/>
              </w:rPr>
            </w:pPr>
            <w:hyperlink r:id="rId12" w:history="1">
              <w:r w:rsidRPr="00D559DD">
                <w:rPr>
                  <w:rStyle w:val="Hipervnculo"/>
                  <w:sz w:val="22"/>
                  <w:szCs w:val="22"/>
                </w:rPr>
                <w:t>https://indico.un.org/event/29589/</w:t>
              </w:r>
            </w:hyperlink>
          </w:p>
          <w:p w14:paraId="71003517" w14:textId="77777777" w:rsidR="006210F8" w:rsidRDefault="006210F8" w:rsidP="0057169D">
            <w:pPr>
              <w:rPr>
                <w:sz w:val="22"/>
                <w:szCs w:val="22"/>
              </w:rPr>
            </w:pPr>
          </w:p>
          <w:p w14:paraId="3001AC5E" w14:textId="77777777" w:rsidR="006210F8" w:rsidRDefault="006210F8" w:rsidP="0057169D">
            <w:pPr>
              <w:rPr>
                <w:sz w:val="22"/>
                <w:szCs w:val="22"/>
              </w:rPr>
            </w:pPr>
          </w:p>
          <w:p w14:paraId="4B3E531C" w14:textId="77777777" w:rsidR="006210F8" w:rsidRDefault="006210F8" w:rsidP="0057169D">
            <w:pPr>
              <w:rPr>
                <w:sz w:val="22"/>
                <w:szCs w:val="22"/>
              </w:rPr>
            </w:pPr>
          </w:p>
          <w:p w14:paraId="09AE542B" w14:textId="77777777" w:rsidR="006210F8" w:rsidRPr="00F86F63" w:rsidRDefault="006210F8" w:rsidP="0057169D">
            <w:pPr>
              <w:rPr>
                <w:sz w:val="22"/>
                <w:szCs w:val="22"/>
              </w:rPr>
            </w:pPr>
          </w:p>
        </w:tc>
      </w:tr>
      <w:tr w:rsidR="006210F8" w:rsidRPr="00AD22DE" w14:paraId="58466549" w14:textId="77777777" w:rsidTr="0057169D">
        <w:trPr>
          <w:cantSplit/>
          <w:trHeight w:val="233"/>
        </w:trPr>
        <w:tc>
          <w:tcPr>
            <w:tcW w:w="909" w:type="dxa"/>
          </w:tcPr>
          <w:p w14:paraId="410E0546" w14:textId="77777777" w:rsidR="006210F8" w:rsidRPr="00F86F63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280" w:type="dxa"/>
          </w:tcPr>
          <w:p w14:paraId="51ED23C6" w14:textId="77777777" w:rsidR="006210F8" w:rsidRPr="00F86F63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99" w:type="dxa"/>
            <w:gridSpan w:val="2"/>
          </w:tcPr>
          <w:p w14:paraId="11823880" w14:textId="77777777" w:rsidR="006210F8" w:rsidRDefault="006210F8" w:rsidP="0057169D">
            <w:r>
              <w:t xml:space="preserve">…..leading to biosafety </w:t>
            </w:r>
            <w:r w:rsidRPr="00ED498F">
              <w:rPr>
                <w:b/>
              </w:rPr>
              <w:t>and biosecurity</w:t>
            </w:r>
            <w:r>
              <w:rPr>
                <w:b/>
              </w:rPr>
              <w:t xml:space="preserve"> </w:t>
            </w:r>
            <w:r w:rsidRPr="00ED498F">
              <w:t>(addition)</w:t>
            </w:r>
          </w:p>
          <w:p w14:paraId="4BBE4A9C" w14:textId="77777777" w:rsidR="006210F8" w:rsidRDefault="006210F8" w:rsidP="0057169D">
            <w:pPr>
              <w:rPr>
                <w:sz w:val="22"/>
                <w:szCs w:val="22"/>
                <w:lang w:val="en-US"/>
              </w:rPr>
            </w:pPr>
            <w:r w:rsidRPr="00D958A7">
              <w:rPr>
                <w:sz w:val="22"/>
                <w:szCs w:val="22"/>
                <w:lang w:val="en-US"/>
              </w:rPr>
              <w:t xml:space="preserve">There are many biosecurity </w:t>
            </w:r>
            <w:r>
              <w:rPr>
                <w:sz w:val="22"/>
                <w:szCs w:val="22"/>
                <w:lang w:val="en-US"/>
              </w:rPr>
              <w:t xml:space="preserve">concerns (The issue of security) and some vulnerabilities that </w:t>
            </w:r>
            <w:r w:rsidRPr="00D958A7">
              <w:rPr>
                <w:sz w:val="22"/>
                <w:szCs w:val="22"/>
                <w:lang w:val="en-US"/>
              </w:rPr>
              <w:t xml:space="preserve">synthetic biology </w:t>
            </w:r>
            <w:r>
              <w:rPr>
                <w:iCs/>
                <w:sz w:val="22"/>
                <w:szCs w:val="22"/>
                <w:lang w:val="en-US"/>
              </w:rPr>
              <w:t>adds</w:t>
            </w:r>
            <w:r w:rsidRPr="00D958A7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 them, m</w:t>
            </w:r>
            <w:r w:rsidRPr="00D958A7">
              <w:rPr>
                <w:sz w:val="22"/>
                <w:szCs w:val="22"/>
                <w:lang w:val="en-US"/>
              </w:rPr>
              <w:t xml:space="preserve">isuse does not </w:t>
            </w:r>
            <w:r>
              <w:rPr>
                <w:sz w:val="22"/>
                <w:szCs w:val="22"/>
                <w:lang w:val="en-US"/>
              </w:rPr>
              <w:t xml:space="preserve">always </w:t>
            </w:r>
            <w:r w:rsidRPr="00D958A7">
              <w:rPr>
                <w:sz w:val="22"/>
                <w:szCs w:val="22"/>
                <w:lang w:val="en-US"/>
              </w:rPr>
              <w:t>require pathogen access (and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958A7">
              <w:rPr>
                <w:sz w:val="22"/>
                <w:szCs w:val="22"/>
                <w:lang w:val="en-US"/>
              </w:rPr>
              <w:t>biosecurity regulatory system is largely built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958A7">
              <w:rPr>
                <w:sz w:val="22"/>
                <w:szCs w:val="22"/>
                <w:lang w:val="en-US"/>
              </w:rPr>
              <w:t>on access control).</w:t>
            </w:r>
          </w:p>
          <w:p w14:paraId="5E4120C8" w14:textId="77777777" w:rsidR="006210F8" w:rsidRDefault="006210F8" w:rsidP="005716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 the Issue of safety (Biosafety Concerns) Contagious pathogen could</w:t>
            </w:r>
            <w:r w:rsidRPr="00E1242B">
              <w:rPr>
                <w:sz w:val="22"/>
                <w:szCs w:val="22"/>
                <w:lang w:val="en-US"/>
              </w:rPr>
              <w:t xml:space="preserve"> spread beyond laboratory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unintentionally as an accident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E1242B">
              <w:rPr>
                <w:sz w:val="22"/>
                <w:szCs w:val="22"/>
                <w:lang w:val="en-US"/>
              </w:rPr>
              <w:t>spread beyond borders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and </w:t>
            </w:r>
            <w:r>
              <w:rPr>
                <w:sz w:val="22"/>
                <w:szCs w:val="22"/>
                <w:lang w:val="en-US"/>
              </w:rPr>
              <w:t>provoke  an</w:t>
            </w:r>
            <w:r w:rsidRPr="00E1242B">
              <w:rPr>
                <w:sz w:val="22"/>
                <w:szCs w:val="22"/>
                <w:lang w:val="en-US"/>
              </w:rPr>
              <w:t xml:space="preserve"> international incident</w:t>
            </w:r>
          </w:p>
          <w:p w14:paraId="039377E5" w14:textId="77777777" w:rsidR="006210F8" w:rsidRDefault="006210F8" w:rsidP="005716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That’s why the need of “a</w:t>
            </w:r>
            <w:r w:rsidRPr="00E1242B">
              <w:rPr>
                <w:sz w:val="22"/>
                <w:szCs w:val="22"/>
                <w:lang w:val="en-US"/>
              </w:rPr>
              <w:t xml:space="preserve"> biosafet</w:t>
            </w:r>
            <w:r>
              <w:rPr>
                <w:sz w:val="22"/>
                <w:szCs w:val="22"/>
                <w:lang w:val="en-US"/>
              </w:rPr>
              <w:t>y/biosecurity risk assessment as</w:t>
            </w:r>
            <w:r w:rsidRPr="00E1242B">
              <w:rPr>
                <w:sz w:val="22"/>
                <w:szCs w:val="22"/>
                <w:lang w:val="en-US"/>
              </w:rPr>
              <w:t xml:space="preserve"> a systematic process of gathering and evaluating information to identify hazards, determine the associated risks and develop appropriate risk control strategies</w:t>
            </w:r>
          </w:p>
          <w:p w14:paraId="4B6B3A7F" w14:textId="77777777" w:rsidR="006210F8" w:rsidRDefault="006210F8" w:rsidP="0057169D">
            <w:pPr>
              <w:rPr>
                <w:sz w:val="22"/>
                <w:szCs w:val="22"/>
                <w:lang w:val="en-US"/>
              </w:rPr>
            </w:pPr>
            <w:r w:rsidRPr="00FE6ABC">
              <w:rPr>
                <w:sz w:val="22"/>
                <w:szCs w:val="22"/>
                <w:lang w:val="en-US"/>
              </w:rPr>
              <w:t xml:space="preserve">For more specific information on how to conduct a risk assessment, please refer to section 2 risk assessment. Templates and additional guidance can also be found in </w:t>
            </w:r>
            <w:r>
              <w:rPr>
                <w:i/>
                <w:iCs/>
                <w:sz w:val="22"/>
                <w:szCs w:val="22"/>
                <w:lang w:val="en-US"/>
              </w:rPr>
              <w:t>Monograph: risk assessment</w:t>
            </w:r>
            <w:r w:rsidRPr="00FE6ABC">
              <w:rPr>
                <w:sz w:val="22"/>
                <w:szCs w:val="22"/>
                <w:lang w:val="en-US"/>
              </w:rPr>
              <w:t xml:space="preserve"> and </w:t>
            </w:r>
            <w:r w:rsidRPr="00FE6ABC">
              <w:rPr>
                <w:i/>
                <w:iCs/>
                <w:sz w:val="22"/>
                <w:szCs w:val="22"/>
                <w:lang w:val="en-US"/>
              </w:rPr>
              <w:t>Monograph: bio</w:t>
            </w:r>
            <w:r>
              <w:rPr>
                <w:i/>
                <w:iCs/>
                <w:sz w:val="22"/>
                <w:szCs w:val="22"/>
                <w:lang w:val="en-US"/>
              </w:rPr>
              <w:t>safety programme management</w:t>
            </w:r>
            <w:r w:rsidRPr="00FE6ABC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”</w:t>
            </w:r>
          </w:p>
          <w:p w14:paraId="6BAFFDB7" w14:textId="77777777" w:rsidR="006210F8" w:rsidRDefault="006210F8" w:rsidP="0057169D">
            <w:pPr>
              <w:rPr>
                <w:sz w:val="22"/>
                <w:szCs w:val="22"/>
                <w:lang w:val="en-US"/>
              </w:rPr>
            </w:pPr>
          </w:p>
          <w:p w14:paraId="59A53EAE" w14:textId="77777777" w:rsidR="006210F8" w:rsidRPr="00FE6ABC" w:rsidRDefault="006210F8" w:rsidP="005716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Pr="00FE6ABC">
              <w:rPr>
                <w:sz w:val="22"/>
                <w:szCs w:val="22"/>
                <w:lang w:val="en-US"/>
              </w:rPr>
              <w:t>Laboratory biosafety manual, fourth edition and associated monographs)</w:t>
            </w:r>
          </w:p>
          <w:p w14:paraId="336273F3" w14:textId="77777777" w:rsidR="006210F8" w:rsidRDefault="006210F8" w:rsidP="0057169D">
            <w:pPr>
              <w:rPr>
                <w:sz w:val="22"/>
                <w:szCs w:val="22"/>
                <w:lang w:val="en-US"/>
              </w:rPr>
            </w:pPr>
            <w:r w:rsidRPr="00FE6ABC">
              <w:rPr>
                <w:sz w:val="22"/>
                <w:szCs w:val="22"/>
                <w:lang w:val="en-US"/>
              </w:rPr>
              <w:t>ISBN 978-92-4-001131-1 (electronic version)ISBN 978-92-4-001132-8 (print version)</w:t>
            </w:r>
          </w:p>
          <w:p w14:paraId="630709D7" w14:textId="77777777" w:rsidR="006210F8" w:rsidRDefault="006210F8" w:rsidP="005716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WHO, 2020.</w:t>
            </w:r>
          </w:p>
          <w:p w14:paraId="201171C5" w14:textId="77777777" w:rsidR="006210F8" w:rsidRPr="00D958A7" w:rsidRDefault="006210F8" w:rsidP="0057169D">
            <w:pPr>
              <w:rPr>
                <w:sz w:val="22"/>
                <w:szCs w:val="22"/>
                <w:lang w:val="en-US"/>
              </w:rPr>
            </w:pPr>
          </w:p>
        </w:tc>
      </w:tr>
      <w:tr w:rsidR="006210F8" w:rsidRPr="00AD22DE" w14:paraId="5459FE3E" w14:textId="77777777" w:rsidTr="0057169D">
        <w:trPr>
          <w:cantSplit/>
          <w:trHeight w:val="233"/>
        </w:trPr>
        <w:tc>
          <w:tcPr>
            <w:tcW w:w="909" w:type="dxa"/>
          </w:tcPr>
          <w:p w14:paraId="1FA88FBE" w14:textId="77777777" w:rsidR="006210F8" w:rsidRPr="00F86F63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80" w:type="dxa"/>
          </w:tcPr>
          <w:p w14:paraId="209F26EB" w14:textId="77777777" w:rsidR="006210F8" w:rsidRPr="00F86F63" w:rsidRDefault="006210F8" w:rsidP="0057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999" w:type="dxa"/>
            <w:gridSpan w:val="2"/>
          </w:tcPr>
          <w:p w14:paraId="14A4D65F" w14:textId="77777777" w:rsidR="006210F8" w:rsidRDefault="006210F8" w:rsidP="005716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…and plant health as well as the environment</w:t>
            </w:r>
            <w:r w:rsidRPr="0005243B">
              <w:rPr>
                <w:sz w:val="22"/>
                <w:szCs w:val="22"/>
              </w:rPr>
              <w:t xml:space="preserve">. </w:t>
            </w:r>
            <w:r w:rsidRPr="0005243B">
              <w:rPr>
                <w:b/>
                <w:sz w:val="22"/>
                <w:szCs w:val="22"/>
              </w:rPr>
              <w:t xml:space="preserve"> This is an integrating approach “One Health” where several </w:t>
            </w:r>
            <w:r>
              <w:rPr>
                <w:b/>
                <w:sz w:val="22"/>
                <w:szCs w:val="22"/>
              </w:rPr>
              <w:t>i</w:t>
            </w:r>
            <w:r w:rsidRPr="0005243B">
              <w:rPr>
                <w:b/>
                <w:sz w:val="22"/>
                <w:szCs w:val="22"/>
              </w:rPr>
              <w:t>nternational, regional and national organizations are involve For Instance (WHO, FAO, OIE and CDC) in a human-animal-ecosystem interface</w:t>
            </w:r>
            <w:r>
              <w:rPr>
                <w:b/>
                <w:sz w:val="22"/>
                <w:szCs w:val="22"/>
              </w:rPr>
              <w:t>.</w:t>
            </w:r>
          </w:p>
          <w:p w14:paraId="12C0BB8D" w14:textId="77777777" w:rsidR="006210F8" w:rsidRDefault="006210F8" w:rsidP="0057169D">
            <w:pPr>
              <w:pStyle w:val="Default"/>
              <w:rPr>
                <w:b/>
                <w:sz w:val="22"/>
                <w:szCs w:val="22"/>
              </w:rPr>
            </w:pPr>
            <w:hyperlink r:id="rId13" w:history="1">
              <w:r w:rsidRPr="00C971A9">
                <w:rPr>
                  <w:rStyle w:val="Hipervnculo"/>
                  <w:b/>
                  <w:sz w:val="22"/>
                  <w:szCs w:val="22"/>
                </w:rPr>
                <w:t>http://www.who.int/news-room/q-a-detail/one-health</w:t>
              </w:r>
            </w:hyperlink>
          </w:p>
          <w:p w14:paraId="06E7DD2E" w14:textId="77777777" w:rsidR="006210F8" w:rsidRDefault="006210F8" w:rsidP="0057169D">
            <w:pPr>
              <w:pStyle w:val="Default"/>
              <w:rPr>
                <w:b/>
                <w:sz w:val="22"/>
                <w:szCs w:val="22"/>
              </w:rPr>
            </w:pPr>
            <w:hyperlink r:id="rId14" w:history="1">
              <w:r w:rsidRPr="00C971A9">
                <w:rPr>
                  <w:rStyle w:val="Hipervnculo"/>
                  <w:b/>
                  <w:sz w:val="22"/>
                  <w:szCs w:val="22"/>
                </w:rPr>
                <w:t>http://www.cdc.gov/onehealth/who-we-are/one-health-office-fact-sheet.html</w:t>
              </w:r>
            </w:hyperlink>
          </w:p>
          <w:p w14:paraId="081CCFBB" w14:textId="77777777" w:rsidR="006210F8" w:rsidRPr="00F86F63" w:rsidRDefault="006210F8" w:rsidP="0057169D">
            <w:pPr>
              <w:rPr>
                <w:sz w:val="22"/>
                <w:szCs w:val="22"/>
              </w:rPr>
            </w:pPr>
          </w:p>
        </w:tc>
      </w:tr>
      <w:tr w:rsidR="006210F8" w:rsidRPr="00AD22DE" w14:paraId="6F04C93D" w14:textId="77777777" w:rsidTr="0057169D">
        <w:trPr>
          <w:cantSplit/>
          <w:trHeight w:val="233"/>
        </w:trPr>
        <w:tc>
          <w:tcPr>
            <w:tcW w:w="909" w:type="dxa"/>
          </w:tcPr>
          <w:p w14:paraId="1B7B6B0A" w14:textId="77777777" w:rsidR="006210F8" w:rsidRPr="00F86F63" w:rsidRDefault="006210F8" w:rsidP="0057169D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68C6224A" w14:textId="77777777" w:rsidR="006210F8" w:rsidRPr="00F86F63" w:rsidRDefault="006210F8" w:rsidP="0057169D">
            <w:pPr>
              <w:rPr>
                <w:sz w:val="22"/>
                <w:szCs w:val="22"/>
              </w:rPr>
            </w:pPr>
          </w:p>
        </w:tc>
        <w:tc>
          <w:tcPr>
            <w:tcW w:w="7999" w:type="dxa"/>
            <w:gridSpan w:val="2"/>
          </w:tcPr>
          <w:p w14:paraId="141E71EA" w14:textId="77777777" w:rsidR="006210F8" w:rsidRPr="00F86F63" w:rsidRDefault="006210F8" w:rsidP="0057169D">
            <w:pPr>
              <w:rPr>
                <w:sz w:val="22"/>
                <w:szCs w:val="22"/>
              </w:rPr>
            </w:pPr>
          </w:p>
        </w:tc>
      </w:tr>
      <w:tr w:rsidR="006210F8" w:rsidRPr="00C658CD" w14:paraId="67EFAE57" w14:textId="77777777" w:rsidTr="0057169D">
        <w:trPr>
          <w:cantSplit/>
          <w:trHeight w:val="233"/>
        </w:trPr>
        <w:tc>
          <w:tcPr>
            <w:tcW w:w="909" w:type="dxa"/>
          </w:tcPr>
          <w:p w14:paraId="25A921F2" w14:textId="77777777" w:rsidR="006210F8" w:rsidRPr="00F86F63" w:rsidRDefault="006210F8" w:rsidP="0057169D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64881342" w14:textId="77777777" w:rsidR="006210F8" w:rsidRPr="00F86F63" w:rsidRDefault="006210F8" w:rsidP="0057169D">
            <w:pPr>
              <w:rPr>
                <w:sz w:val="22"/>
                <w:szCs w:val="22"/>
              </w:rPr>
            </w:pPr>
          </w:p>
        </w:tc>
        <w:tc>
          <w:tcPr>
            <w:tcW w:w="7999" w:type="dxa"/>
            <w:gridSpan w:val="2"/>
          </w:tcPr>
          <w:p w14:paraId="5357BCB8" w14:textId="77777777" w:rsidR="006210F8" w:rsidRPr="00C658CD" w:rsidRDefault="006210F8" w:rsidP="0057169D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  <w:tr w:rsidR="0057169D" w:rsidRPr="00C658CD" w14:paraId="7FD9DFB7" w14:textId="77777777" w:rsidTr="0057169D">
        <w:trPr>
          <w:cantSplit/>
          <w:trHeight w:val="2381"/>
        </w:trPr>
        <w:tc>
          <w:tcPr>
            <w:tcW w:w="10188" w:type="dxa"/>
            <w:gridSpan w:val="4"/>
            <w:tcBorders>
              <w:left w:val="nil"/>
              <w:bottom w:val="nil"/>
              <w:right w:val="nil"/>
            </w:tcBorders>
          </w:tcPr>
          <w:p w14:paraId="68BE82A1" w14:textId="77777777" w:rsidR="0057169D" w:rsidRDefault="0057169D" w:rsidP="0057169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FA63D9E" w14:textId="77777777" w:rsidR="0057169D" w:rsidRDefault="0057169D" w:rsidP="0057169D">
            <w:pPr>
              <w:rPr>
                <w:sz w:val="22"/>
                <w:szCs w:val="22"/>
              </w:rPr>
            </w:pPr>
          </w:p>
          <w:p w14:paraId="5796BC26" w14:textId="77777777" w:rsidR="0057169D" w:rsidRDefault="0057169D" w:rsidP="0057169D">
            <w:pPr>
              <w:rPr>
                <w:sz w:val="22"/>
                <w:szCs w:val="22"/>
              </w:rPr>
            </w:pPr>
          </w:p>
          <w:p w14:paraId="4CBCF16B" w14:textId="77777777" w:rsidR="0057169D" w:rsidRDefault="0057169D" w:rsidP="0057169D">
            <w:pPr>
              <w:rPr>
                <w:sz w:val="22"/>
                <w:szCs w:val="22"/>
              </w:rPr>
            </w:pPr>
          </w:p>
          <w:p w14:paraId="07867A21" w14:textId="77777777" w:rsidR="0057169D" w:rsidRDefault="0057169D" w:rsidP="0057169D">
            <w:pPr>
              <w:rPr>
                <w:sz w:val="22"/>
                <w:szCs w:val="22"/>
              </w:rPr>
            </w:pPr>
          </w:p>
          <w:p w14:paraId="4D07F8D0" w14:textId="77777777" w:rsidR="0057169D" w:rsidRDefault="0057169D" w:rsidP="0057169D">
            <w:pPr>
              <w:rPr>
                <w:sz w:val="22"/>
                <w:szCs w:val="22"/>
              </w:rPr>
            </w:pPr>
          </w:p>
          <w:p w14:paraId="45E11F93" w14:textId="77777777" w:rsidR="0057169D" w:rsidRDefault="0057169D" w:rsidP="0057169D">
            <w:pPr>
              <w:rPr>
                <w:sz w:val="22"/>
                <w:szCs w:val="22"/>
              </w:rPr>
            </w:pPr>
          </w:p>
          <w:p w14:paraId="5195ED5B" w14:textId="77777777" w:rsidR="0057169D" w:rsidRDefault="0057169D" w:rsidP="0057169D">
            <w:pPr>
              <w:rPr>
                <w:sz w:val="22"/>
                <w:szCs w:val="22"/>
              </w:rPr>
            </w:pPr>
          </w:p>
          <w:p w14:paraId="7FBFAA46" w14:textId="77777777" w:rsidR="0057169D" w:rsidRDefault="0057169D" w:rsidP="0057169D">
            <w:pPr>
              <w:rPr>
                <w:sz w:val="22"/>
                <w:szCs w:val="22"/>
              </w:rPr>
            </w:pPr>
          </w:p>
          <w:p w14:paraId="76F4470C" w14:textId="77777777" w:rsidR="0057169D" w:rsidRDefault="0057169D" w:rsidP="0057169D">
            <w:pPr>
              <w:rPr>
                <w:sz w:val="22"/>
                <w:szCs w:val="22"/>
              </w:rPr>
            </w:pPr>
          </w:p>
          <w:p w14:paraId="14568EDF" w14:textId="77777777" w:rsidR="0057169D" w:rsidRDefault="0057169D" w:rsidP="0057169D">
            <w:pPr>
              <w:rPr>
                <w:sz w:val="22"/>
                <w:szCs w:val="22"/>
              </w:rPr>
            </w:pPr>
          </w:p>
          <w:p w14:paraId="57B3D00F" w14:textId="77777777" w:rsidR="0057169D" w:rsidRPr="006210F8" w:rsidRDefault="0057169D" w:rsidP="0057169D">
            <w:pPr>
              <w:pStyle w:val="Piedepgina"/>
              <w:jc w:val="center"/>
              <w:rPr>
                <w:sz w:val="22"/>
                <w:szCs w:val="22"/>
                <w:lang w:val="en-CA"/>
              </w:rPr>
            </w:pPr>
            <w:r w:rsidRPr="00C658CD">
              <w:rPr>
                <w:sz w:val="22"/>
                <w:szCs w:val="22"/>
                <w:lang w:val="en-CA"/>
              </w:rPr>
              <w:t xml:space="preserve">Please submit your comments to </w:t>
            </w:r>
            <w:hyperlink r:id="rId15" w:history="1">
              <w:r w:rsidRPr="00C658CD">
                <w:rPr>
                  <w:rStyle w:val="Hipervnculo"/>
                  <w:sz w:val="22"/>
                  <w:szCs w:val="22"/>
                  <w:lang w:val="en-CA"/>
                </w:rPr>
                <w:t>secretariat@cbd.int</w:t>
              </w:r>
            </w:hyperlink>
            <w:r w:rsidRPr="00C658CD">
              <w:rPr>
                <w:sz w:val="22"/>
                <w:szCs w:val="22"/>
                <w:lang w:val="en-CA"/>
              </w:rPr>
              <w:t>.</w:t>
            </w:r>
          </w:p>
          <w:p w14:paraId="66D7CCD4" w14:textId="77777777" w:rsidR="0057169D" w:rsidRPr="0057169D" w:rsidRDefault="0057169D" w:rsidP="0057169D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50B0F2AB" w14:textId="77777777" w:rsidR="006210F8" w:rsidRDefault="006210F8" w:rsidP="006210F8">
      <w:pPr>
        <w:tabs>
          <w:tab w:val="left" w:pos="7020"/>
        </w:tabs>
        <w:ind w:right="44"/>
        <w:jc w:val="both"/>
        <w:rPr>
          <w:szCs w:val="22"/>
        </w:rPr>
      </w:pPr>
    </w:p>
    <w:sectPr w:rsidR="006210F8" w:rsidSect="00EA105F">
      <w:headerReference w:type="first" r:id="rId16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2A155" w14:textId="77777777" w:rsidR="00F2328F" w:rsidRDefault="00F2328F" w:rsidP="00593BC6">
      <w:r>
        <w:separator/>
      </w:r>
    </w:p>
  </w:endnote>
  <w:endnote w:type="continuationSeparator" w:id="0">
    <w:p w14:paraId="48922B54" w14:textId="77777777" w:rsidR="00F2328F" w:rsidRDefault="00F2328F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ahoma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12E9" w14:textId="77777777" w:rsidR="00F2328F" w:rsidRDefault="00F2328F" w:rsidP="00593BC6">
      <w:r>
        <w:separator/>
      </w:r>
    </w:p>
  </w:footnote>
  <w:footnote w:type="continuationSeparator" w:id="0">
    <w:p w14:paraId="40D23E45" w14:textId="77777777" w:rsidR="00F2328F" w:rsidRDefault="00F2328F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B1991" w14:textId="77777777" w:rsidR="00EA105F" w:rsidRDefault="00EA105F" w:rsidP="00EA105F">
    <w:pPr>
      <w:pStyle w:val="Encabezado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C6"/>
    <w:rsid w:val="0005243B"/>
    <w:rsid w:val="00054613"/>
    <w:rsid w:val="00091F4D"/>
    <w:rsid w:val="000A54FC"/>
    <w:rsid w:val="000A6679"/>
    <w:rsid w:val="000B74B0"/>
    <w:rsid w:val="000B7FB3"/>
    <w:rsid w:val="000E2E07"/>
    <w:rsid w:val="001018F2"/>
    <w:rsid w:val="00135D96"/>
    <w:rsid w:val="00172CF9"/>
    <w:rsid w:val="0024383F"/>
    <w:rsid w:val="002771B6"/>
    <w:rsid w:val="00293F84"/>
    <w:rsid w:val="0032155A"/>
    <w:rsid w:val="00363EF2"/>
    <w:rsid w:val="003840CA"/>
    <w:rsid w:val="003925B2"/>
    <w:rsid w:val="00393449"/>
    <w:rsid w:val="003C5737"/>
    <w:rsid w:val="00416B43"/>
    <w:rsid w:val="00430349"/>
    <w:rsid w:val="00452A8C"/>
    <w:rsid w:val="00481E09"/>
    <w:rsid w:val="004A5CDA"/>
    <w:rsid w:val="004B6042"/>
    <w:rsid w:val="004D6145"/>
    <w:rsid w:val="004E426F"/>
    <w:rsid w:val="00524BE0"/>
    <w:rsid w:val="005411E6"/>
    <w:rsid w:val="0057169D"/>
    <w:rsid w:val="00593BC6"/>
    <w:rsid w:val="00594E31"/>
    <w:rsid w:val="005C4C24"/>
    <w:rsid w:val="005D52C2"/>
    <w:rsid w:val="006210F8"/>
    <w:rsid w:val="006479DC"/>
    <w:rsid w:val="00652D1D"/>
    <w:rsid w:val="006B2DA1"/>
    <w:rsid w:val="006C0497"/>
    <w:rsid w:val="006F1DD8"/>
    <w:rsid w:val="00735FF1"/>
    <w:rsid w:val="00751EAE"/>
    <w:rsid w:val="00780EC4"/>
    <w:rsid w:val="007A586C"/>
    <w:rsid w:val="007D2347"/>
    <w:rsid w:val="0080180F"/>
    <w:rsid w:val="00847E77"/>
    <w:rsid w:val="00854B69"/>
    <w:rsid w:val="00861407"/>
    <w:rsid w:val="00871DA5"/>
    <w:rsid w:val="00872EB7"/>
    <w:rsid w:val="008B6E70"/>
    <w:rsid w:val="008C05B8"/>
    <w:rsid w:val="00966E85"/>
    <w:rsid w:val="00991F51"/>
    <w:rsid w:val="009A470B"/>
    <w:rsid w:val="00A05BE6"/>
    <w:rsid w:val="00A14AC9"/>
    <w:rsid w:val="00A20C87"/>
    <w:rsid w:val="00A545C6"/>
    <w:rsid w:val="00A66E49"/>
    <w:rsid w:val="00AA45EA"/>
    <w:rsid w:val="00AD22DE"/>
    <w:rsid w:val="00AD764C"/>
    <w:rsid w:val="00B30682"/>
    <w:rsid w:val="00B373CC"/>
    <w:rsid w:val="00B662B0"/>
    <w:rsid w:val="00BB14D8"/>
    <w:rsid w:val="00BD5D26"/>
    <w:rsid w:val="00BE6935"/>
    <w:rsid w:val="00C33566"/>
    <w:rsid w:val="00C76364"/>
    <w:rsid w:val="00D559DD"/>
    <w:rsid w:val="00D60758"/>
    <w:rsid w:val="00D708BC"/>
    <w:rsid w:val="00D958A7"/>
    <w:rsid w:val="00D97576"/>
    <w:rsid w:val="00DD4F55"/>
    <w:rsid w:val="00E1242B"/>
    <w:rsid w:val="00E227B2"/>
    <w:rsid w:val="00E71141"/>
    <w:rsid w:val="00E76765"/>
    <w:rsid w:val="00EA105F"/>
    <w:rsid w:val="00EC4577"/>
    <w:rsid w:val="00ED498F"/>
    <w:rsid w:val="00F2328F"/>
    <w:rsid w:val="00F73C17"/>
    <w:rsid w:val="00F754C0"/>
    <w:rsid w:val="00F8658F"/>
    <w:rsid w:val="00F86F63"/>
    <w:rsid w:val="00F94D0C"/>
    <w:rsid w:val="00FB07C1"/>
    <w:rsid w:val="00FB1BA9"/>
    <w:rsid w:val="00FE6ABC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5135"/>
  <w15:docId w15:val="{2EF4503E-AC8B-4C4E-A148-C22CF59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93BC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Piedepgina">
    <w:name w:val="footer"/>
    <w:basedOn w:val="Normal"/>
    <w:link w:val="PiedepginaCar"/>
    <w:rsid w:val="00593BC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ipervnculo">
    <w:name w:val="Hyperlink"/>
    <w:rsid w:val="00593BC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7D2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EC457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EC4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4577"/>
    <w:pPr>
      <w:spacing w:after="160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4577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lfo07@gmail.com" TargetMode="External"/><Relationship Id="rId13" Type="http://schemas.openxmlformats.org/officeDocument/2006/relationships/hyperlink" Target="http://www.who.int/news-room/q-a-detail/one-healt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galfo@ceniai.inf.cu" TargetMode="External"/><Relationship Id="rId12" Type="http://schemas.openxmlformats.org/officeDocument/2006/relationships/hyperlink" Target="https://indico.un.org/event/29589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lregalado@orasen.co.cu" TargetMode="External"/><Relationship Id="rId11" Type="http://schemas.openxmlformats.org/officeDocument/2006/relationships/hyperlink" Target="https://indico.un.org/event/35464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cretariat@cbd.int" TargetMode="External"/><Relationship Id="rId10" Type="http://schemas.openxmlformats.org/officeDocument/2006/relationships/hyperlink" Target="https://doi.org/10.37559/WMD/21/BWC/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sarmament.un.org/treaties/t/bwc" TargetMode="External"/><Relationship Id="rId14" Type="http://schemas.openxmlformats.org/officeDocument/2006/relationships/hyperlink" Target="http://www.cdc.gov/onehealth/who-we-are/one-health-office-fact-she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SCBD</Company>
  <LinksUpToDate>false</LinksUpToDate>
  <CharactersWithSpaces>3965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cung</dc:creator>
  <cp:lastModifiedBy>Windows User</cp:lastModifiedBy>
  <cp:revision>4</cp:revision>
  <dcterms:created xsi:type="dcterms:W3CDTF">2021-06-09T23:36:00Z</dcterms:created>
  <dcterms:modified xsi:type="dcterms:W3CDTF">2021-06-10T17:49:00Z</dcterms:modified>
</cp:coreProperties>
</file>