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25" w:type="dxa"/>
        <w:tblInd w:w="8" w:type="dxa"/>
        <w:tblLayout w:type="fixed"/>
        <w:tblCellMar>
          <w:left w:w="0" w:type="dxa"/>
          <w:right w:w="0" w:type="dxa"/>
        </w:tblCellMar>
        <w:tblLook w:val="0000" w:firstRow="0" w:lastRow="0" w:firstColumn="0" w:lastColumn="0" w:noHBand="0" w:noVBand="0"/>
      </w:tblPr>
      <w:tblGrid>
        <w:gridCol w:w="3394"/>
        <w:gridCol w:w="512"/>
        <w:gridCol w:w="1476"/>
        <w:gridCol w:w="2443"/>
      </w:tblGrid>
      <w:tr w:rsidR="0073786D" w:rsidRPr="00C96D32" w14:paraId="1977F619" w14:textId="77777777" w:rsidTr="00347DF5">
        <w:trPr>
          <w:cantSplit/>
        </w:trPr>
        <w:tc>
          <w:tcPr>
            <w:tcW w:w="3394" w:type="dxa"/>
          </w:tcPr>
          <w:p w14:paraId="7AED0D26" w14:textId="1420291D" w:rsidR="003342E8" w:rsidRPr="00870E1A" w:rsidRDefault="00870E1A" w:rsidP="003342E8">
            <w:pPr>
              <w:rPr>
                <w:sz w:val="20"/>
                <w:lang w:val="en-US"/>
              </w:rPr>
            </w:pPr>
            <w:r w:rsidRPr="00870E1A">
              <w:rPr>
                <w:sz w:val="20"/>
                <w:lang w:val="en-US"/>
              </w:rPr>
              <w:t>Josefsson, Melanie</w:t>
            </w:r>
          </w:p>
          <w:p w14:paraId="731E52A7" w14:textId="1D1E2B27" w:rsidR="003342E8" w:rsidRPr="00870E1A" w:rsidRDefault="002F02EE" w:rsidP="003342E8">
            <w:pPr>
              <w:rPr>
                <w:sz w:val="20"/>
                <w:lang w:val="en-US"/>
              </w:rPr>
            </w:pPr>
            <w:r>
              <w:rPr>
                <w:sz w:val="20"/>
                <w:lang w:val="en-US"/>
              </w:rPr>
              <w:t>Telep</w:t>
            </w:r>
            <w:r w:rsidR="003342E8" w:rsidRPr="00870E1A">
              <w:rPr>
                <w:sz w:val="20"/>
                <w:lang w:val="en-US"/>
              </w:rPr>
              <w:t>hone:</w:t>
            </w:r>
            <w:r w:rsidR="00044721" w:rsidRPr="00870E1A">
              <w:rPr>
                <w:sz w:val="20"/>
                <w:lang w:val="en-US"/>
              </w:rPr>
              <w:t xml:space="preserve"> </w:t>
            </w:r>
            <w:r w:rsidR="003342E8" w:rsidRPr="00870E1A">
              <w:rPr>
                <w:sz w:val="20"/>
                <w:lang w:val="en-US"/>
              </w:rPr>
              <w:t>+46-</w:t>
            </w:r>
            <w:r w:rsidR="00676895" w:rsidRPr="00814386">
              <w:rPr>
                <w:sz w:val="20"/>
                <w:lang w:val="en-US"/>
              </w:rPr>
              <w:t xml:space="preserve">10-698 </w:t>
            </w:r>
            <w:r w:rsidR="00814386" w:rsidRPr="00814386">
              <w:rPr>
                <w:sz w:val="20"/>
                <w:lang w:val="en-US"/>
              </w:rPr>
              <w:t>1541</w:t>
            </w:r>
          </w:p>
          <w:p w14:paraId="6D55C794" w14:textId="77777777" w:rsidR="0073786D" w:rsidRPr="00870E1A" w:rsidRDefault="00814386" w:rsidP="003342E8">
            <w:pPr>
              <w:rPr>
                <w:sz w:val="20"/>
                <w:szCs w:val="20"/>
                <w:lang w:val="en-US"/>
              </w:rPr>
            </w:pPr>
            <w:proofErr w:type="spellStart"/>
            <w:r w:rsidRPr="00814386">
              <w:rPr>
                <w:sz w:val="20"/>
                <w:lang w:val="en-US"/>
              </w:rPr>
              <w:t>Melanie.Josefsson</w:t>
            </w:r>
            <w:proofErr w:type="spellEnd"/>
            <w:r w:rsidR="003342E8" w:rsidRPr="00870E1A">
              <w:rPr>
                <w:sz w:val="20"/>
                <w:lang w:val="en-US"/>
              </w:rPr>
              <w:br/>
            </w:r>
            <w:r w:rsidR="00B45201" w:rsidRPr="00870E1A">
              <w:rPr>
                <w:sz w:val="20"/>
                <w:szCs w:val="20"/>
                <w:lang w:val="en-US"/>
              </w:rPr>
              <w:t>@swedishepa</w:t>
            </w:r>
            <w:r w:rsidR="00F30D92" w:rsidRPr="00870E1A">
              <w:rPr>
                <w:sz w:val="20"/>
                <w:szCs w:val="20"/>
                <w:lang w:val="en-US"/>
              </w:rPr>
              <w:t>.se</w:t>
            </w:r>
          </w:p>
        </w:tc>
        <w:tc>
          <w:tcPr>
            <w:tcW w:w="512" w:type="dxa"/>
            <w:vAlign w:val="center"/>
          </w:tcPr>
          <w:p w14:paraId="0ED65CCC" w14:textId="77777777" w:rsidR="0073786D" w:rsidRPr="00870E1A" w:rsidRDefault="0073786D" w:rsidP="00347DF5">
            <w:pPr>
              <w:rPr>
                <w:lang w:val="en-US"/>
              </w:rPr>
            </w:pPr>
          </w:p>
        </w:tc>
        <w:tc>
          <w:tcPr>
            <w:tcW w:w="1476" w:type="dxa"/>
          </w:tcPr>
          <w:p w14:paraId="50B2C477" w14:textId="5EDC9054" w:rsidR="0073786D" w:rsidRPr="00C96D32" w:rsidRDefault="00870E1A" w:rsidP="00347DF5">
            <w:r>
              <w:rPr>
                <w:szCs w:val="24"/>
              </w:rPr>
              <w:t>2016-0</w:t>
            </w:r>
            <w:r w:rsidR="00147CF3">
              <w:rPr>
                <w:szCs w:val="24"/>
              </w:rPr>
              <w:t>5-11</w:t>
            </w:r>
          </w:p>
        </w:tc>
        <w:tc>
          <w:tcPr>
            <w:tcW w:w="2443" w:type="dxa"/>
            <w:noWrap/>
            <w:tcMar>
              <w:right w:w="0" w:type="dxa"/>
            </w:tcMar>
          </w:tcPr>
          <w:p w14:paraId="7527F892" w14:textId="77777777" w:rsidR="0073786D" w:rsidRPr="00C96D32" w:rsidRDefault="00B45201" w:rsidP="00870E1A">
            <w:r>
              <w:t xml:space="preserve">Case </w:t>
            </w:r>
            <w:proofErr w:type="spellStart"/>
            <w:r>
              <w:t>number</w:t>
            </w:r>
            <w:proofErr w:type="spellEnd"/>
            <w:r w:rsidR="0073786D" w:rsidRPr="00C96D32">
              <w:t>:</w:t>
            </w:r>
            <w:r w:rsidR="0073786D" w:rsidRPr="00C96D32">
              <w:br/>
            </w:r>
            <w:r w:rsidR="00870E1A">
              <w:t>NV-03331-16</w:t>
            </w:r>
          </w:p>
        </w:tc>
      </w:tr>
      <w:tr w:rsidR="0073786D" w:rsidRPr="00C96D32" w14:paraId="7BC18503" w14:textId="77777777" w:rsidTr="00347DF5">
        <w:trPr>
          <w:cantSplit/>
        </w:trPr>
        <w:tc>
          <w:tcPr>
            <w:tcW w:w="7825" w:type="dxa"/>
            <w:gridSpan w:val="4"/>
            <w:vAlign w:val="center"/>
          </w:tcPr>
          <w:p w14:paraId="2A28D6B4" w14:textId="77777777" w:rsidR="0073786D" w:rsidRPr="00C96D32" w:rsidRDefault="0073786D" w:rsidP="00347DF5"/>
        </w:tc>
      </w:tr>
      <w:tr w:rsidR="0073786D" w:rsidRPr="00C96D32" w14:paraId="5877F892" w14:textId="77777777" w:rsidTr="00347DF5">
        <w:trPr>
          <w:cantSplit/>
        </w:trPr>
        <w:tc>
          <w:tcPr>
            <w:tcW w:w="3906" w:type="dxa"/>
            <w:gridSpan w:val="2"/>
            <w:vAlign w:val="center"/>
          </w:tcPr>
          <w:p w14:paraId="4A18CB2F" w14:textId="77777777" w:rsidR="0073786D" w:rsidRPr="00C96D32" w:rsidRDefault="0073786D" w:rsidP="00347DF5">
            <w:pPr>
              <w:rPr>
                <w:sz w:val="20"/>
              </w:rPr>
            </w:pPr>
          </w:p>
        </w:tc>
        <w:tc>
          <w:tcPr>
            <w:tcW w:w="3919" w:type="dxa"/>
            <w:gridSpan w:val="2"/>
          </w:tcPr>
          <w:p w14:paraId="3437B719" w14:textId="77777777" w:rsidR="0073786D" w:rsidRPr="00C96D32" w:rsidRDefault="00814386" w:rsidP="00347DF5">
            <w:r>
              <w:t xml:space="preserve">CBD </w:t>
            </w:r>
            <w:proofErr w:type="spellStart"/>
            <w:r>
              <w:t>Secretariat</w:t>
            </w:r>
            <w:proofErr w:type="spellEnd"/>
          </w:p>
        </w:tc>
      </w:tr>
      <w:tr w:rsidR="0073786D" w:rsidRPr="00C96D32" w14:paraId="27CBA534" w14:textId="77777777" w:rsidTr="00347DF5">
        <w:trPr>
          <w:cantSplit/>
        </w:trPr>
        <w:tc>
          <w:tcPr>
            <w:tcW w:w="3906" w:type="dxa"/>
            <w:gridSpan w:val="2"/>
            <w:vAlign w:val="center"/>
          </w:tcPr>
          <w:p w14:paraId="0D87E59D" w14:textId="77777777" w:rsidR="0073786D" w:rsidRPr="00C96D32" w:rsidRDefault="0073786D" w:rsidP="00347DF5">
            <w:pPr>
              <w:rPr>
                <w:sz w:val="20"/>
              </w:rPr>
            </w:pPr>
          </w:p>
        </w:tc>
        <w:tc>
          <w:tcPr>
            <w:tcW w:w="3919" w:type="dxa"/>
            <w:gridSpan w:val="2"/>
          </w:tcPr>
          <w:p w14:paraId="31807314" w14:textId="77777777" w:rsidR="0073786D" w:rsidRPr="00C96D32" w:rsidRDefault="00561CFF" w:rsidP="00347DF5">
            <w:r>
              <w:t>Biosafety Clearing House Mechanism</w:t>
            </w:r>
          </w:p>
        </w:tc>
      </w:tr>
      <w:tr w:rsidR="00561CFF" w:rsidRPr="00C96D32" w14:paraId="4CC2C1EA" w14:textId="77777777" w:rsidTr="00347DF5">
        <w:trPr>
          <w:cantSplit/>
        </w:trPr>
        <w:tc>
          <w:tcPr>
            <w:tcW w:w="3906" w:type="dxa"/>
            <w:gridSpan w:val="2"/>
            <w:vAlign w:val="center"/>
          </w:tcPr>
          <w:p w14:paraId="4A8D74B0" w14:textId="77777777" w:rsidR="00561CFF" w:rsidRPr="00C96D32" w:rsidRDefault="00561CFF" w:rsidP="00347DF5">
            <w:pPr>
              <w:rPr>
                <w:sz w:val="20"/>
              </w:rPr>
            </w:pPr>
          </w:p>
        </w:tc>
        <w:tc>
          <w:tcPr>
            <w:tcW w:w="3919" w:type="dxa"/>
            <w:gridSpan w:val="2"/>
          </w:tcPr>
          <w:p w14:paraId="2FC251A4" w14:textId="77777777" w:rsidR="00561CFF" w:rsidRPr="00C96D32" w:rsidRDefault="00561CFF" w:rsidP="00347DF5"/>
        </w:tc>
      </w:tr>
      <w:tr w:rsidR="00561CFF" w:rsidRPr="00C96D32" w14:paraId="6455A562" w14:textId="77777777" w:rsidTr="00347DF5">
        <w:trPr>
          <w:cantSplit/>
        </w:trPr>
        <w:tc>
          <w:tcPr>
            <w:tcW w:w="3906" w:type="dxa"/>
            <w:gridSpan w:val="2"/>
            <w:vAlign w:val="center"/>
          </w:tcPr>
          <w:p w14:paraId="669616D5" w14:textId="77777777" w:rsidR="00561CFF" w:rsidRPr="00C96D32" w:rsidRDefault="00561CFF" w:rsidP="00347DF5">
            <w:pPr>
              <w:rPr>
                <w:sz w:val="20"/>
              </w:rPr>
            </w:pPr>
          </w:p>
        </w:tc>
        <w:tc>
          <w:tcPr>
            <w:tcW w:w="3919" w:type="dxa"/>
            <w:gridSpan w:val="2"/>
          </w:tcPr>
          <w:p w14:paraId="26F6C7A4" w14:textId="77777777" w:rsidR="00561CFF" w:rsidRPr="00C96D32" w:rsidRDefault="00561CFF" w:rsidP="00347DF5"/>
        </w:tc>
      </w:tr>
      <w:tr w:rsidR="00561CFF" w:rsidRPr="00C96D32" w14:paraId="0266DA31" w14:textId="77777777" w:rsidTr="00521ABC">
        <w:trPr>
          <w:cantSplit/>
          <w:trHeight w:val="84"/>
        </w:trPr>
        <w:tc>
          <w:tcPr>
            <w:tcW w:w="3906" w:type="dxa"/>
            <w:gridSpan w:val="2"/>
            <w:vAlign w:val="center"/>
          </w:tcPr>
          <w:p w14:paraId="44B69364" w14:textId="77777777" w:rsidR="00561CFF" w:rsidRPr="00C96D32" w:rsidRDefault="00561CFF" w:rsidP="00347DF5">
            <w:pPr>
              <w:rPr>
                <w:sz w:val="20"/>
              </w:rPr>
            </w:pPr>
          </w:p>
        </w:tc>
        <w:tc>
          <w:tcPr>
            <w:tcW w:w="3919" w:type="dxa"/>
            <w:gridSpan w:val="2"/>
          </w:tcPr>
          <w:p w14:paraId="2B4147A9" w14:textId="77777777" w:rsidR="00561CFF" w:rsidRDefault="00561CFF" w:rsidP="00347DF5"/>
        </w:tc>
      </w:tr>
    </w:tbl>
    <w:p w14:paraId="3ECD3B54" w14:textId="77777777" w:rsidR="00814386" w:rsidRPr="00814386" w:rsidRDefault="00814386" w:rsidP="00814386">
      <w:pPr>
        <w:pStyle w:val="Normalwebb"/>
        <w:rPr>
          <w:rFonts w:ascii="Times New Roman" w:hAnsi="Times New Roman"/>
          <w:b/>
          <w:sz w:val="24"/>
          <w:szCs w:val="24"/>
          <w:lang w:val="en-US"/>
        </w:rPr>
      </w:pPr>
      <w:r w:rsidRPr="00994894">
        <w:rPr>
          <w:rFonts w:ascii="Times New Roman" w:hAnsi="Times New Roman"/>
          <w:b/>
          <w:sz w:val="24"/>
          <w:szCs w:val="24"/>
          <w:lang w:val="en-US"/>
        </w:rPr>
        <w:t>Submission of information requested in decision on Contained Use (Article 6) Response to CBD Notification 2016 – 009</w:t>
      </w:r>
    </w:p>
    <w:p w14:paraId="6269E1D4" w14:textId="77777777" w:rsidR="00814386" w:rsidRPr="00994894" w:rsidRDefault="00814386" w:rsidP="00814386">
      <w:pPr>
        <w:pStyle w:val="Normalwebb"/>
        <w:rPr>
          <w:rFonts w:ascii="Times New Roman" w:hAnsi="Times New Roman"/>
          <w:i/>
          <w:sz w:val="24"/>
          <w:szCs w:val="24"/>
          <w:lang w:val="en-US"/>
        </w:rPr>
      </w:pPr>
      <w:r w:rsidRPr="00994894">
        <w:rPr>
          <w:rFonts w:ascii="Times New Roman" w:hAnsi="Times New Roman"/>
          <w:i/>
          <w:sz w:val="24"/>
          <w:szCs w:val="24"/>
          <w:lang w:val="en-US"/>
        </w:rPr>
        <w:t xml:space="preserve">In decision BS-VII/4, the COP-MOP invited Parties and other Governments to submit to the Executive Secretary information, tools, practical experience and guidance related to their existing mechanisms and requirements regarding the contained use of living modified organisms, including any specific requirement relating to the type and level of containment. </w:t>
      </w:r>
    </w:p>
    <w:p w14:paraId="13096A78" w14:textId="77777777" w:rsidR="00814386" w:rsidRPr="00E10FB7" w:rsidRDefault="00814386" w:rsidP="00814386">
      <w:pPr>
        <w:pStyle w:val="Rubrik2"/>
        <w:rPr>
          <w:lang w:val="en-US"/>
        </w:rPr>
      </w:pPr>
      <w:r w:rsidRPr="00E10FB7">
        <w:rPr>
          <w:lang w:val="en-US"/>
        </w:rPr>
        <w:t>Competent authorities for the contained use of living modified organisms</w:t>
      </w:r>
    </w:p>
    <w:p w14:paraId="6B463902" w14:textId="4324C279" w:rsidR="00814386" w:rsidRPr="005F552C" w:rsidRDefault="00814386" w:rsidP="00814386">
      <w:pPr>
        <w:pStyle w:val="Normalwebb"/>
        <w:rPr>
          <w:rFonts w:ascii="Times New Roman" w:hAnsi="Times New Roman"/>
          <w:sz w:val="24"/>
          <w:szCs w:val="24"/>
          <w:lang w:val="en-US"/>
        </w:rPr>
      </w:pPr>
      <w:r w:rsidRPr="005C2D97">
        <w:rPr>
          <w:rFonts w:ascii="Times New Roman" w:hAnsi="Times New Roman"/>
          <w:sz w:val="24"/>
          <w:szCs w:val="24"/>
          <w:lang w:val="en-US"/>
        </w:rPr>
        <w:t xml:space="preserve">The Swedish Work Environment Authority </w:t>
      </w:r>
      <w:r>
        <w:rPr>
          <w:rFonts w:ascii="Times New Roman" w:hAnsi="Times New Roman"/>
          <w:sz w:val="24"/>
          <w:szCs w:val="24"/>
          <w:lang w:val="en-US"/>
        </w:rPr>
        <w:t>and the Swedish Board of Agriculture have</w:t>
      </w:r>
      <w:r w:rsidRPr="005C2D97">
        <w:rPr>
          <w:rFonts w:ascii="Times New Roman" w:hAnsi="Times New Roman"/>
          <w:sz w:val="24"/>
          <w:szCs w:val="24"/>
          <w:lang w:val="en-US"/>
        </w:rPr>
        <w:t xml:space="preserve"> has provided the</w:t>
      </w:r>
      <w:r w:rsidR="002A6BBA">
        <w:rPr>
          <w:rFonts w:ascii="Times New Roman" w:hAnsi="Times New Roman"/>
          <w:sz w:val="24"/>
          <w:szCs w:val="24"/>
          <w:lang w:val="en-US"/>
        </w:rPr>
        <w:t xml:space="preserve"> following</w:t>
      </w:r>
      <w:r w:rsidRPr="005C2D97">
        <w:rPr>
          <w:rFonts w:ascii="Times New Roman" w:hAnsi="Times New Roman"/>
          <w:sz w:val="24"/>
          <w:szCs w:val="24"/>
          <w:lang w:val="en-US"/>
        </w:rPr>
        <w:t xml:space="preserve"> information on contained use of </w:t>
      </w:r>
      <w:r w:rsidR="002A6BBA">
        <w:rPr>
          <w:rFonts w:ascii="Times New Roman" w:hAnsi="Times New Roman"/>
          <w:sz w:val="24"/>
          <w:szCs w:val="24"/>
          <w:lang w:val="en-US"/>
        </w:rPr>
        <w:t>genetically modified micro-organisms (</w:t>
      </w:r>
      <w:r w:rsidRPr="005C2D97">
        <w:rPr>
          <w:rFonts w:ascii="Times New Roman" w:hAnsi="Times New Roman"/>
          <w:sz w:val="24"/>
          <w:szCs w:val="24"/>
          <w:lang w:val="en-US"/>
        </w:rPr>
        <w:t>GMM</w:t>
      </w:r>
      <w:proofErr w:type="gramStart"/>
      <w:r w:rsidR="002A6BBA">
        <w:rPr>
          <w:rFonts w:ascii="Times New Roman" w:hAnsi="Times New Roman"/>
          <w:sz w:val="24"/>
          <w:szCs w:val="24"/>
          <w:lang w:val="en-US"/>
        </w:rPr>
        <w:t xml:space="preserve">) </w:t>
      </w:r>
      <w:r w:rsidR="00555F2D">
        <w:rPr>
          <w:rFonts w:ascii="Times New Roman" w:hAnsi="Times New Roman"/>
          <w:sz w:val="24"/>
          <w:szCs w:val="24"/>
          <w:lang w:val="en-US"/>
        </w:rPr>
        <w:t xml:space="preserve"> and</w:t>
      </w:r>
      <w:proofErr w:type="gramEnd"/>
      <w:r w:rsidR="002A6BBA">
        <w:rPr>
          <w:rFonts w:ascii="Times New Roman" w:hAnsi="Times New Roman"/>
          <w:sz w:val="24"/>
          <w:szCs w:val="24"/>
          <w:lang w:val="en-US"/>
        </w:rPr>
        <w:t xml:space="preserve"> genetically modified organisms</w:t>
      </w:r>
      <w:r w:rsidR="00555F2D">
        <w:rPr>
          <w:rFonts w:ascii="Times New Roman" w:hAnsi="Times New Roman"/>
          <w:sz w:val="24"/>
          <w:szCs w:val="24"/>
          <w:lang w:val="en-US"/>
        </w:rPr>
        <w:t xml:space="preserve"> </w:t>
      </w:r>
      <w:r w:rsidR="002A6BBA">
        <w:rPr>
          <w:rFonts w:ascii="Times New Roman" w:hAnsi="Times New Roman"/>
          <w:sz w:val="24"/>
          <w:szCs w:val="24"/>
          <w:lang w:val="en-US"/>
        </w:rPr>
        <w:t>(</w:t>
      </w:r>
      <w:r w:rsidR="00555F2D">
        <w:rPr>
          <w:rFonts w:ascii="Times New Roman" w:hAnsi="Times New Roman"/>
          <w:sz w:val="24"/>
          <w:szCs w:val="24"/>
          <w:lang w:val="en-US"/>
        </w:rPr>
        <w:t>GMO</w:t>
      </w:r>
      <w:r w:rsidR="002A6BBA">
        <w:rPr>
          <w:rFonts w:ascii="Times New Roman" w:hAnsi="Times New Roman"/>
          <w:sz w:val="24"/>
          <w:szCs w:val="24"/>
          <w:lang w:val="en-US"/>
        </w:rPr>
        <w:t>)</w:t>
      </w:r>
      <w:r w:rsidR="0097234C">
        <w:rPr>
          <w:rFonts w:ascii="Times New Roman" w:hAnsi="Times New Roman"/>
          <w:sz w:val="24"/>
          <w:szCs w:val="24"/>
          <w:lang w:val="en-US"/>
        </w:rPr>
        <w:t xml:space="preserve"> for this </w:t>
      </w:r>
      <w:r w:rsidRPr="005F552C">
        <w:rPr>
          <w:rFonts w:ascii="Times New Roman" w:hAnsi="Times New Roman"/>
          <w:sz w:val="24"/>
          <w:szCs w:val="24"/>
          <w:lang w:val="en-US"/>
        </w:rPr>
        <w:t>response to CBD Notification 2016 – 009.</w:t>
      </w:r>
    </w:p>
    <w:p w14:paraId="00060382" w14:textId="4B4B2130" w:rsidR="00814386" w:rsidRPr="005C2D97" w:rsidRDefault="00814386" w:rsidP="00814386">
      <w:pPr>
        <w:pStyle w:val="Normalwebb"/>
        <w:rPr>
          <w:rFonts w:ascii="Times New Roman" w:hAnsi="Times New Roman"/>
          <w:sz w:val="24"/>
          <w:szCs w:val="24"/>
          <w:lang w:val="en-US"/>
        </w:rPr>
      </w:pPr>
      <w:r w:rsidRPr="005C2D97">
        <w:rPr>
          <w:rFonts w:ascii="Times New Roman" w:hAnsi="Times New Roman"/>
          <w:sz w:val="24"/>
          <w:szCs w:val="24"/>
          <w:lang w:val="en-US"/>
        </w:rPr>
        <w:t xml:space="preserve">Three Swedish authorities have </w:t>
      </w:r>
      <w:bookmarkStart w:id="0" w:name="_GoBack"/>
      <w:bookmarkEnd w:id="0"/>
      <w:r w:rsidRPr="005C2D97">
        <w:rPr>
          <w:rFonts w:ascii="Times New Roman" w:hAnsi="Times New Roman"/>
          <w:sz w:val="24"/>
          <w:szCs w:val="24"/>
          <w:lang w:val="en-US"/>
        </w:rPr>
        <w:t xml:space="preserve">responsibility for </w:t>
      </w:r>
      <w:r w:rsidR="00555F2D">
        <w:rPr>
          <w:rFonts w:ascii="Times New Roman" w:hAnsi="Times New Roman"/>
          <w:sz w:val="24"/>
          <w:szCs w:val="24"/>
          <w:lang w:val="en-US"/>
        </w:rPr>
        <w:t xml:space="preserve">authorization, </w:t>
      </w:r>
      <w:r w:rsidRPr="005C2D97">
        <w:rPr>
          <w:rFonts w:ascii="Times New Roman" w:hAnsi="Times New Roman"/>
          <w:sz w:val="24"/>
          <w:szCs w:val="24"/>
          <w:lang w:val="en-US"/>
        </w:rPr>
        <w:t xml:space="preserve">supervision, </w:t>
      </w:r>
      <w:r w:rsidR="00555F2D">
        <w:rPr>
          <w:rFonts w:ascii="Times New Roman" w:hAnsi="Times New Roman"/>
          <w:sz w:val="24"/>
          <w:szCs w:val="24"/>
          <w:lang w:val="en-US"/>
        </w:rPr>
        <w:t xml:space="preserve">and </w:t>
      </w:r>
      <w:r w:rsidRPr="005C2D97">
        <w:rPr>
          <w:rFonts w:ascii="Times New Roman" w:hAnsi="Times New Roman"/>
          <w:sz w:val="24"/>
          <w:szCs w:val="24"/>
          <w:lang w:val="en-US"/>
        </w:rPr>
        <w:t xml:space="preserve">inspection of contained use of genetically modified organisms; </w:t>
      </w:r>
    </w:p>
    <w:p w14:paraId="01C1366C" w14:textId="6131E77C" w:rsidR="00814386" w:rsidRPr="00994894" w:rsidRDefault="00814386" w:rsidP="00814386">
      <w:pPr>
        <w:pStyle w:val="Normalwebb"/>
        <w:numPr>
          <w:ilvl w:val="0"/>
          <w:numId w:val="7"/>
        </w:numPr>
        <w:rPr>
          <w:rFonts w:ascii="Times New Roman" w:hAnsi="Times New Roman"/>
          <w:sz w:val="24"/>
          <w:szCs w:val="24"/>
          <w:lang w:val="en-US"/>
        </w:rPr>
      </w:pPr>
      <w:r>
        <w:rPr>
          <w:rFonts w:ascii="Times New Roman" w:hAnsi="Times New Roman"/>
          <w:sz w:val="24"/>
          <w:szCs w:val="24"/>
          <w:lang w:val="en-US"/>
        </w:rPr>
        <w:t>T</w:t>
      </w:r>
      <w:r w:rsidRPr="00994894">
        <w:rPr>
          <w:rFonts w:ascii="Times New Roman" w:hAnsi="Times New Roman"/>
          <w:sz w:val="24"/>
          <w:szCs w:val="24"/>
          <w:lang w:val="en-US"/>
        </w:rPr>
        <w:t xml:space="preserve">he Swedish Work Environment Authority has the responsibility for </w:t>
      </w:r>
      <w:r w:rsidR="004721ED">
        <w:rPr>
          <w:rFonts w:ascii="Times New Roman" w:hAnsi="Times New Roman"/>
          <w:sz w:val="24"/>
          <w:szCs w:val="24"/>
          <w:lang w:val="en-US"/>
        </w:rPr>
        <w:t xml:space="preserve">authorization, </w:t>
      </w:r>
      <w:r w:rsidRPr="00994894">
        <w:rPr>
          <w:rFonts w:ascii="Times New Roman" w:hAnsi="Times New Roman"/>
          <w:sz w:val="24"/>
          <w:szCs w:val="24"/>
          <w:lang w:val="en-US"/>
        </w:rPr>
        <w:t>supervision</w:t>
      </w:r>
      <w:r w:rsidR="00620BFD">
        <w:rPr>
          <w:rFonts w:ascii="Times New Roman" w:hAnsi="Times New Roman"/>
          <w:sz w:val="24"/>
          <w:szCs w:val="24"/>
          <w:lang w:val="en-US"/>
        </w:rPr>
        <w:t xml:space="preserve"> and</w:t>
      </w:r>
      <w:r w:rsidRPr="00994894">
        <w:rPr>
          <w:rFonts w:ascii="Times New Roman" w:hAnsi="Times New Roman"/>
          <w:sz w:val="24"/>
          <w:szCs w:val="24"/>
          <w:lang w:val="en-US"/>
        </w:rPr>
        <w:t xml:space="preserve"> inspection of contained use of genetically modified micro-organisms </w:t>
      </w:r>
      <w:r>
        <w:rPr>
          <w:rFonts w:ascii="Times New Roman" w:hAnsi="Times New Roman"/>
          <w:sz w:val="24"/>
          <w:szCs w:val="24"/>
          <w:lang w:val="en-US"/>
        </w:rPr>
        <w:t xml:space="preserve">(GMM) </w:t>
      </w:r>
      <w:r w:rsidRPr="00994894">
        <w:rPr>
          <w:rFonts w:ascii="Times New Roman" w:hAnsi="Times New Roman"/>
          <w:sz w:val="24"/>
          <w:szCs w:val="24"/>
          <w:lang w:val="en-US"/>
        </w:rPr>
        <w:t>according to the Swedish Environmental Inspection Regulation</w:t>
      </w:r>
      <w:r>
        <w:rPr>
          <w:rStyle w:val="Fotnotsreferens"/>
          <w:rFonts w:ascii="Times New Roman" w:hAnsi="Times New Roman"/>
          <w:szCs w:val="24"/>
        </w:rPr>
        <w:footnoteReference w:id="1"/>
      </w:r>
      <w:r w:rsidRPr="00994894">
        <w:rPr>
          <w:rFonts w:ascii="Times New Roman" w:hAnsi="Times New Roman"/>
          <w:sz w:val="24"/>
          <w:szCs w:val="24"/>
          <w:lang w:val="en-US"/>
        </w:rPr>
        <w:t>. All use of genetically modified micro-organisms is by law required to be reported to the Swedish Work Environment Authority</w:t>
      </w:r>
      <w:r>
        <w:rPr>
          <w:rStyle w:val="Fotnotsreferens"/>
          <w:rFonts w:ascii="Times New Roman" w:hAnsi="Times New Roman"/>
          <w:szCs w:val="24"/>
        </w:rPr>
        <w:footnoteReference w:id="2"/>
      </w:r>
      <w:r w:rsidRPr="00994894">
        <w:rPr>
          <w:rFonts w:ascii="Times New Roman" w:hAnsi="Times New Roman"/>
          <w:sz w:val="24"/>
          <w:szCs w:val="24"/>
          <w:lang w:val="en-US"/>
        </w:rPr>
        <w:t>,</w:t>
      </w:r>
    </w:p>
    <w:p w14:paraId="6C517672" w14:textId="766B5E05" w:rsidR="00814386" w:rsidRPr="00994894" w:rsidRDefault="00814386" w:rsidP="00814386">
      <w:pPr>
        <w:pStyle w:val="Normalwebb"/>
        <w:numPr>
          <w:ilvl w:val="0"/>
          <w:numId w:val="7"/>
        </w:numPr>
        <w:rPr>
          <w:rFonts w:ascii="Times New Roman" w:hAnsi="Times New Roman"/>
          <w:sz w:val="24"/>
          <w:szCs w:val="24"/>
          <w:lang w:val="en-US"/>
        </w:rPr>
      </w:pPr>
      <w:r>
        <w:rPr>
          <w:rFonts w:ascii="Times New Roman" w:hAnsi="Times New Roman"/>
          <w:sz w:val="24"/>
          <w:szCs w:val="24"/>
          <w:lang w:val="en-US"/>
        </w:rPr>
        <w:lastRenderedPageBreak/>
        <w:t>T</w:t>
      </w:r>
      <w:r w:rsidRPr="00994894">
        <w:rPr>
          <w:rFonts w:ascii="Times New Roman" w:hAnsi="Times New Roman"/>
          <w:sz w:val="24"/>
          <w:szCs w:val="24"/>
          <w:lang w:val="en-US"/>
        </w:rPr>
        <w:t xml:space="preserve">he Swedish Board of Agriculture is responsible for </w:t>
      </w:r>
      <w:r w:rsidR="00147CF3">
        <w:rPr>
          <w:rFonts w:ascii="Times New Roman" w:hAnsi="Times New Roman"/>
          <w:sz w:val="24"/>
          <w:szCs w:val="24"/>
          <w:lang w:val="en-US"/>
        </w:rPr>
        <w:t xml:space="preserve">authorization, </w:t>
      </w:r>
      <w:r w:rsidRPr="00994894">
        <w:rPr>
          <w:rFonts w:ascii="Times New Roman" w:hAnsi="Times New Roman"/>
          <w:sz w:val="24"/>
          <w:szCs w:val="24"/>
          <w:lang w:val="en-US"/>
        </w:rPr>
        <w:t>inspection and control of contained use of genetically modified macro-organisms, plants and animals, with the exception of water-living organisms and cell cultures</w:t>
      </w:r>
      <w:r>
        <w:rPr>
          <w:rStyle w:val="Fotnotsreferens"/>
          <w:rFonts w:ascii="Times New Roman" w:hAnsi="Times New Roman"/>
          <w:szCs w:val="24"/>
        </w:rPr>
        <w:footnoteReference w:id="3"/>
      </w:r>
      <w:r w:rsidRPr="00994894">
        <w:rPr>
          <w:rFonts w:ascii="Times New Roman" w:hAnsi="Times New Roman"/>
          <w:sz w:val="24"/>
          <w:szCs w:val="24"/>
          <w:lang w:val="en-US"/>
        </w:rPr>
        <w:t>,</w:t>
      </w:r>
    </w:p>
    <w:p w14:paraId="0C39D72A" w14:textId="77777777" w:rsidR="00814386" w:rsidRPr="00994894" w:rsidRDefault="00814386" w:rsidP="00814386">
      <w:pPr>
        <w:pStyle w:val="Normalwebb"/>
        <w:numPr>
          <w:ilvl w:val="0"/>
          <w:numId w:val="7"/>
        </w:numPr>
        <w:rPr>
          <w:rFonts w:ascii="Times New Roman" w:hAnsi="Times New Roman"/>
          <w:sz w:val="24"/>
          <w:szCs w:val="24"/>
          <w:lang w:val="en-US"/>
        </w:rPr>
      </w:pPr>
      <w:r>
        <w:rPr>
          <w:rFonts w:ascii="Times New Roman" w:hAnsi="Times New Roman"/>
          <w:sz w:val="24"/>
          <w:szCs w:val="24"/>
          <w:lang w:val="en-US"/>
        </w:rPr>
        <w:t>T</w:t>
      </w:r>
      <w:r w:rsidRPr="00994894">
        <w:rPr>
          <w:rFonts w:ascii="Times New Roman" w:hAnsi="Times New Roman"/>
          <w:sz w:val="24"/>
          <w:szCs w:val="24"/>
          <w:lang w:val="en-US"/>
        </w:rPr>
        <w:t>he Swedish Agency for Marine and Water Management is the competent authority for genetically modified water-living organisms</w:t>
      </w:r>
      <w:r>
        <w:rPr>
          <w:rStyle w:val="Fotnotsreferens"/>
          <w:rFonts w:ascii="Times New Roman" w:hAnsi="Times New Roman"/>
          <w:szCs w:val="24"/>
        </w:rPr>
        <w:footnoteReference w:id="4"/>
      </w:r>
      <w:r w:rsidRPr="00994894">
        <w:rPr>
          <w:rFonts w:ascii="Times New Roman" w:hAnsi="Times New Roman"/>
          <w:sz w:val="24"/>
          <w:szCs w:val="24"/>
          <w:lang w:val="en-US"/>
        </w:rPr>
        <w:t xml:space="preserve"> and their contained use.</w:t>
      </w:r>
    </w:p>
    <w:p w14:paraId="7C23EDB8" w14:textId="5DAD86BF" w:rsidR="00521ABC" w:rsidRPr="00994894" w:rsidRDefault="00814386" w:rsidP="00814386">
      <w:pPr>
        <w:pStyle w:val="Normalwebb"/>
        <w:rPr>
          <w:rFonts w:ascii="Times New Roman" w:hAnsi="Times New Roman"/>
          <w:sz w:val="24"/>
          <w:szCs w:val="24"/>
          <w:lang w:val="en-US"/>
        </w:rPr>
      </w:pPr>
      <w:r w:rsidRPr="00994894">
        <w:rPr>
          <w:rFonts w:ascii="Times New Roman" w:hAnsi="Times New Roman"/>
          <w:sz w:val="24"/>
          <w:szCs w:val="24"/>
          <w:lang w:val="en-US"/>
        </w:rPr>
        <w:t xml:space="preserve">Detailed information on the areas of responsibilities regarding genetically modified organisms is given on </w:t>
      </w:r>
      <w:r>
        <w:rPr>
          <w:rFonts w:ascii="Times New Roman" w:hAnsi="Times New Roman"/>
          <w:sz w:val="24"/>
          <w:szCs w:val="24"/>
          <w:lang w:val="en-US"/>
        </w:rPr>
        <w:t xml:space="preserve">the Internet site common to all government authorities with responsibility for genetically modified organisms </w:t>
      </w:r>
      <w:hyperlink r:id="rId9" w:history="1">
        <w:r w:rsidRPr="00994894">
          <w:rPr>
            <w:rStyle w:val="Hyperlnk"/>
            <w:sz w:val="24"/>
            <w:szCs w:val="24"/>
            <w:lang w:val="en-US"/>
          </w:rPr>
          <w:t>www.gmo.nu</w:t>
        </w:r>
      </w:hyperlink>
      <w:r w:rsidRPr="00994894">
        <w:rPr>
          <w:rFonts w:ascii="Times New Roman" w:hAnsi="Times New Roman"/>
          <w:sz w:val="24"/>
          <w:szCs w:val="24"/>
          <w:lang w:val="en-US"/>
        </w:rPr>
        <w:t>.</w:t>
      </w:r>
      <w:r w:rsidR="003F0D02">
        <w:rPr>
          <w:rFonts w:ascii="Times New Roman" w:hAnsi="Times New Roman"/>
          <w:sz w:val="24"/>
          <w:szCs w:val="24"/>
          <w:lang w:val="en-US"/>
        </w:rPr>
        <w:t xml:space="preserve"> </w:t>
      </w:r>
      <w:r w:rsidR="003F0D02" w:rsidRPr="00994894">
        <w:rPr>
          <w:rFonts w:ascii="Times New Roman" w:hAnsi="Times New Roman"/>
          <w:sz w:val="24"/>
          <w:szCs w:val="24"/>
          <w:lang w:val="en-US"/>
        </w:rPr>
        <w:t>The</w:t>
      </w:r>
      <w:r w:rsidR="003F0D02">
        <w:rPr>
          <w:rFonts w:ascii="Times New Roman" w:hAnsi="Times New Roman"/>
          <w:sz w:val="24"/>
          <w:szCs w:val="24"/>
          <w:lang w:val="en-US"/>
        </w:rPr>
        <w:t>se</w:t>
      </w:r>
      <w:r w:rsidR="003F0D02" w:rsidRPr="00994894">
        <w:rPr>
          <w:rFonts w:ascii="Times New Roman" w:hAnsi="Times New Roman"/>
          <w:sz w:val="24"/>
          <w:szCs w:val="24"/>
          <w:lang w:val="en-US"/>
        </w:rPr>
        <w:t xml:space="preserve"> three competent authorities have </w:t>
      </w:r>
      <w:r w:rsidR="003F0D02">
        <w:rPr>
          <w:rFonts w:ascii="Times New Roman" w:hAnsi="Times New Roman"/>
          <w:sz w:val="24"/>
          <w:szCs w:val="24"/>
          <w:lang w:val="en-US"/>
        </w:rPr>
        <w:t xml:space="preserve">issued </w:t>
      </w:r>
      <w:r w:rsidR="003F0D02" w:rsidRPr="00994894">
        <w:rPr>
          <w:rFonts w:ascii="Times New Roman" w:hAnsi="Times New Roman"/>
          <w:sz w:val="24"/>
          <w:szCs w:val="24"/>
          <w:lang w:val="en-US"/>
        </w:rPr>
        <w:t>legal provisions for the contained use of</w:t>
      </w:r>
      <w:r w:rsidR="003F0D02">
        <w:rPr>
          <w:rFonts w:ascii="Times New Roman" w:hAnsi="Times New Roman"/>
          <w:sz w:val="24"/>
          <w:szCs w:val="24"/>
          <w:lang w:val="en-US"/>
        </w:rPr>
        <w:t xml:space="preserve"> genetically modified organisms</w:t>
      </w:r>
      <w:r w:rsidR="003F0D02" w:rsidRPr="00994894">
        <w:rPr>
          <w:rFonts w:ascii="Times New Roman" w:hAnsi="Times New Roman"/>
          <w:sz w:val="24"/>
          <w:szCs w:val="24"/>
          <w:lang w:val="en-US"/>
        </w:rPr>
        <w:t xml:space="preserve"> </w:t>
      </w:r>
      <w:r w:rsidR="003F0D02">
        <w:rPr>
          <w:rFonts w:ascii="Times New Roman" w:hAnsi="Times New Roman"/>
          <w:sz w:val="24"/>
          <w:szCs w:val="24"/>
          <w:lang w:val="en-US"/>
        </w:rPr>
        <w:t>(</w:t>
      </w:r>
      <w:r w:rsidR="003F0D02" w:rsidRPr="00994894">
        <w:rPr>
          <w:rFonts w:ascii="Times New Roman" w:hAnsi="Times New Roman"/>
          <w:sz w:val="24"/>
          <w:szCs w:val="24"/>
          <w:lang w:val="en-US"/>
        </w:rPr>
        <w:t>see Table 1</w:t>
      </w:r>
      <w:r w:rsidR="003F0D02">
        <w:rPr>
          <w:rFonts w:ascii="Times New Roman" w:hAnsi="Times New Roman"/>
          <w:sz w:val="24"/>
          <w:szCs w:val="24"/>
          <w:lang w:val="en-US"/>
        </w:rPr>
        <w:t>)</w:t>
      </w:r>
      <w:r w:rsidR="003F0D02" w:rsidRPr="00994894">
        <w:rPr>
          <w:rFonts w:ascii="Times New Roman" w:hAnsi="Times New Roman"/>
          <w:sz w:val="24"/>
          <w:szCs w:val="24"/>
          <w:lang w:val="en-US"/>
        </w:rPr>
        <w:t>.</w:t>
      </w:r>
    </w:p>
    <w:p w14:paraId="0963ADFF" w14:textId="77777777" w:rsidR="00814386" w:rsidRPr="00994894" w:rsidRDefault="00814386" w:rsidP="00814386">
      <w:pPr>
        <w:pStyle w:val="Normalwebb"/>
        <w:rPr>
          <w:rFonts w:ascii="Times New Roman" w:hAnsi="Times New Roman"/>
          <w:sz w:val="24"/>
          <w:szCs w:val="24"/>
          <w:lang w:val="en-US"/>
        </w:rPr>
      </w:pPr>
      <w:r w:rsidRPr="00994894">
        <w:rPr>
          <w:rFonts w:ascii="Times New Roman" w:hAnsi="Times New Roman"/>
          <w:sz w:val="24"/>
          <w:szCs w:val="24"/>
          <w:lang w:val="en-US"/>
        </w:rPr>
        <w:t>Table 1. Competent Authorities for contained use of living modified organisms</w:t>
      </w:r>
    </w:p>
    <w:tbl>
      <w:tblPr>
        <w:tblStyle w:val="Tabellrutnt"/>
        <w:tblW w:w="0" w:type="auto"/>
        <w:tblLook w:val="04A0" w:firstRow="1" w:lastRow="0" w:firstColumn="1" w:lastColumn="0" w:noHBand="0" w:noVBand="1"/>
      </w:tblPr>
      <w:tblGrid>
        <w:gridCol w:w="2669"/>
        <w:gridCol w:w="2706"/>
        <w:gridCol w:w="2636"/>
      </w:tblGrid>
      <w:tr w:rsidR="00814386" w14:paraId="3C0EC84B" w14:textId="77777777" w:rsidTr="003F0D02">
        <w:tc>
          <w:tcPr>
            <w:tcW w:w="3068" w:type="dxa"/>
          </w:tcPr>
          <w:p w14:paraId="5016D6BE" w14:textId="77777777" w:rsidR="00814386" w:rsidRPr="00E10FB7" w:rsidRDefault="00814386" w:rsidP="003F0D02">
            <w:pPr>
              <w:pStyle w:val="Normalwebb"/>
              <w:rPr>
                <w:rFonts w:asciiTheme="majorHAnsi" w:hAnsiTheme="majorHAnsi" w:cs="Arial"/>
                <w:b/>
              </w:rPr>
            </w:pPr>
            <w:r w:rsidRPr="00E10FB7">
              <w:rPr>
                <w:rFonts w:asciiTheme="majorHAnsi" w:hAnsiTheme="majorHAnsi" w:cs="Arial"/>
                <w:b/>
              </w:rPr>
              <w:t>National Agency</w:t>
            </w:r>
          </w:p>
        </w:tc>
        <w:tc>
          <w:tcPr>
            <w:tcW w:w="3069" w:type="dxa"/>
          </w:tcPr>
          <w:p w14:paraId="17391F54" w14:textId="77777777" w:rsidR="00814386" w:rsidRPr="00E10FB7" w:rsidRDefault="00814386" w:rsidP="003F0D02">
            <w:pPr>
              <w:pStyle w:val="Normalwebb"/>
              <w:rPr>
                <w:rFonts w:asciiTheme="majorHAnsi" w:hAnsiTheme="majorHAnsi" w:cs="Arial"/>
                <w:b/>
                <w:lang w:val="en-US"/>
              </w:rPr>
            </w:pPr>
            <w:r w:rsidRPr="00E10FB7">
              <w:rPr>
                <w:rFonts w:asciiTheme="majorHAnsi" w:hAnsiTheme="majorHAnsi" w:cs="Arial"/>
                <w:b/>
                <w:lang w:val="en-US"/>
              </w:rPr>
              <w:t xml:space="preserve">Area of responsibility for contained use of: </w:t>
            </w:r>
          </w:p>
        </w:tc>
        <w:tc>
          <w:tcPr>
            <w:tcW w:w="3069" w:type="dxa"/>
          </w:tcPr>
          <w:p w14:paraId="05738700" w14:textId="77777777" w:rsidR="00814386" w:rsidRPr="00E10FB7" w:rsidRDefault="00814386" w:rsidP="003F0D02">
            <w:pPr>
              <w:pStyle w:val="Normalwebb"/>
              <w:rPr>
                <w:rFonts w:asciiTheme="majorHAnsi" w:hAnsiTheme="majorHAnsi" w:cs="Arial"/>
                <w:b/>
              </w:rPr>
            </w:pPr>
            <w:r w:rsidRPr="00E10FB7">
              <w:rPr>
                <w:rFonts w:asciiTheme="majorHAnsi" w:hAnsiTheme="majorHAnsi" w:cs="Arial"/>
                <w:b/>
              </w:rPr>
              <w:t xml:space="preserve">Provisions on </w:t>
            </w:r>
            <w:proofErr w:type="spellStart"/>
            <w:r w:rsidRPr="00E10FB7">
              <w:rPr>
                <w:rFonts w:asciiTheme="majorHAnsi" w:hAnsiTheme="majorHAnsi" w:cs="Arial"/>
                <w:b/>
              </w:rPr>
              <w:t>contained</w:t>
            </w:r>
            <w:proofErr w:type="spellEnd"/>
            <w:r w:rsidRPr="00E10FB7">
              <w:rPr>
                <w:rFonts w:asciiTheme="majorHAnsi" w:hAnsiTheme="majorHAnsi" w:cs="Arial"/>
                <w:b/>
              </w:rPr>
              <w:t xml:space="preserve"> </w:t>
            </w:r>
            <w:proofErr w:type="spellStart"/>
            <w:r w:rsidRPr="00E10FB7">
              <w:rPr>
                <w:rFonts w:asciiTheme="majorHAnsi" w:hAnsiTheme="majorHAnsi" w:cs="Arial"/>
                <w:b/>
              </w:rPr>
              <w:t>use</w:t>
            </w:r>
            <w:proofErr w:type="spellEnd"/>
          </w:p>
        </w:tc>
      </w:tr>
      <w:tr w:rsidR="00814386" w14:paraId="778F1BA2" w14:textId="77777777" w:rsidTr="003F0D02">
        <w:tc>
          <w:tcPr>
            <w:tcW w:w="3068" w:type="dxa"/>
          </w:tcPr>
          <w:p w14:paraId="1E26AF0E" w14:textId="77777777" w:rsidR="00814386" w:rsidRPr="00E10FB7" w:rsidRDefault="00814386" w:rsidP="003F0D02">
            <w:pPr>
              <w:pStyle w:val="Normalwebb"/>
              <w:rPr>
                <w:rFonts w:asciiTheme="majorHAnsi" w:hAnsiTheme="majorHAnsi" w:cs="Arial"/>
              </w:rPr>
            </w:pPr>
            <w:r w:rsidRPr="00E10FB7">
              <w:rPr>
                <w:rFonts w:asciiTheme="majorHAnsi" w:hAnsiTheme="majorHAnsi" w:cs="Arial"/>
              </w:rPr>
              <w:t xml:space="preserve">Swedish </w:t>
            </w:r>
            <w:proofErr w:type="spellStart"/>
            <w:r w:rsidRPr="00E10FB7">
              <w:rPr>
                <w:rFonts w:asciiTheme="majorHAnsi" w:hAnsiTheme="majorHAnsi" w:cs="Arial"/>
              </w:rPr>
              <w:t>Work</w:t>
            </w:r>
            <w:proofErr w:type="spellEnd"/>
            <w:r w:rsidRPr="00E10FB7">
              <w:rPr>
                <w:rFonts w:asciiTheme="majorHAnsi" w:hAnsiTheme="majorHAnsi" w:cs="Arial"/>
              </w:rPr>
              <w:t xml:space="preserve"> Environment </w:t>
            </w:r>
            <w:proofErr w:type="spellStart"/>
            <w:r w:rsidRPr="00E10FB7">
              <w:rPr>
                <w:rFonts w:asciiTheme="majorHAnsi" w:hAnsiTheme="majorHAnsi" w:cs="Arial"/>
              </w:rPr>
              <w:t>Authority</w:t>
            </w:r>
            <w:proofErr w:type="spellEnd"/>
          </w:p>
        </w:tc>
        <w:tc>
          <w:tcPr>
            <w:tcW w:w="3069" w:type="dxa"/>
          </w:tcPr>
          <w:p w14:paraId="4D165C57" w14:textId="77777777" w:rsidR="00814386" w:rsidRPr="00E10FB7" w:rsidRDefault="00814386" w:rsidP="003F0D02">
            <w:pPr>
              <w:pStyle w:val="Normalwebb"/>
              <w:rPr>
                <w:rFonts w:asciiTheme="majorHAnsi" w:hAnsiTheme="majorHAnsi" w:cs="Arial"/>
              </w:rPr>
            </w:pPr>
            <w:proofErr w:type="spellStart"/>
            <w:r w:rsidRPr="00E10FB7">
              <w:rPr>
                <w:rFonts w:asciiTheme="majorHAnsi" w:hAnsiTheme="majorHAnsi" w:cs="Arial"/>
              </w:rPr>
              <w:t>genetically</w:t>
            </w:r>
            <w:proofErr w:type="spellEnd"/>
            <w:r w:rsidRPr="00E10FB7">
              <w:rPr>
                <w:rFonts w:asciiTheme="majorHAnsi" w:hAnsiTheme="majorHAnsi" w:cs="Arial"/>
              </w:rPr>
              <w:t xml:space="preserve"> </w:t>
            </w:r>
            <w:proofErr w:type="spellStart"/>
            <w:r w:rsidRPr="00E10FB7">
              <w:rPr>
                <w:rFonts w:asciiTheme="majorHAnsi" w:hAnsiTheme="majorHAnsi" w:cs="Arial"/>
              </w:rPr>
              <w:t>modified</w:t>
            </w:r>
            <w:proofErr w:type="spellEnd"/>
            <w:r w:rsidRPr="00E10FB7">
              <w:rPr>
                <w:rFonts w:asciiTheme="majorHAnsi" w:hAnsiTheme="majorHAnsi" w:cs="Arial"/>
              </w:rPr>
              <w:t xml:space="preserve"> </w:t>
            </w:r>
            <w:proofErr w:type="spellStart"/>
            <w:r w:rsidRPr="00E10FB7">
              <w:rPr>
                <w:rFonts w:asciiTheme="majorHAnsi" w:hAnsiTheme="majorHAnsi" w:cs="Arial"/>
              </w:rPr>
              <w:t>micro</w:t>
            </w:r>
            <w:proofErr w:type="spellEnd"/>
            <w:r w:rsidRPr="00E10FB7">
              <w:rPr>
                <w:rFonts w:asciiTheme="majorHAnsi" w:hAnsiTheme="majorHAnsi" w:cs="Arial"/>
              </w:rPr>
              <w:t>-organisms</w:t>
            </w:r>
          </w:p>
        </w:tc>
        <w:tc>
          <w:tcPr>
            <w:tcW w:w="3069" w:type="dxa"/>
          </w:tcPr>
          <w:p w14:paraId="6DE14E8B" w14:textId="77777777" w:rsidR="00814386" w:rsidRPr="00E10FB7" w:rsidRDefault="00814386" w:rsidP="003F0D02">
            <w:pPr>
              <w:pStyle w:val="Normalwebb"/>
              <w:rPr>
                <w:rFonts w:asciiTheme="majorHAnsi" w:hAnsiTheme="majorHAnsi" w:cs="Arial"/>
              </w:rPr>
            </w:pPr>
            <w:r w:rsidRPr="00E10FB7">
              <w:rPr>
                <w:rFonts w:asciiTheme="majorHAnsi" w:hAnsiTheme="majorHAnsi" w:cs="Arial"/>
              </w:rPr>
              <w:t>AFS 2011:2</w:t>
            </w:r>
          </w:p>
        </w:tc>
      </w:tr>
      <w:tr w:rsidR="00814386" w:rsidRPr="00E10FB7" w14:paraId="612F6777" w14:textId="77777777" w:rsidTr="003F0D02">
        <w:tc>
          <w:tcPr>
            <w:tcW w:w="3068" w:type="dxa"/>
          </w:tcPr>
          <w:p w14:paraId="482420D8" w14:textId="77777777" w:rsidR="00814386" w:rsidRPr="00E10FB7" w:rsidRDefault="00814386" w:rsidP="003F0D02">
            <w:pPr>
              <w:pStyle w:val="Normalwebb"/>
              <w:rPr>
                <w:rFonts w:asciiTheme="majorHAnsi" w:hAnsiTheme="majorHAnsi" w:cs="Arial"/>
              </w:rPr>
            </w:pPr>
            <w:r w:rsidRPr="00E10FB7">
              <w:rPr>
                <w:rFonts w:asciiTheme="majorHAnsi" w:hAnsiTheme="majorHAnsi" w:cs="Arial"/>
              </w:rPr>
              <w:t xml:space="preserve">Swedish Board </w:t>
            </w:r>
            <w:proofErr w:type="spellStart"/>
            <w:r w:rsidRPr="00E10FB7">
              <w:rPr>
                <w:rFonts w:asciiTheme="majorHAnsi" w:hAnsiTheme="majorHAnsi" w:cs="Arial"/>
              </w:rPr>
              <w:t>of</w:t>
            </w:r>
            <w:proofErr w:type="spellEnd"/>
            <w:r w:rsidRPr="00E10FB7">
              <w:rPr>
                <w:rFonts w:asciiTheme="majorHAnsi" w:hAnsiTheme="majorHAnsi" w:cs="Arial"/>
              </w:rPr>
              <w:t xml:space="preserve"> </w:t>
            </w:r>
            <w:proofErr w:type="spellStart"/>
            <w:r w:rsidRPr="00E10FB7">
              <w:rPr>
                <w:rFonts w:asciiTheme="majorHAnsi" w:hAnsiTheme="majorHAnsi" w:cs="Arial"/>
              </w:rPr>
              <w:t>Agriculture</w:t>
            </w:r>
            <w:proofErr w:type="spellEnd"/>
          </w:p>
        </w:tc>
        <w:tc>
          <w:tcPr>
            <w:tcW w:w="3069" w:type="dxa"/>
          </w:tcPr>
          <w:p w14:paraId="2D0CD636" w14:textId="77777777" w:rsidR="00814386" w:rsidRPr="00E10FB7" w:rsidRDefault="00814386" w:rsidP="003F0D02">
            <w:pPr>
              <w:pStyle w:val="Normalwebb"/>
              <w:rPr>
                <w:rFonts w:asciiTheme="majorHAnsi" w:hAnsiTheme="majorHAnsi" w:cs="Arial"/>
                <w:lang w:val="en-US"/>
              </w:rPr>
            </w:pPr>
            <w:r w:rsidRPr="00E10FB7">
              <w:rPr>
                <w:rFonts w:asciiTheme="majorHAnsi" w:hAnsiTheme="majorHAnsi" w:cs="Arial"/>
                <w:lang w:val="en-US"/>
              </w:rPr>
              <w:t>genetically modified macro-organisms, plants and animals, with the exception of water-living organisms and cell cultures</w:t>
            </w:r>
          </w:p>
        </w:tc>
        <w:tc>
          <w:tcPr>
            <w:tcW w:w="3069" w:type="dxa"/>
          </w:tcPr>
          <w:p w14:paraId="6082A3FE" w14:textId="77777777" w:rsidR="00814386" w:rsidRPr="00E10FB7" w:rsidRDefault="00814386" w:rsidP="003F0D02">
            <w:pPr>
              <w:pStyle w:val="Normalwebb"/>
              <w:rPr>
                <w:rFonts w:asciiTheme="majorHAnsi" w:hAnsiTheme="majorHAnsi" w:cs="Arial"/>
                <w:bCs/>
              </w:rPr>
            </w:pPr>
            <w:r w:rsidRPr="00E10FB7">
              <w:rPr>
                <w:rFonts w:asciiTheme="majorHAnsi" w:hAnsiTheme="majorHAnsi" w:cs="Arial"/>
                <w:bCs/>
              </w:rPr>
              <w:t>SJVFS 2007:29</w:t>
            </w:r>
            <w:r w:rsidRPr="00E10FB7">
              <w:rPr>
                <w:rStyle w:val="Fotnotsreferens"/>
                <w:rFonts w:cs="Arial"/>
                <w:bCs/>
              </w:rPr>
              <w:footnoteReference w:id="5"/>
            </w:r>
            <w:r w:rsidRPr="00E10FB7">
              <w:rPr>
                <w:rFonts w:asciiTheme="majorHAnsi" w:hAnsiTheme="majorHAnsi" w:cs="Arial"/>
                <w:bCs/>
              </w:rPr>
              <w:t xml:space="preserve">, </w:t>
            </w:r>
          </w:p>
          <w:p w14:paraId="0EDA20F7" w14:textId="77777777" w:rsidR="00814386" w:rsidRPr="00E10FB7" w:rsidRDefault="00814386" w:rsidP="003F0D02">
            <w:pPr>
              <w:pStyle w:val="Normalwebb"/>
              <w:rPr>
                <w:rFonts w:asciiTheme="majorHAnsi" w:hAnsiTheme="majorHAnsi" w:cs="Arial"/>
                <w:bCs/>
              </w:rPr>
            </w:pPr>
            <w:r w:rsidRPr="00E10FB7">
              <w:rPr>
                <w:rFonts w:asciiTheme="majorHAnsi" w:hAnsiTheme="majorHAnsi" w:cs="Arial"/>
              </w:rPr>
              <w:t>SJVFS 1995:33</w:t>
            </w:r>
            <w:r w:rsidRPr="00E10FB7">
              <w:rPr>
                <w:rStyle w:val="Fotnotsreferens"/>
                <w:rFonts w:cs="Arial"/>
              </w:rPr>
              <w:footnoteReference w:id="6"/>
            </w:r>
          </w:p>
        </w:tc>
      </w:tr>
      <w:tr w:rsidR="00814386" w:rsidRPr="00E10FB7" w14:paraId="1B8D22C9" w14:textId="77777777" w:rsidTr="003F0D02">
        <w:tc>
          <w:tcPr>
            <w:tcW w:w="3068" w:type="dxa"/>
          </w:tcPr>
          <w:p w14:paraId="72A121DC" w14:textId="77777777" w:rsidR="00814386" w:rsidRPr="00E10FB7" w:rsidRDefault="00814386" w:rsidP="003F0D02">
            <w:pPr>
              <w:pStyle w:val="Normalwebb"/>
              <w:rPr>
                <w:rFonts w:asciiTheme="majorHAnsi" w:hAnsiTheme="majorHAnsi"/>
                <w:lang w:val="en-US"/>
              </w:rPr>
            </w:pPr>
            <w:r w:rsidRPr="00E10FB7">
              <w:rPr>
                <w:rFonts w:asciiTheme="majorHAnsi" w:hAnsiTheme="majorHAnsi"/>
                <w:lang w:val="en-US"/>
              </w:rPr>
              <w:t>Swedish Agency for Marine and Water Management</w:t>
            </w:r>
          </w:p>
        </w:tc>
        <w:tc>
          <w:tcPr>
            <w:tcW w:w="3069" w:type="dxa"/>
          </w:tcPr>
          <w:p w14:paraId="2A9CE8C3" w14:textId="77777777" w:rsidR="00814386" w:rsidRPr="00E10FB7" w:rsidRDefault="00814386" w:rsidP="003F0D02">
            <w:pPr>
              <w:pStyle w:val="Normalwebb"/>
              <w:rPr>
                <w:rFonts w:asciiTheme="majorHAnsi" w:hAnsiTheme="majorHAnsi"/>
                <w:lang w:val="en-US"/>
              </w:rPr>
            </w:pPr>
            <w:r w:rsidRPr="00E10FB7">
              <w:rPr>
                <w:rFonts w:asciiTheme="majorHAnsi" w:hAnsiTheme="majorHAnsi"/>
                <w:lang w:val="en-US"/>
              </w:rPr>
              <w:t>genetically modified water-living organisms</w:t>
            </w:r>
          </w:p>
        </w:tc>
        <w:tc>
          <w:tcPr>
            <w:tcW w:w="3069" w:type="dxa"/>
          </w:tcPr>
          <w:p w14:paraId="609A53C9" w14:textId="77777777" w:rsidR="00814386" w:rsidRPr="00E10FB7" w:rsidRDefault="00814386" w:rsidP="003F0D02">
            <w:pPr>
              <w:pStyle w:val="Normalwebb"/>
              <w:rPr>
                <w:rFonts w:asciiTheme="majorHAnsi" w:hAnsiTheme="majorHAnsi"/>
              </w:rPr>
            </w:pPr>
            <w:r w:rsidRPr="00E10FB7">
              <w:rPr>
                <w:rFonts w:asciiTheme="majorHAnsi" w:hAnsiTheme="majorHAnsi"/>
                <w:bCs/>
              </w:rPr>
              <w:t>HVMFS 2011:5</w:t>
            </w:r>
          </w:p>
        </w:tc>
      </w:tr>
    </w:tbl>
    <w:p w14:paraId="510090BE" w14:textId="77777777" w:rsidR="003F0D02" w:rsidRDefault="003F0D02" w:rsidP="00814386">
      <w:pPr>
        <w:pStyle w:val="Rubrik2"/>
        <w:rPr>
          <w:b w:val="0"/>
          <w:lang w:val="en-US"/>
        </w:rPr>
      </w:pPr>
    </w:p>
    <w:p w14:paraId="06061E59" w14:textId="77777777" w:rsidR="00814386" w:rsidRPr="00601027" w:rsidRDefault="00814386" w:rsidP="00814386">
      <w:pPr>
        <w:pStyle w:val="Rubrik2"/>
        <w:rPr>
          <w:b w:val="0"/>
          <w:lang w:val="en-US"/>
        </w:rPr>
      </w:pPr>
      <w:r w:rsidRPr="00601027">
        <w:rPr>
          <w:b w:val="0"/>
          <w:lang w:val="en-US"/>
        </w:rPr>
        <w:t>European Union and National legislation on c</w:t>
      </w:r>
      <w:r>
        <w:rPr>
          <w:b w:val="0"/>
          <w:lang w:val="en-US"/>
        </w:rPr>
        <w:t>ontained use of genetically modi</w:t>
      </w:r>
      <w:r w:rsidRPr="00601027">
        <w:rPr>
          <w:b w:val="0"/>
          <w:lang w:val="en-US"/>
        </w:rPr>
        <w:t>fied organisms</w:t>
      </w:r>
    </w:p>
    <w:p w14:paraId="33C6F2CE" w14:textId="5ED90A40" w:rsidR="00814386" w:rsidRDefault="00814386" w:rsidP="00814386">
      <w:pPr>
        <w:pStyle w:val="Normalwebb"/>
        <w:rPr>
          <w:rFonts w:ascii="Times New Roman" w:hAnsi="Times New Roman"/>
          <w:sz w:val="24"/>
          <w:szCs w:val="24"/>
          <w:lang w:val="en-US"/>
        </w:rPr>
      </w:pPr>
      <w:r w:rsidRPr="00994894">
        <w:rPr>
          <w:rFonts w:ascii="Times New Roman" w:hAnsi="Times New Roman"/>
          <w:sz w:val="24"/>
          <w:szCs w:val="24"/>
          <w:lang w:val="en-US"/>
        </w:rPr>
        <w:t xml:space="preserve">The requirements in the Directive 2009/41/EG </w:t>
      </w:r>
      <w:r w:rsidRPr="003F0D02">
        <w:rPr>
          <w:rFonts w:ascii="Times New Roman" w:hAnsi="Times New Roman"/>
          <w:sz w:val="24"/>
          <w:szCs w:val="24"/>
          <w:lang w:val="en-US"/>
        </w:rPr>
        <w:t xml:space="preserve">of the European Parliament and of the Council of 6 May 2009 </w:t>
      </w:r>
      <w:r w:rsidRPr="003F0D02">
        <w:rPr>
          <w:rFonts w:ascii="Times New Roman" w:hAnsi="Times New Roman"/>
          <w:i/>
          <w:sz w:val="24"/>
          <w:szCs w:val="24"/>
          <w:lang w:val="en-US"/>
        </w:rPr>
        <w:t xml:space="preserve">on the contained use of genetically modified </w:t>
      </w:r>
      <w:proofErr w:type="gramStart"/>
      <w:r w:rsidRPr="003F0D02">
        <w:rPr>
          <w:rFonts w:ascii="Times New Roman" w:hAnsi="Times New Roman"/>
          <w:i/>
          <w:sz w:val="24"/>
          <w:szCs w:val="24"/>
          <w:lang w:val="en-US"/>
        </w:rPr>
        <w:t>micro-organisms</w:t>
      </w:r>
      <w:proofErr w:type="gramEnd"/>
      <w:r w:rsidRPr="003F0D02">
        <w:rPr>
          <w:rFonts w:ascii="Times New Roman" w:hAnsi="Times New Roman"/>
          <w:sz w:val="24"/>
          <w:szCs w:val="24"/>
          <w:lang w:val="en-US"/>
        </w:rPr>
        <w:t xml:space="preserve"> are</w:t>
      </w:r>
      <w:r w:rsidR="00F867B5" w:rsidRPr="003F0D02">
        <w:rPr>
          <w:rFonts w:ascii="Times New Roman" w:hAnsi="Times New Roman"/>
          <w:sz w:val="24"/>
          <w:szCs w:val="24"/>
          <w:lang w:val="en-US"/>
        </w:rPr>
        <w:t xml:space="preserve"> minimum requirements that are to be implemented through</w:t>
      </w:r>
      <w:r w:rsidR="00F867B5">
        <w:rPr>
          <w:rFonts w:ascii="Times New Roman" w:hAnsi="Times New Roman"/>
          <w:sz w:val="24"/>
          <w:szCs w:val="24"/>
          <w:lang w:val="en-US"/>
        </w:rPr>
        <w:t xml:space="preserve">                                              </w:t>
      </w:r>
      <w:r w:rsidRPr="00994894">
        <w:rPr>
          <w:rFonts w:ascii="Times New Roman" w:hAnsi="Times New Roman"/>
          <w:sz w:val="24"/>
          <w:szCs w:val="24"/>
          <w:lang w:val="en-US"/>
        </w:rPr>
        <w:t xml:space="preserve"> the legislation of its member states. </w:t>
      </w:r>
      <w:r w:rsidR="00F867B5">
        <w:rPr>
          <w:rFonts w:ascii="Times New Roman" w:hAnsi="Times New Roman"/>
          <w:sz w:val="24"/>
          <w:szCs w:val="24"/>
          <w:lang w:val="en-US"/>
        </w:rPr>
        <w:t xml:space="preserve">Member states may have stricter </w:t>
      </w:r>
      <w:r w:rsidR="002A6BBA">
        <w:rPr>
          <w:rFonts w:ascii="Times New Roman" w:hAnsi="Times New Roman"/>
          <w:sz w:val="24"/>
          <w:szCs w:val="24"/>
          <w:lang w:val="en-US"/>
        </w:rPr>
        <w:t>regulations</w:t>
      </w:r>
      <w:r w:rsidR="00F867B5">
        <w:rPr>
          <w:rFonts w:ascii="Times New Roman" w:hAnsi="Times New Roman"/>
          <w:sz w:val="24"/>
          <w:szCs w:val="24"/>
          <w:lang w:val="en-US"/>
        </w:rPr>
        <w:t xml:space="preserve"> than those specified in the directive.</w:t>
      </w:r>
    </w:p>
    <w:p w14:paraId="6BC392EB" w14:textId="0101EEA8" w:rsidR="00F867B5" w:rsidRPr="00406CDF" w:rsidRDefault="00814386" w:rsidP="00F867B5">
      <w:pPr>
        <w:pStyle w:val="Normalwebb"/>
        <w:rPr>
          <w:rFonts w:ascii="Times New Roman" w:hAnsi="Times New Roman"/>
          <w:sz w:val="24"/>
          <w:szCs w:val="24"/>
          <w:lang w:val="en-US"/>
        </w:rPr>
      </w:pPr>
      <w:r w:rsidRPr="00994894">
        <w:rPr>
          <w:rFonts w:ascii="Times New Roman" w:hAnsi="Times New Roman"/>
          <w:sz w:val="24"/>
          <w:szCs w:val="24"/>
          <w:lang w:val="en-US"/>
        </w:rPr>
        <w:t xml:space="preserve">The provisions in </w:t>
      </w:r>
      <w:r>
        <w:rPr>
          <w:rFonts w:ascii="Times New Roman" w:hAnsi="Times New Roman"/>
          <w:sz w:val="24"/>
          <w:szCs w:val="24"/>
          <w:lang w:val="en-US"/>
        </w:rPr>
        <w:t>D</w:t>
      </w:r>
      <w:r w:rsidRPr="00994894">
        <w:rPr>
          <w:rFonts w:ascii="Times New Roman" w:hAnsi="Times New Roman"/>
          <w:sz w:val="24"/>
          <w:szCs w:val="24"/>
          <w:lang w:val="en-US"/>
        </w:rPr>
        <w:t xml:space="preserve">irective 2009/41/EG </w:t>
      </w:r>
      <w:r>
        <w:rPr>
          <w:rFonts w:ascii="Times New Roman" w:hAnsi="Times New Roman"/>
          <w:sz w:val="24"/>
          <w:szCs w:val="24"/>
          <w:lang w:val="en-US"/>
        </w:rPr>
        <w:t xml:space="preserve"> have</w:t>
      </w:r>
      <w:r w:rsidRPr="00994894">
        <w:rPr>
          <w:rFonts w:ascii="Times New Roman" w:hAnsi="Times New Roman"/>
          <w:sz w:val="24"/>
          <w:szCs w:val="24"/>
          <w:lang w:val="en-US"/>
        </w:rPr>
        <w:t xml:space="preserve"> been included in the Swedish Environmental Code (1998:808) Chapter 13, paragraph 5</w:t>
      </w:r>
      <w:r w:rsidR="00147CF3">
        <w:rPr>
          <w:rFonts w:ascii="Times New Roman" w:hAnsi="Times New Roman"/>
          <w:sz w:val="24"/>
          <w:szCs w:val="24"/>
          <w:lang w:val="en-US"/>
        </w:rPr>
        <w:t>,</w:t>
      </w:r>
      <w:r w:rsidRPr="00994894">
        <w:rPr>
          <w:rFonts w:ascii="Times New Roman" w:hAnsi="Times New Roman"/>
          <w:sz w:val="24"/>
          <w:szCs w:val="24"/>
          <w:lang w:val="en-US"/>
        </w:rPr>
        <w:t xml:space="preserve"> the Swedish Ordinance (SFS 2000:271) </w:t>
      </w:r>
      <w:r w:rsidRPr="002A6BBA">
        <w:rPr>
          <w:rFonts w:ascii="Times New Roman" w:hAnsi="Times New Roman"/>
          <w:sz w:val="24"/>
          <w:szCs w:val="24"/>
          <w:lang w:val="en-US"/>
        </w:rPr>
        <w:t>on the contained use of genetically modified</w:t>
      </w:r>
      <w:r w:rsidRPr="00994894">
        <w:rPr>
          <w:rFonts w:ascii="Times New Roman" w:hAnsi="Times New Roman"/>
          <w:i/>
          <w:sz w:val="24"/>
          <w:szCs w:val="24"/>
          <w:lang w:val="en-US"/>
        </w:rPr>
        <w:t xml:space="preserve"> </w:t>
      </w:r>
      <w:r w:rsidRPr="002A6BBA">
        <w:rPr>
          <w:rFonts w:ascii="Times New Roman" w:hAnsi="Times New Roman"/>
          <w:sz w:val="24"/>
          <w:szCs w:val="24"/>
          <w:lang w:val="en-US"/>
        </w:rPr>
        <w:t>organisms</w:t>
      </w:r>
      <w:r w:rsidR="004721ED">
        <w:rPr>
          <w:rFonts w:ascii="Times New Roman" w:hAnsi="Times New Roman"/>
          <w:sz w:val="24"/>
          <w:szCs w:val="24"/>
          <w:lang w:val="en-US"/>
        </w:rPr>
        <w:t xml:space="preserve"> and the Swedish Work Environment Provisions (AFS 2011:2) on the contained use of genetically modified microorganisms.</w:t>
      </w:r>
      <w:r>
        <w:rPr>
          <w:rFonts w:ascii="Times New Roman" w:hAnsi="Times New Roman"/>
          <w:sz w:val="24"/>
          <w:szCs w:val="24"/>
          <w:lang w:val="en-US"/>
        </w:rPr>
        <w:t xml:space="preserve"> The legal provisions for </w:t>
      </w:r>
      <w:r>
        <w:rPr>
          <w:rFonts w:ascii="Times New Roman" w:hAnsi="Times New Roman"/>
          <w:sz w:val="24"/>
          <w:szCs w:val="24"/>
          <w:lang w:val="en-US"/>
        </w:rPr>
        <w:lastRenderedPageBreak/>
        <w:t xml:space="preserve">enabling the competent authorities to </w:t>
      </w:r>
      <w:r w:rsidR="00F867B5">
        <w:rPr>
          <w:rFonts w:ascii="Times New Roman" w:hAnsi="Times New Roman"/>
          <w:sz w:val="24"/>
          <w:szCs w:val="24"/>
          <w:lang w:val="en-US"/>
        </w:rPr>
        <w:t xml:space="preserve">inspect and control activities using genetically modified organisms in contained use are in the Environmental Inspection Ordinance (2011:13). </w:t>
      </w:r>
      <w:r w:rsidR="002A6BBA">
        <w:rPr>
          <w:rFonts w:ascii="Times New Roman" w:hAnsi="Times New Roman"/>
          <w:sz w:val="24"/>
          <w:szCs w:val="24"/>
          <w:lang w:val="en-US"/>
        </w:rPr>
        <w:t>Animal w</w:t>
      </w:r>
      <w:r w:rsidR="00F867B5">
        <w:rPr>
          <w:rFonts w:ascii="Times New Roman" w:hAnsi="Times New Roman"/>
          <w:sz w:val="24"/>
          <w:szCs w:val="24"/>
          <w:lang w:val="en-US"/>
        </w:rPr>
        <w:t>elfare regulations for animal testing also apply for genetically modified animals in contained use.</w:t>
      </w:r>
    </w:p>
    <w:p w14:paraId="48E832BD" w14:textId="444F129B" w:rsidR="00F867B5" w:rsidRDefault="00F867B5" w:rsidP="00F867B5">
      <w:pPr>
        <w:widowControl w:val="0"/>
        <w:tabs>
          <w:tab w:val="left" w:pos="220"/>
          <w:tab w:val="left" w:pos="720"/>
        </w:tabs>
        <w:autoSpaceDE w:val="0"/>
        <w:autoSpaceDN w:val="0"/>
        <w:adjustRightInd w:val="0"/>
        <w:jc w:val="both"/>
        <w:rPr>
          <w:lang w:val="en-US"/>
        </w:rPr>
      </w:pPr>
      <w:r w:rsidRPr="00D84C0E">
        <w:rPr>
          <w:lang w:val="en-US"/>
        </w:rPr>
        <w:t xml:space="preserve">The Swedish Work Environment Authority is required to report its experiences with </w:t>
      </w:r>
      <w:r w:rsidR="002A6BBA">
        <w:rPr>
          <w:lang w:val="en-US"/>
        </w:rPr>
        <w:t xml:space="preserve">implementing </w:t>
      </w:r>
      <w:r w:rsidRPr="00994894">
        <w:rPr>
          <w:lang w:val="en-US"/>
        </w:rPr>
        <w:t>Directive 2009/41/EG every third year</w:t>
      </w:r>
      <w:r w:rsidR="00164830">
        <w:rPr>
          <w:lang w:val="en-US"/>
        </w:rPr>
        <w:t xml:space="preserve"> to the European Commission</w:t>
      </w:r>
      <w:r w:rsidRPr="00994894">
        <w:rPr>
          <w:lang w:val="en-US"/>
        </w:rPr>
        <w:t xml:space="preserve">. The latest report was in 2014. The </w:t>
      </w:r>
      <w:r w:rsidR="00164830">
        <w:rPr>
          <w:lang w:val="en-US"/>
        </w:rPr>
        <w:t>European Commission</w:t>
      </w:r>
      <w:r w:rsidRPr="00994894">
        <w:rPr>
          <w:lang w:val="en-US"/>
        </w:rPr>
        <w:t xml:space="preserve"> then compiles all of the member state reports.  The Swedish Work Authority is also required to </w:t>
      </w:r>
      <w:r w:rsidR="002A6BBA" w:rsidRPr="00994894">
        <w:rPr>
          <w:lang w:val="en-US"/>
        </w:rPr>
        <w:t xml:space="preserve">annually </w:t>
      </w:r>
      <w:r w:rsidRPr="00994894">
        <w:rPr>
          <w:lang w:val="en-US"/>
        </w:rPr>
        <w:t xml:space="preserve">report </w:t>
      </w:r>
      <w:r w:rsidR="002A6BBA">
        <w:rPr>
          <w:lang w:val="en-US"/>
        </w:rPr>
        <w:t>on the permits</w:t>
      </w:r>
      <w:r w:rsidR="002A6BBA" w:rsidRPr="00994894">
        <w:rPr>
          <w:lang w:val="en-US"/>
        </w:rPr>
        <w:t xml:space="preserve"> granted for contained use of GMM </w:t>
      </w:r>
      <w:r w:rsidR="002A6BBA">
        <w:rPr>
          <w:lang w:val="en-US"/>
        </w:rPr>
        <w:t>in</w:t>
      </w:r>
      <w:r w:rsidR="002A6BBA" w:rsidRPr="00994894">
        <w:rPr>
          <w:lang w:val="en-US"/>
        </w:rPr>
        <w:t xml:space="preserve"> risk classes 3 and 4</w:t>
      </w:r>
      <w:r w:rsidR="002A6BBA">
        <w:rPr>
          <w:lang w:val="en-US"/>
        </w:rPr>
        <w:t xml:space="preserve">, </w:t>
      </w:r>
      <w:r w:rsidRPr="00994894">
        <w:rPr>
          <w:lang w:val="en-US"/>
        </w:rPr>
        <w:t>to the European Commission.</w:t>
      </w:r>
    </w:p>
    <w:p w14:paraId="2A1F6E8C" w14:textId="77777777" w:rsidR="00644790" w:rsidRDefault="00644790" w:rsidP="00F867B5">
      <w:pPr>
        <w:widowControl w:val="0"/>
        <w:tabs>
          <w:tab w:val="left" w:pos="220"/>
          <w:tab w:val="left" w:pos="720"/>
        </w:tabs>
        <w:autoSpaceDE w:val="0"/>
        <w:autoSpaceDN w:val="0"/>
        <w:adjustRightInd w:val="0"/>
        <w:jc w:val="both"/>
        <w:rPr>
          <w:lang w:val="en-US"/>
        </w:rPr>
      </w:pPr>
    </w:p>
    <w:p w14:paraId="34A146A1" w14:textId="77777777" w:rsidR="00644790" w:rsidRDefault="00644790" w:rsidP="00644790">
      <w:pPr>
        <w:rPr>
          <w:lang w:val="en-US"/>
        </w:rPr>
      </w:pPr>
      <w:r>
        <w:rPr>
          <w:lang w:val="en-US"/>
        </w:rPr>
        <w:t>The European Directive 2000/54/</w:t>
      </w:r>
      <w:r w:rsidRPr="00DB3CDD">
        <w:rPr>
          <w:i/>
          <w:lang w:val="en-US"/>
        </w:rPr>
        <w:t>EC on the protection of workers from risks related to exposure to biological agents at work</w:t>
      </w:r>
      <w:r>
        <w:rPr>
          <w:lang w:val="en-US"/>
        </w:rPr>
        <w:t xml:space="preserve"> is also applicable to work places with contained use of </w:t>
      </w:r>
      <w:proofErr w:type="spellStart"/>
      <w:r>
        <w:rPr>
          <w:lang w:val="en-US"/>
        </w:rPr>
        <w:t>GMM</w:t>
      </w:r>
      <w:proofErr w:type="spellEnd"/>
      <w:r>
        <w:rPr>
          <w:lang w:val="en-US"/>
        </w:rPr>
        <w:t xml:space="preserve">, especially when the </w:t>
      </w:r>
      <w:proofErr w:type="spellStart"/>
      <w:r>
        <w:rPr>
          <w:lang w:val="en-US"/>
        </w:rPr>
        <w:t>GMMs</w:t>
      </w:r>
      <w:proofErr w:type="spellEnd"/>
      <w:r>
        <w:rPr>
          <w:lang w:val="en-US"/>
        </w:rPr>
        <w:t xml:space="preserve"> are human pathogens. Directive 2000/54/EC also contains obligations to notify the use of biological agents (human pathogens), whether or not they are genetically modified, and certain safety measures must be taken at different levels, as well as the safety measures specified in the Contained Use Directive 2009/41/EC.</w:t>
      </w:r>
    </w:p>
    <w:p w14:paraId="17F5328F" w14:textId="77777777" w:rsidR="00644790" w:rsidRDefault="00644790" w:rsidP="00F867B5">
      <w:pPr>
        <w:widowControl w:val="0"/>
        <w:tabs>
          <w:tab w:val="left" w:pos="220"/>
          <w:tab w:val="left" w:pos="720"/>
        </w:tabs>
        <w:autoSpaceDE w:val="0"/>
        <w:autoSpaceDN w:val="0"/>
        <w:adjustRightInd w:val="0"/>
        <w:jc w:val="both"/>
        <w:rPr>
          <w:lang w:val="en-US"/>
        </w:rPr>
      </w:pPr>
    </w:p>
    <w:p w14:paraId="272EADB9" w14:textId="77777777" w:rsidR="00FE7862" w:rsidRDefault="00FE7862" w:rsidP="00F867B5">
      <w:pPr>
        <w:widowControl w:val="0"/>
        <w:tabs>
          <w:tab w:val="left" w:pos="220"/>
          <w:tab w:val="left" w:pos="720"/>
        </w:tabs>
        <w:autoSpaceDE w:val="0"/>
        <w:autoSpaceDN w:val="0"/>
        <w:adjustRightInd w:val="0"/>
        <w:jc w:val="both"/>
        <w:rPr>
          <w:lang w:val="en-US"/>
        </w:rPr>
      </w:pPr>
    </w:p>
    <w:p w14:paraId="271E8E70" w14:textId="77777777" w:rsidR="00FE7862" w:rsidRPr="008368CD" w:rsidRDefault="00FE7862" w:rsidP="00FE7862">
      <w:pPr>
        <w:pStyle w:val="Rubrik3"/>
        <w:rPr>
          <w:lang w:val="en-US"/>
        </w:rPr>
      </w:pPr>
      <w:r w:rsidRPr="008368CD">
        <w:rPr>
          <w:lang w:val="en-US"/>
        </w:rPr>
        <w:t>Risk classes for contained use</w:t>
      </w:r>
      <w:r>
        <w:rPr>
          <w:lang w:val="en-US"/>
        </w:rPr>
        <w:t xml:space="preserve"> of genetically modified micro-organisms</w:t>
      </w:r>
    </w:p>
    <w:p w14:paraId="5A4B14DC" w14:textId="5B793D2C" w:rsidR="00FE7862" w:rsidRPr="00606326" w:rsidRDefault="00FE7862" w:rsidP="00FE7862">
      <w:pPr>
        <w:pStyle w:val="Normalwebb"/>
        <w:rPr>
          <w:rFonts w:ascii="Times New Roman" w:hAnsi="Times New Roman"/>
          <w:sz w:val="24"/>
          <w:szCs w:val="24"/>
          <w:lang w:val="en-US"/>
        </w:rPr>
      </w:pPr>
      <w:r w:rsidRPr="00994894">
        <w:rPr>
          <w:rFonts w:ascii="Times New Roman" w:hAnsi="Times New Roman"/>
          <w:sz w:val="24"/>
          <w:szCs w:val="24"/>
          <w:lang w:val="en-US"/>
        </w:rPr>
        <w:t xml:space="preserve">According to Directive 2009/41/EG </w:t>
      </w:r>
      <w:r w:rsidR="002A6BBA">
        <w:rPr>
          <w:rFonts w:ascii="Times New Roman" w:hAnsi="Times New Roman"/>
          <w:sz w:val="24"/>
          <w:szCs w:val="24"/>
          <w:lang w:val="en-US"/>
        </w:rPr>
        <w:t xml:space="preserve">Article 4.3, </w:t>
      </w:r>
      <w:r w:rsidRPr="00994894">
        <w:rPr>
          <w:rFonts w:ascii="Times New Roman" w:hAnsi="Times New Roman"/>
          <w:sz w:val="24"/>
          <w:szCs w:val="24"/>
          <w:lang w:val="en-US"/>
        </w:rPr>
        <w:t xml:space="preserve">the risk classes for contained use </w:t>
      </w:r>
      <w:r>
        <w:rPr>
          <w:rFonts w:ascii="Times New Roman" w:hAnsi="Times New Roman"/>
          <w:sz w:val="24"/>
          <w:szCs w:val="24"/>
          <w:lang w:val="en-US"/>
        </w:rPr>
        <w:t xml:space="preserve">of genetically modified micro-organisms </w:t>
      </w:r>
      <w:r w:rsidRPr="00994894">
        <w:rPr>
          <w:rFonts w:ascii="Times New Roman" w:hAnsi="Times New Roman"/>
          <w:sz w:val="24"/>
          <w:szCs w:val="24"/>
          <w:lang w:val="en-US"/>
        </w:rPr>
        <w:t xml:space="preserve">are defined and requirements pertaining to the level of protection are given. </w:t>
      </w:r>
      <w:r>
        <w:rPr>
          <w:rFonts w:ascii="Times New Roman" w:hAnsi="Times New Roman"/>
          <w:sz w:val="24"/>
          <w:szCs w:val="24"/>
          <w:lang w:val="en-US"/>
        </w:rPr>
        <w:t>This risk classification does not apply to contained use of genetically modified animals and plants</w:t>
      </w:r>
      <w:r w:rsidR="00164830">
        <w:rPr>
          <w:rFonts w:ascii="Times New Roman" w:hAnsi="Times New Roman"/>
          <w:sz w:val="24"/>
          <w:szCs w:val="24"/>
          <w:lang w:val="en-US"/>
        </w:rPr>
        <w:t xml:space="preserve"> that are not genetically modified </w:t>
      </w:r>
      <w:proofErr w:type="gramStart"/>
      <w:r w:rsidR="00164830">
        <w:rPr>
          <w:rFonts w:ascii="Times New Roman" w:hAnsi="Times New Roman"/>
          <w:sz w:val="24"/>
          <w:szCs w:val="24"/>
          <w:lang w:val="en-US"/>
        </w:rPr>
        <w:t>micro-organisms</w:t>
      </w:r>
      <w:proofErr w:type="gramEnd"/>
      <w:r>
        <w:rPr>
          <w:rFonts w:ascii="Times New Roman" w:hAnsi="Times New Roman"/>
          <w:sz w:val="24"/>
          <w:szCs w:val="24"/>
          <w:lang w:val="en-US"/>
        </w:rPr>
        <w:t xml:space="preserve">. </w:t>
      </w:r>
      <w:r w:rsidR="00164830">
        <w:rPr>
          <w:rFonts w:ascii="Times New Roman" w:hAnsi="Times New Roman"/>
          <w:sz w:val="24"/>
          <w:szCs w:val="24"/>
          <w:lang w:val="en-US"/>
        </w:rPr>
        <w:t>The classes are</w:t>
      </w:r>
      <w:proofErr w:type="gramStart"/>
      <w:r w:rsidR="00164830">
        <w:rPr>
          <w:rFonts w:ascii="Times New Roman" w:hAnsi="Times New Roman"/>
          <w:sz w:val="24"/>
          <w:szCs w:val="24"/>
          <w:lang w:val="en-US"/>
        </w:rPr>
        <w:t>;</w:t>
      </w:r>
      <w:proofErr w:type="gramEnd"/>
    </w:p>
    <w:p w14:paraId="0D6C2247" w14:textId="414051F6" w:rsidR="00FE7862" w:rsidRPr="0036407C" w:rsidRDefault="00FE7862" w:rsidP="00FE7862">
      <w:pPr>
        <w:widowControl w:val="0"/>
        <w:numPr>
          <w:ilvl w:val="0"/>
          <w:numId w:val="6"/>
        </w:numPr>
        <w:tabs>
          <w:tab w:val="left" w:pos="220"/>
          <w:tab w:val="left" w:pos="720"/>
        </w:tabs>
        <w:autoSpaceDE w:val="0"/>
        <w:autoSpaceDN w:val="0"/>
        <w:adjustRightInd w:val="0"/>
        <w:spacing w:after="240"/>
        <w:ind w:hanging="720"/>
        <w:jc w:val="both"/>
        <w:rPr>
          <w:lang w:val="en-US"/>
        </w:rPr>
      </w:pPr>
      <w:r w:rsidRPr="0036407C">
        <w:rPr>
          <w:lang w:val="en-US"/>
        </w:rPr>
        <w:t xml:space="preserve">Class 1 covers activities </w:t>
      </w:r>
      <w:r w:rsidR="002A6BBA" w:rsidRPr="0036407C">
        <w:rPr>
          <w:lang w:val="en-US"/>
        </w:rPr>
        <w:t>with</w:t>
      </w:r>
      <w:r w:rsidRPr="0036407C">
        <w:rPr>
          <w:lang w:val="en-US"/>
        </w:rPr>
        <w:t xml:space="preserve"> no</w:t>
      </w:r>
      <w:r w:rsidR="002A6BBA" w:rsidRPr="0036407C">
        <w:rPr>
          <w:lang w:val="en-US"/>
        </w:rPr>
        <w:t xml:space="preserve"> risk</w:t>
      </w:r>
      <w:r w:rsidRPr="0036407C">
        <w:rPr>
          <w:lang w:val="en-US"/>
        </w:rPr>
        <w:t xml:space="preserve"> or negligible risk. </w:t>
      </w:r>
      <w:r w:rsidR="002A6BBA" w:rsidRPr="0036407C">
        <w:rPr>
          <w:lang w:val="en-US"/>
        </w:rPr>
        <w:t>According to</w:t>
      </w:r>
      <w:r w:rsidRPr="0036407C">
        <w:rPr>
          <w:lang w:val="en-US"/>
        </w:rPr>
        <w:t xml:space="preserve"> Swedish regulations</w:t>
      </w:r>
      <w:r w:rsidR="002A6BBA" w:rsidRPr="0036407C">
        <w:rPr>
          <w:lang w:val="en-US"/>
        </w:rPr>
        <w:t>,</w:t>
      </w:r>
      <w:r w:rsidRPr="0036407C">
        <w:rPr>
          <w:lang w:val="en-US"/>
        </w:rPr>
        <w:t xml:space="preserve"> this class is the same as Class F and include</w:t>
      </w:r>
      <w:r w:rsidR="002A6BBA" w:rsidRPr="0036407C">
        <w:rPr>
          <w:lang w:val="en-US"/>
        </w:rPr>
        <w:t>s</w:t>
      </w:r>
      <w:r w:rsidRPr="0036407C">
        <w:rPr>
          <w:lang w:val="en-US"/>
        </w:rPr>
        <w:t xml:space="preserve"> the premises where the activity takes place. </w:t>
      </w:r>
      <w:r w:rsidR="002A6BBA" w:rsidRPr="0036407C">
        <w:rPr>
          <w:lang w:val="en-US"/>
        </w:rPr>
        <w:t xml:space="preserve">The use of GMMs </w:t>
      </w:r>
      <w:r w:rsidRPr="0036407C">
        <w:rPr>
          <w:lang w:val="en-US"/>
        </w:rPr>
        <w:t xml:space="preserve">in this class must </w:t>
      </w:r>
      <w:r w:rsidR="002A6BBA" w:rsidRPr="0036407C">
        <w:rPr>
          <w:lang w:val="en-US"/>
        </w:rPr>
        <w:t>be notified</w:t>
      </w:r>
      <w:r w:rsidRPr="0036407C">
        <w:rPr>
          <w:lang w:val="en-US"/>
        </w:rPr>
        <w:t xml:space="preserve"> before </w:t>
      </w:r>
      <w:r w:rsidR="002A6BBA" w:rsidRPr="0036407C">
        <w:rPr>
          <w:lang w:val="en-US"/>
        </w:rPr>
        <w:t>the</w:t>
      </w:r>
      <w:r w:rsidRPr="0036407C">
        <w:rPr>
          <w:lang w:val="en-US"/>
        </w:rPr>
        <w:t xml:space="preserve"> activity </w:t>
      </w:r>
      <w:r w:rsidR="002A6BBA" w:rsidRPr="0036407C">
        <w:rPr>
          <w:lang w:val="en-US"/>
        </w:rPr>
        <w:t>may</w:t>
      </w:r>
      <w:r w:rsidRPr="0036407C">
        <w:rPr>
          <w:lang w:val="en-US"/>
        </w:rPr>
        <w:t xml:space="preserve"> start. </w:t>
      </w:r>
      <w:r w:rsidR="002A6BBA" w:rsidRPr="0036407C">
        <w:rPr>
          <w:lang w:val="en-US"/>
        </w:rPr>
        <w:t xml:space="preserve">The necessary </w:t>
      </w:r>
      <w:r w:rsidRPr="0036407C">
        <w:rPr>
          <w:lang w:val="en-US"/>
        </w:rPr>
        <w:t>information that must be notified is found in the Swedish Work Environment Authority (SWEA) Provision AFS 2011:2 Annex 3. Activity in this class may be carried out without further notification to authorities, until the user notifies that the activity is ended, but the authorities can decide that activities in this class may no longer be continued.</w:t>
      </w:r>
    </w:p>
    <w:p w14:paraId="086BB5EB" w14:textId="36214E20" w:rsidR="00FE7862" w:rsidRPr="0036407C" w:rsidRDefault="00FE7862" w:rsidP="00FE7862">
      <w:pPr>
        <w:widowControl w:val="0"/>
        <w:numPr>
          <w:ilvl w:val="0"/>
          <w:numId w:val="6"/>
        </w:numPr>
        <w:tabs>
          <w:tab w:val="left" w:pos="220"/>
          <w:tab w:val="left" w:pos="720"/>
        </w:tabs>
        <w:autoSpaceDE w:val="0"/>
        <w:autoSpaceDN w:val="0"/>
        <w:adjustRightInd w:val="0"/>
        <w:spacing w:after="240"/>
        <w:ind w:hanging="720"/>
        <w:rPr>
          <w:lang w:val="en-US"/>
        </w:rPr>
      </w:pPr>
      <w:r w:rsidRPr="0036407C">
        <w:rPr>
          <w:lang w:val="en-US"/>
        </w:rPr>
        <w:t>Class 2 covers activities of low risk. In Swedish regulations this class is the same as Class L and include</w:t>
      </w:r>
      <w:r w:rsidR="002A6BBA" w:rsidRPr="0036407C">
        <w:rPr>
          <w:lang w:val="en-US"/>
        </w:rPr>
        <w:t>s</w:t>
      </w:r>
      <w:r w:rsidRPr="0036407C">
        <w:rPr>
          <w:lang w:val="en-US"/>
        </w:rPr>
        <w:t xml:space="preserve"> the premises where the activity takes place. The user must notify the authorities </w:t>
      </w:r>
      <w:r w:rsidR="002A6BBA" w:rsidRPr="0036407C">
        <w:rPr>
          <w:lang w:val="en-US"/>
        </w:rPr>
        <w:t>of their use of GMM before the</w:t>
      </w:r>
      <w:r w:rsidRPr="0036407C">
        <w:rPr>
          <w:lang w:val="en-US"/>
        </w:rPr>
        <w:t xml:space="preserve"> activity can start. The necessary information that must be notified is found in the SWEA Provision AFS 2011:2 Annex 4. New use of GMMs must also be reported to the authorities. Activity in this class may be carried out without further notification to authorities, until the user notifies that the activity is ended, but the authorities can decide that activities in this class may no longer be continued. </w:t>
      </w:r>
    </w:p>
    <w:p w14:paraId="0D843508" w14:textId="3ABFCE37" w:rsidR="0036407C" w:rsidRDefault="00147CF3" w:rsidP="0036407C">
      <w:pPr>
        <w:widowControl w:val="0"/>
        <w:numPr>
          <w:ilvl w:val="0"/>
          <w:numId w:val="6"/>
        </w:numPr>
        <w:tabs>
          <w:tab w:val="left" w:pos="220"/>
          <w:tab w:val="left" w:pos="720"/>
        </w:tabs>
        <w:autoSpaceDE w:val="0"/>
        <w:autoSpaceDN w:val="0"/>
        <w:adjustRightInd w:val="0"/>
        <w:spacing w:after="200"/>
        <w:ind w:hanging="720"/>
        <w:rPr>
          <w:lang w:val="en-US"/>
        </w:rPr>
      </w:pPr>
      <w:r w:rsidRPr="0036407C">
        <w:rPr>
          <w:lang w:val="en-US"/>
        </w:rPr>
        <w:t xml:space="preserve">Class 3 covers activities of moderate risk. Class 3 and Class 4 are the same as Class R according to Swedish regulations and include the premises where the activity takes pace. The user is not permitted to begin their activities with GMM until permission is received from the Swedish Work Environment Authority. The necessary information that must be notified is found in the Swedish Provision AFS 2011:2 Annex 5. New use of GMMs may not start until permission is received. A permit is valid </w:t>
      </w:r>
      <w:r w:rsidR="002A6BBA" w:rsidRPr="0036407C">
        <w:rPr>
          <w:lang w:val="en-US"/>
        </w:rPr>
        <w:t xml:space="preserve">for a maximum of </w:t>
      </w:r>
      <w:r w:rsidRPr="0036407C">
        <w:rPr>
          <w:lang w:val="en-US"/>
        </w:rPr>
        <w:t xml:space="preserve">five years. </w:t>
      </w:r>
    </w:p>
    <w:p w14:paraId="26CCDC1F" w14:textId="77777777" w:rsidR="00BB5AAB" w:rsidRDefault="00BB5AAB" w:rsidP="00BB5AAB">
      <w:pPr>
        <w:widowControl w:val="0"/>
        <w:tabs>
          <w:tab w:val="left" w:pos="220"/>
          <w:tab w:val="left" w:pos="720"/>
        </w:tabs>
        <w:autoSpaceDE w:val="0"/>
        <w:autoSpaceDN w:val="0"/>
        <w:adjustRightInd w:val="0"/>
        <w:ind w:left="220"/>
        <w:jc w:val="both"/>
        <w:rPr>
          <w:color w:val="363636"/>
          <w:lang w:val="en-US"/>
        </w:rPr>
      </w:pPr>
      <w:r>
        <w:rPr>
          <w:color w:val="363636"/>
          <w:lang w:val="en-US"/>
        </w:rPr>
        <w:t>Permits that are granted for activities in risk group 3 and 4 (according to Biological Agents directive 2000/54/EC)</w:t>
      </w:r>
      <w:r w:rsidRPr="00521ABC">
        <w:rPr>
          <w:color w:val="363636"/>
          <w:lang w:val="en-US"/>
        </w:rPr>
        <w:t xml:space="preserve"> are to be reported to the European Commission annually according to Directive 2009/41/</w:t>
      </w:r>
      <w:proofErr w:type="spellStart"/>
      <w:r w:rsidRPr="00521ABC">
        <w:rPr>
          <w:color w:val="363636"/>
          <w:lang w:val="en-US"/>
        </w:rPr>
        <w:t>EG</w:t>
      </w:r>
      <w:proofErr w:type="spellEnd"/>
      <w:r>
        <w:rPr>
          <w:color w:val="363636"/>
          <w:lang w:val="en-US"/>
        </w:rPr>
        <w:t>,</w:t>
      </w:r>
      <w:r w:rsidRPr="00521ABC">
        <w:rPr>
          <w:color w:val="363636"/>
          <w:lang w:val="en-US"/>
        </w:rPr>
        <w:t xml:space="preserve"> Article 17.1.</w:t>
      </w:r>
    </w:p>
    <w:p w14:paraId="1C25591F" w14:textId="77777777" w:rsidR="00BB5AAB" w:rsidRDefault="00BB5AAB" w:rsidP="00BB5AAB">
      <w:pPr>
        <w:widowControl w:val="0"/>
        <w:tabs>
          <w:tab w:val="left" w:pos="220"/>
          <w:tab w:val="left" w:pos="720"/>
        </w:tabs>
        <w:autoSpaceDE w:val="0"/>
        <w:autoSpaceDN w:val="0"/>
        <w:adjustRightInd w:val="0"/>
        <w:jc w:val="both"/>
        <w:rPr>
          <w:lang w:val="en-US"/>
        </w:rPr>
      </w:pPr>
    </w:p>
    <w:p w14:paraId="5FD8B527" w14:textId="77777777" w:rsidR="00BB5AAB" w:rsidRDefault="00BB5AAB" w:rsidP="00BB5AAB">
      <w:pPr>
        <w:widowControl w:val="0"/>
        <w:numPr>
          <w:ilvl w:val="0"/>
          <w:numId w:val="6"/>
        </w:numPr>
        <w:tabs>
          <w:tab w:val="left" w:pos="220"/>
          <w:tab w:val="left" w:pos="284"/>
        </w:tabs>
        <w:autoSpaceDE w:val="0"/>
        <w:autoSpaceDN w:val="0"/>
        <w:adjustRightInd w:val="0"/>
        <w:ind w:left="284" w:hanging="284"/>
        <w:jc w:val="both"/>
        <w:rPr>
          <w:color w:val="363636"/>
          <w:lang w:val="en-US"/>
        </w:rPr>
      </w:pPr>
      <w:r w:rsidRPr="00606326">
        <w:rPr>
          <w:color w:val="363636"/>
          <w:lang w:val="en-US"/>
        </w:rPr>
        <w:t>Class 4 covers activities of high risk</w:t>
      </w:r>
      <w:r>
        <w:rPr>
          <w:color w:val="363636"/>
          <w:lang w:val="en-US"/>
        </w:rPr>
        <w:t>. This class is also considered a Class according to Swedish regulations and the same regulations as stated for Class 3 apply also for Class 4.</w:t>
      </w:r>
    </w:p>
    <w:p w14:paraId="17AA9088" w14:textId="77777777" w:rsidR="00BB5AAB" w:rsidRDefault="00BB5AAB" w:rsidP="00BB5AAB">
      <w:pPr>
        <w:rPr>
          <w:lang w:val="en-US"/>
        </w:rPr>
      </w:pPr>
    </w:p>
    <w:p w14:paraId="05777273" w14:textId="77777777" w:rsidR="00BB5AAB" w:rsidRDefault="00BB5AAB" w:rsidP="00BB5AAB">
      <w:pPr>
        <w:rPr>
          <w:lang w:val="en-US"/>
        </w:rPr>
      </w:pPr>
      <w:r w:rsidRPr="00994894">
        <w:rPr>
          <w:lang w:val="en-US"/>
        </w:rPr>
        <w:t>There a</w:t>
      </w:r>
      <w:r>
        <w:rPr>
          <w:lang w:val="en-US"/>
        </w:rPr>
        <w:t xml:space="preserve">re approximately 650 </w:t>
      </w:r>
      <w:r w:rsidRPr="00994894">
        <w:rPr>
          <w:lang w:val="en-US"/>
        </w:rPr>
        <w:t xml:space="preserve">enterprises with contained use of </w:t>
      </w:r>
      <w:proofErr w:type="spellStart"/>
      <w:r w:rsidRPr="00994894">
        <w:rPr>
          <w:lang w:val="en-US"/>
        </w:rPr>
        <w:t>GMM</w:t>
      </w:r>
      <w:proofErr w:type="spellEnd"/>
      <w:r w:rsidRPr="00994894">
        <w:rPr>
          <w:lang w:val="en-US"/>
        </w:rPr>
        <w:t xml:space="preserve"> </w:t>
      </w:r>
      <w:r>
        <w:rPr>
          <w:lang w:val="en-US"/>
        </w:rPr>
        <w:t xml:space="preserve">listed </w:t>
      </w:r>
      <w:r w:rsidRPr="00994894">
        <w:rPr>
          <w:lang w:val="en-US"/>
        </w:rPr>
        <w:t xml:space="preserve">in the Swedish Work Environment Authority’s register. The number of active </w:t>
      </w:r>
      <w:proofErr w:type="spellStart"/>
      <w:r>
        <w:rPr>
          <w:lang w:val="en-US"/>
        </w:rPr>
        <w:t>GMM</w:t>
      </w:r>
      <w:proofErr w:type="spellEnd"/>
      <w:r>
        <w:rPr>
          <w:lang w:val="en-US"/>
        </w:rPr>
        <w:t xml:space="preserve"> activities</w:t>
      </w:r>
      <w:r w:rsidRPr="00994894">
        <w:rPr>
          <w:lang w:val="en-US"/>
        </w:rPr>
        <w:t xml:space="preserve"> varies considerably, but is clearly greater at universities than biotechnology companies. Nearly all </w:t>
      </w:r>
      <w:r>
        <w:rPr>
          <w:lang w:val="en-US"/>
        </w:rPr>
        <w:t xml:space="preserve">contained use of </w:t>
      </w:r>
      <w:proofErr w:type="spellStart"/>
      <w:r>
        <w:rPr>
          <w:lang w:val="en-US"/>
        </w:rPr>
        <w:t>GMM</w:t>
      </w:r>
      <w:proofErr w:type="spellEnd"/>
      <w:r>
        <w:rPr>
          <w:lang w:val="en-US"/>
        </w:rPr>
        <w:t xml:space="preserve"> is</w:t>
      </w:r>
      <w:r w:rsidRPr="00994894">
        <w:rPr>
          <w:lang w:val="en-US"/>
        </w:rPr>
        <w:t xml:space="preserve"> for research. Annually the Swedish Work Environment Authority handles about 120 administrative cases for ne</w:t>
      </w:r>
      <w:r>
        <w:rPr>
          <w:lang w:val="en-US"/>
        </w:rPr>
        <w:t xml:space="preserve">w activities, new </w:t>
      </w:r>
      <w:proofErr w:type="spellStart"/>
      <w:r>
        <w:rPr>
          <w:lang w:val="en-US"/>
        </w:rPr>
        <w:t>useage</w:t>
      </w:r>
      <w:proofErr w:type="spellEnd"/>
      <w:r>
        <w:rPr>
          <w:lang w:val="en-US"/>
        </w:rPr>
        <w:t xml:space="preserve"> and up</w:t>
      </w:r>
      <w:r w:rsidRPr="00994894">
        <w:rPr>
          <w:lang w:val="en-US"/>
        </w:rPr>
        <w:t xml:space="preserve">dates. </w:t>
      </w:r>
    </w:p>
    <w:p w14:paraId="44E799B0" w14:textId="77777777" w:rsidR="00BB5AAB" w:rsidRDefault="00BB5AAB" w:rsidP="00BB5AAB">
      <w:pPr>
        <w:rPr>
          <w:lang w:val="en-US"/>
        </w:rPr>
      </w:pPr>
    </w:p>
    <w:p w14:paraId="0503389E" w14:textId="77777777" w:rsidR="00BB5AAB" w:rsidRDefault="00BB5AAB" w:rsidP="00BB5AAB">
      <w:pPr>
        <w:pStyle w:val="Rubrik3"/>
        <w:spacing w:before="0" w:after="240"/>
        <w:rPr>
          <w:lang w:val="en-US"/>
        </w:rPr>
      </w:pPr>
      <w:r w:rsidRPr="00601027">
        <w:rPr>
          <w:lang w:val="en-US"/>
        </w:rPr>
        <w:t>Experience</w:t>
      </w:r>
      <w:r>
        <w:rPr>
          <w:lang w:val="en-US"/>
        </w:rPr>
        <w:t>s</w:t>
      </w:r>
      <w:r w:rsidRPr="00601027">
        <w:rPr>
          <w:lang w:val="en-US"/>
        </w:rPr>
        <w:t xml:space="preserve"> with contained use of genetically modified organisms that are not micro-organisms in Sweden</w:t>
      </w:r>
    </w:p>
    <w:p w14:paraId="679FCA08" w14:textId="77777777" w:rsidR="00BB5AAB" w:rsidRPr="00601027" w:rsidRDefault="00BB5AAB" w:rsidP="00BB5AAB">
      <w:pPr>
        <w:rPr>
          <w:lang w:val="en-US"/>
        </w:rPr>
      </w:pPr>
      <w:r>
        <w:rPr>
          <w:lang w:val="en-US"/>
        </w:rPr>
        <w:t xml:space="preserve">Genetically modified animals in contained use can be animals used for experimental purposes. In addition to requirements for contained use, there may be other requirements to be met before use can be allowed, such as animal welfare regulations. </w:t>
      </w:r>
      <w:proofErr w:type="gramStart"/>
      <w:r>
        <w:rPr>
          <w:lang w:val="en-US"/>
        </w:rPr>
        <w:t>Animal testing must be approved by an animal testing ethical board before the test may be started</w:t>
      </w:r>
      <w:proofErr w:type="gramEnd"/>
      <w:r>
        <w:rPr>
          <w:lang w:val="en-US"/>
        </w:rPr>
        <w:t xml:space="preserve">. These requirements are not described in this document. </w:t>
      </w:r>
    </w:p>
    <w:p w14:paraId="78167D6E" w14:textId="77777777" w:rsidR="00BB5AAB" w:rsidRPr="00601027" w:rsidRDefault="00BB5AAB" w:rsidP="00BB5AAB">
      <w:pPr>
        <w:pStyle w:val="Rubrik3"/>
        <w:rPr>
          <w:lang w:val="en-US"/>
        </w:rPr>
      </w:pPr>
      <w:r w:rsidRPr="00601027">
        <w:rPr>
          <w:lang w:val="en-US"/>
        </w:rPr>
        <w:t>Guidance on the contained use of genetically modified micro-organisms</w:t>
      </w:r>
    </w:p>
    <w:p w14:paraId="11D6CDB7" w14:textId="77777777" w:rsidR="00BB5AAB" w:rsidRPr="00994894" w:rsidRDefault="00BB5AAB" w:rsidP="00BB5AAB">
      <w:pPr>
        <w:spacing w:before="100" w:beforeAutospacing="1" w:after="100" w:afterAutospacing="1"/>
        <w:rPr>
          <w:lang w:val="en-US"/>
        </w:rPr>
      </w:pPr>
      <w:r w:rsidRPr="00994894">
        <w:rPr>
          <w:lang w:val="en-US"/>
        </w:rPr>
        <w:t>The European Food a</w:t>
      </w:r>
      <w:r>
        <w:rPr>
          <w:lang w:val="en-US"/>
        </w:rPr>
        <w:t>nd Safety Agency has published</w:t>
      </w:r>
      <w:r w:rsidRPr="00994894">
        <w:rPr>
          <w:lang w:val="en-US"/>
        </w:rPr>
        <w:t xml:space="preserve"> guidance on the risk assessment of genetically modified </w:t>
      </w:r>
      <w:proofErr w:type="gramStart"/>
      <w:r w:rsidRPr="00994894">
        <w:rPr>
          <w:lang w:val="en-US"/>
        </w:rPr>
        <w:t>micro-organi</w:t>
      </w:r>
      <w:r>
        <w:rPr>
          <w:lang w:val="en-US"/>
        </w:rPr>
        <w:t>s</w:t>
      </w:r>
      <w:r w:rsidRPr="00994894">
        <w:rPr>
          <w:lang w:val="en-US"/>
        </w:rPr>
        <w:t>ms</w:t>
      </w:r>
      <w:proofErr w:type="gramEnd"/>
      <w:r w:rsidRPr="00994894">
        <w:rPr>
          <w:lang w:val="en-US"/>
        </w:rPr>
        <w:t xml:space="preserve"> and their derived products intended for food and feed</w:t>
      </w:r>
      <w:r w:rsidRPr="00D45782">
        <w:rPr>
          <w:rStyle w:val="Fotnotsreferens"/>
          <w:rFonts w:eastAsiaTheme="majorEastAsia"/>
        </w:rPr>
        <w:footnoteReference w:id="7"/>
      </w:r>
      <w:r w:rsidRPr="00994894">
        <w:rPr>
          <w:lang w:val="en-US"/>
        </w:rPr>
        <w:t xml:space="preserve">. It provides guidance for </w:t>
      </w:r>
      <w:r>
        <w:rPr>
          <w:lang w:val="en-US"/>
        </w:rPr>
        <w:t xml:space="preserve">the </w:t>
      </w:r>
      <w:r w:rsidRPr="00994894">
        <w:rPr>
          <w:lang w:val="en-US"/>
        </w:rPr>
        <w:t xml:space="preserve">risk assessment of </w:t>
      </w:r>
      <w:proofErr w:type="spellStart"/>
      <w:r w:rsidRPr="00994894">
        <w:rPr>
          <w:lang w:val="en-US"/>
        </w:rPr>
        <w:t>G</w:t>
      </w:r>
      <w:r>
        <w:rPr>
          <w:lang w:val="en-US"/>
        </w:rPr>
        <w:t>MM</w:t>
      </w:r>
      <w:proofErr w:type="spellEnd"/>
      <w:r>
        <w:rPr>
          <w:lang w:val="en-US"/>
        </w:rPr>
        <w:t xml:space="preserve"> as well as guidance to assis</w:t>
      </w:r>
      <w:r w:rsidRPr="00994894">
        <w:rPr>
          <w:lang w:val="en-US"/>
        </w:rPr>
        <w:t>t in the preparation of application</w:t>
      </w:r>
      <w:r>
        <w:rPr>
          <w:lang w:val="en-US"/>
        </w:rPr>
        <w:t>s</w:t>
      </w:r>
      <w:r w:rsidRPr="00994894">
        <w:rPr>
          <w:lang w:val="en-US"/>
        </w:rPr>
        <w:t xml:space="preserve"> to market </w:t>
      </w:r>
      <w:proofErr w:type="spellStart"/>
      <w:r w:rsidRPr="00994894">
        <w:rPr>
          <w:lang w:val="en-US"/>
        </w:rPr>
        <w:t>GMMs</w:t>
      </w:r>
      <w:proofErr w:type="spellEnd"/>
      <w:r w:rsidRPr="00994894">
        <w:rPr>
          <w:lang w:val="en-US"/>
        </w:rPr>
        <w:t xml:space="preserve"> and their products for food and feed. Information on risks with genetically modified </w:t>
      </w:r>
      <w:proofErr w:type="gramStart"/>
      <w:r w:rsidRPr="00994894">
        <w:rPr>
          <w:lang w:val="en-US"/>
        </w:rPr>
        <w:t>micro-organisms</w:t>
      </w:r>
      <w:proofErr w:type="gramEnd"/>
      <w:r>
        <w:rPr>
          <w:lang w:val="en-US"/>
        </w:rPr>
        <w:t xml:space="preserve"> is also given in this guidance. </w:t>
      </w:r>
    </w:p>
    <w:p w14:paraId="03FFBD06" w14:textId="77777777" w:rsidR="00BB5AAB" w:rsidRDefault="00BB5AAB" w:rsidP="00BB5AAB">
      <w:pPr>
        <w:rPr>
          <w:lang w:val="en-US"/>
        </w:rPr>
      </w:pPr>
    </w:p>
    <w:p w14:paraId="5B8C0C9D" w14:textId="77777777" w:rsidR="00BB5AAB" w:rsidRPr="0036407C" w:rsidRDefault="00BB5AAB" w:rsidP="00BB5AAB">
      <w:pPr>
        <w:widowControl w:val="0"/>
        <w:tabs>
          <w:tab w:val="left" w:pos="220"/>
          <w:tab w:val="left" w:pos="720"/>
        </w:tabs>
        <w:autoSpaceDE w:val="0"/>
        <w:autoSpaceDN w:val="0"/>
        <w:adjustRightInd w:val="0"/>
        <w:spacing w:after="200"/>
        <w:ind w:left="720"/>
        <w:rPr>
          <w:lang w:val="en-US"/>
        </w:rPr>
      </w:pPr>
    </w:p>
    <w:p w14:paraId="42BEE653" w14:textId="7445714C" w:rsidR="00814386" w:rsidRPr="0036407C" w:rsidRDefault="0036407C" w:rsidP="0036407C">
      <w:pPr>
        <w:spacing w:after="200" w:line="276" w:lineRule="auto"/>
        <w:rPr>
          <w:lang w:val="en-US"/>
        </w:rPr>
      </w:pPr>
      <w:r w:rsidRPr="0036407C">
        <w:rPr>
          <w:lang w:val="en-US"/>
        </w:rPr>
        <w:br w:type="page"/>
      </w:r>
      <w:r w:rsidR="00814386" w:rsidRPr="0036407C">
        <w:rPr>
          <w:rFonts w:ascii="BookAntiqua" w:hAnsi="BookAntiqua" w:cs="BookAntiqua"/>
          <w:b/>
          <w:sz w:val="22"/>
          <w:lang w:val="en-US"/>
        </w:rPr>
        <w:lastRenderedPageBreak/>
        <w:t xml:space="preserve">Table 2. Number of GMM activities and employers in June 2012. Reports for the period 2013 -2015 </w:t>
      </w:r>
      <w:r w:rsidR="0097234C">
        <w:rPr>
          <w:rFonts w:ascii="BookAntiqua" w:hAnsi="BookAntiqua" w:cs="BookAntiqua"/>
          <w:b/>
          <w:sz w:val="22"/>
          <w:lang w:val="en-US"/>
        </w:rPr>
        <w:t xml:space="preserve">are </w:t>
      </w:r>
      <w:r w:rsidR="00814386" w:rsidRPr="0036407C">
        <w:rPr>
          <w:rFonts w:ascii="BookAntiqua" w:hAnsi="BookAntiqua" w:cs="BookAntiqua"/>
          <w:b/>
          <w:sz w:val="22"/>
          <w:lang w:val="en-US"/>
        </w:rPr>
        <w:t>not available</w:t>
      </w:r>
    </w:p>
    <w:tbl>
      <w:tblPr>
        <w:tblStyle w:val="Ljusskuggning-dekorfrg5"/>
        <w:tblW w:w="0" w:type="auto"/>
        <w:tblLook w:val="04A0" w:firstRow="1" w:lastRow="0" w:firstColumn="1" w:lastColumn="0" w:noHBand="0" w:noVBand="1"/>
      </w:tblPr>
      <w:tblGrid>
        <w:gridCol w:w="2146"/>
        <w:gridCol w:w="1364"/>
        <w:gridCol w:w="1366"/>
        <w:gridCol w:w="1562"/>
      </w:tblGrid>
      <w:tr w:rsidR="00F867B5" w:rsidRPr="00814386" w14:paraId="196F7D66" w14:textId="77777777" w:rsidTr="00164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6" w:type="dxa"/>
          </w:tcPr>
          <w:p w14:paraId="3096D9CA" w14:textId="77777777" w:rsidR="00F867B5" w:rsidRPr="00C1197E" w:rsidRDefault="00F867B5" w:rsidP="003F0D02">
            <w:pPr>
              <w:pStyle w:val="Rubrik2"/>
              <w:spacing w:after="120"/>
              <w:outlineLvl w:val="1"/>
              <w:rPr>
                <w:b/>
                <w:i w:val="0"/>
                <w:color w:val="auto"/>
                <w:szCs w:val="24"/>
                <w:lang w:val="en-US"/>
              </w:rPr>
            </w:pPr>
            <w:r w:rsidRPr="00C1197E">
              <w:rPr>
                <w:b/>
                <w:i w:val="0"/>
                <w:color w:val="auto"/>
                <w:szCs w:val="24"/>
                <w:lang w:val="en-US"/>
              </w:rPr>
              <w:t>GMM Activity</w:t>
            </w:r>
          </w:p>
        </w:tc>
        <w:tc>
          <w:tcPr>
            <w:tcW w:w="1364" w:type="dxa"/>
          </w:tcPr>
          <w:p w14:paraId="4F3D0082" w14:textId="76B5152D" w:rsidR="00F867B5" w:rsidRPr="00164830" w:rsidRDefault="00164830" w:rsidP="00164830">
            <w:pPr>
              <w:pStyle w:val="Rubrik2"/>
              <w:spacing w:after="0"/>
              <w:jc w:val="right"/>
              <w:outlineLvl w:val="1"/>
              <w:cnfStyle w:val="100000000000" w:firstRow="1" w:lastRow="0" w:firstColumn="0" w:lastColumn="0" w:oddVBand="0" w:evenVBand="0" w:oddHBand="0" w:evenHBand="0" w:firstRowFirstColumn="0" w:firstRowLastColumn="0" w:lastRowFirstColumn="0" w:lastRowLastColumn="0"/>
              <w:rPr>
                <w:b/>
                <w:i w:val="0"/>
                <w:color w:val="auto"/>
                <w:szCs w:val="24"/>
                <w:lang w:val="en-US"/>
              </w:rPr>
            </w:pPr>
            <w:r>
              <w:rPr>
                <w:b/>
                <w:i w:val="0"/>
                <w:color w:val="auto"/>
                <w:szCs w:val="24"/>
                <w:lang w:val="en-US"/>
              </w:rPr>
              <w:t xml:space="preserve">F-activity </w:t>
            </w:r>
            <w:r w:rsidR="00F867B5" w:rsidRPr="00C1197E">
              <w:rPr>
                <w:b/>
                <w:i w:val="0"/>
                <w:color w:val="auto"/>
                <w:szCs w:val="24"/>
                <w:lang w:val="en-US"/>
              </w:rPr>
              <w:t>Class 1</w:t>
            </w:r>
          </w:p>
        </w:tc>
        <w:tc>
          <w:tcPr>
            <w:tcW w:w="1366" w:type="dxa"/>
          </w:tcPr>
          <w:p w14:paraId="4CD696AE" w14:textId="6E224220" w:rsidR="00F867B5" w:rsidRPr="00164830" w:rsidRDefault="00F867B5" w:rsidP="00164830">
            <w:pPr>
              <w:pStyle w:val="Rubrik2"/>
              <w:spacing w:after="120"/>
              <w:jc w:val="right"/>
              <w:outlineLvl w:val="1"/>
              <w:cnfStyle w:val="100000000000" w:firstRow="1" w:lastRow="0" w:firstColumn="0" w:lastColumn="0" w:oddVBand="0" w:evenVBand="0" w:oddHBand="0" w:evenHBand="0" w:firstRowFirstColumn="0" w:firstRowLastColumn="0" w:lastRowFirstColumn="0" w:lastRowLastColumn="0"/>
              <w:rPr>
                <w:b/>
                <w:i w:val="0"/>
                <w:color w:val="auto"/>
                <w:szCs w:val="24"/>
                <w:lang w:val="en-US"/>
              </w:rPr>
            </w:pPr>
            <w:r w:rsidRPr="00164830">
              <w:rPr>
                <w:b/>
                <w:i w:val="0"/>
                <w:color w:val="auto"/>
                <w:szCs w:val="24"/>
                <w:lang w:val="en-US"/>
              </w:rPr>
              <w:t>L- activity</w:t>
            </w:r>
            <w:r w:rsidR="00164830" w:rsidRPr="00164830">
              <w:rPr>
                <w:b/>
                <w:i w:val="0"/>
                <w:color w:val="auto"/>
                <w:szCs w:val="24"/>
                <w:lang w:val="en-US"/>
              </w:rPr>
              <w:t xml:space="preserve"> </w:t>
            </w:r>
            <w:r w:rsidRPr="00164830">
              <w:rPr>
                <w:rFonts w:asciiTheme="majorHAnsi" w:hAnsiTheme="majorHAnsi"/>
                <w:b/>
                <w:i w:val="0"/>
                <w:color w:val="auto"/>
                <w:lang w:val="en-US"/>
              </w:rPr>
              <w:t xml:space="preserve">Class 2 </w:t>
            </w:r>
          </w:p>
        </w:tc>
        <w:tc>
          <w:tcPr>
            <w:tcW w:w="1562" w:type="dxa"/>
          </w:tcPr>
          <w:p w14:paraId="22F483C2" w14:textId="122F3830" w:rsidR="00F867B5" w:rsidRPr="00164830" w:rsidRDefault="00F867B5" w:rsidP="00164830">
            <w:pPr>
              <w:pStyle w:val="Rubrik2"/>
              <w:spacing w:after="120"/>
              <w:jc w:val="right"/>
              <w:outlineLvl w:val="1"/>
              <w:cnfStyle w:val="100000000000" w:firstRow="1" w:lastRow="0" w:firstColumn="0" w:lastColumn="0" w:oddVBand="0" w:evenVBand="0" w:oddHBand="0" w:evenHBand="0" w:firstRowFirstColumn="0" w:firstRowLastColumn="0" w:lastRowFirstColumn="0" w:lastRowLastColumn="0"/>
              <w:rPr>
                <w:b/>
                <w:i w:val="0"/>
                <w:color w:val="auto"/>
                <w:szCs w:val="24"/>
                <w:lang w:val="en-US"/>
              </w:rPr>
            </w:pPr>
            <w:r w:rsidRPr="00164830">
              <w:rPr>
                <w:b/>
                <w:i w:val="0"/>
                <w:color w:val="auto"/>
                <w:szCs w:val="24"/>
                <w:lang w:val="en-US"/>
              </w:rPr>
              <w:t>R-activity</w:t>
            </w:r>
            <w:r w:rsidR="00164830" w:rsidRPr="00164830">
              <w:rPr>
                <w:b/>
                <w:i w:val="0"/>
                <w:color w:val="auto"/>
                <w:szCs w:val="24"/>
                <w:lang w:val="en-US"/>
              </w:rPr>
              <w:t xml:space="preserve"> </w:t>
            </w:r>
            <w:r w:rsidRPr="00164830">
              <w:rPr>
                <w:rFonts w:asciiTheme="majorHAnsi" w:hAnsiTheme="majorHAnsi"/>
                <w:b/>
                <w:i w:val="0"/>
                <w:color w:val="auto"/>
                <w:lang w:val="en-US"/>
              </w:rPr>
              <w:t>Class 3 &amp; 4</w:t>
            </w:r>
          </w:p>
        </w:tc>
      </w:tr>
      <w:tr w:rsidR="00F867B5" w:rsidRPr="00C1197E" w14:paraId="48875D62" w14:textId="77777777" w:rsidTr="0016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6" w:type="dxa"/>
          </w:tcPr>
          <w:p w14:paraId="652A7650" w14:textId="56AAE48C" w:rsidR="00F867B5" w:rsidRPr="00C1197E" w:rsidRDefault="00F867B5" w:rsidP="003F0D02">
            <w:pPr>
              <w:pStyle w:val="Rubrik2"/>
              <w:spacing w:after="120"/>
              <w:outlineLvl w:val="1"/>
              <w:rPr>
                <w:i w:val="0"/>
                <w:color w:val="auto"/>
                <w:sz w:val="22"/>
                <w:szCs w:val="22"/>
                <w:lang w:val="en-US"/>
              </w:rPr>
            </w:pPr>
            <w:r w:rsidRPr="00C1197E">
              <w:rPr>
                <w:i w:val="0"/>
                <w:color w:val="auto"/>
                <w:sz w:val="22"/>
                <w:szCs w:val="22"/>
                <w:lang w:val="en-US"/>
              </w:rPr>
              <w:t>Total number of activities</w:t>
            </w:r>
          </w:p>
        </w:tc>
        <w:tc>
          <w:tcPr>
            <w:tcW w:w="1364" w:type="dxa"/>
          </w:tcPr>
          <w:p w14:paraId="023A3FE3" w14:textId="3D90095F"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sz w:val="22"/>
                <w:szCs w:val="22"/>
                <w:lang w:val="en-US"/>
              </w:rPr>
            </w:pPr>
            <w:r w:rsidRPr="00C1197E">
              <w:rPr>
                <w:b w:val="0"/>
                <w:i w:val="0"/>
                <w:color w:val="auto"/>
                <w:sz w:val="22"/>
                <w:szCs w:val="22"/>
                <w:lang w:val="en-US"/>
              </w:rPr>
              <w:t>364</w:t>
            </w:r>
          </w:p>
        </w:tc>
        <w:tc>
          <w:tcPr>
            <w:tcW w:w="1366" w:type="dxa"/>
          </w:tcPr>
          <w:p w14:paraId="2909C71C" w14:textId="16D6946A"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183</w:t>
            </w:r>
          </w:p>
        </w:tc>
        <w:tc>
          <w:tcPr>
            <w:tcW w:w="1562" w:type="dxa"/>
          </w:tcPr>
          <w:p w14:paraId="6131A4AD" w14:textId="77777777"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19</w:t>
            </w:r>
          </w:p>
        </w:tc>
      </w:tr>
      <w:tr w:rsidR="00F867B5" w:rsidRPr="00C1197E" w14:paraId="6B4592A6" w14:textId="77777777" w:rsidTr="00164830">
        <w:tc>
          <w:tcPr>
            <w:cnfStyle w:val="001000000000" w:firstRow="0" w:lastRow="0" w:firstColumn="1" w:lastColumn="0" w:oddVBand="0" w:evenVBand="0" w:oddHBand="0" w:evenHBand="0" w:firstRowFirstColumn="0" w:firstRowLastColumn="0" w:lastRowFirstColumn="0" w:lastRowLastColumn="0"/>
            <w:tcW w:w="2146" w:type="dxa"/>
          </w:tcPr>
          <w:p w14:paraId="0C165EF5" w14:textId="77777777" w:rsidR="00F867B5" w:rsidRPr="00C1197E" w:rsidRDefault="00F867B5" w:rsidP="003F0D02">
            <w:pPr>
              <w:pStyle w:val="Rubrik2"/>
              <w:spacing w:after="120"/>
              <w:outlineLvl w:val="1"/>
              <w:rPr>
                <w:i w:val="0"/>
                <w:color w:val="auto"/>
                <w:sz w:val="22"/>
                <w:szCs w:val="22"/>
                <w:lang w:val="en-US"/>
              </w:rPr>
            </w:pPr>
            <w:r w:rsidRPr="00C1197E">
              <w:rPr>
                <w:i w:val="0"/>
                <w:color w:val="auto"/>
                <w:sz w:val="22"/>
                <w:szCs w:val="22"/>
                <w:lang w:val="en-US"/>
              </w:rPr>
              <w:t>Government sector</w:t>
            </w:r>
          </w:p>
        </w:tc>
        <w:tc>
          <w:tcPr>
            <w:tcW w:w="1364" w:type="dxa"/>
          </w:tcPr>
          <w:p w14:paraId="2AB1AB50" w14:textId="59C44DB6"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sz w:val="22"/>
                <w:szCs w:val="22"/>
                <w:lang w:val="en-US"/>
              </w:rPr>
            </w:pPr>
            <w:r w:rsidRPr="00C1197E">
              <w:rPr>
                <w:b w:val="0"/>
                <w:i w:val="0"/>
                <w:color w:val="auto"/>
                <w:sz w:val="22"/>
                <w:szCs w:val="22"/>
                <w:lang w:val="en-US"/>
              </w:rPr>
              <w:t>250</w:t>
            </w:r>
          </w:p>
        </w:tc>
        <w:tc>
          <w:tcPr>
            <w:tcW w:w="1366" w:type="dxa"/>
          </w:tcPr>
          <w:p w14:paraId="51459520" w14:textId="77AD7303"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152</w:t>
            </w:r>
          </w:p>
        </w:tc>
        <w:tc>
          <w:tcPr>
            <w:tcW w:w="1562" w:type="dxa"/>
          </w:tcPr>
          <w:p w14:paraId="68F071AB" w14:textId="77777777"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9</w:t>
            </w:r>
          </w:p>
        </w:tc>
      </w:tr>
      <w:tr w:rsidR="00F867B5" w:rsidRPr="00C1197E" w14:paraId="11F3F48F" w14:textId="77777777" w:rsidTr="0016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6" w:type="dxa"/>
          </w:tcPr>
          <w:p w14:paraId="6717C8DD" w14:textId="77777777" w:rsidR="00F867B5" w:rsidRPr="00C1197E" w:rsidRDefault="00F867B5" w:rsidP="00C1197E">
            <w:pPr>
              <w:pStyle w:val="Rubrik2"/>
              <w:spacing w:after="120"/>
              <w:outlineLvl w:val="1"/>
              <w:rPr>
                <w:i w:val="0"/>
                <w:color w:val="auto"/>
                <w:sz w:val="22"/>
                <w:szCs w:val="22"/>
                <w:lang w:val="en-US"/>
              </w:rPr>
            </w:pPr>
            <w:r w:rsidRPr="00C1197E">
              <w:rPr>
                <w:i w:val="0"/>
                <w:color w:val="auto"/>
                <w:sz w:val="22"/>
                <w:szCs w:val="22"/>
                <w:lang w:val="en-US"/>
              </w:rPr>
              <w:t xml:space="preserve">Cities and </w:t>
            </w:r>
            <w:proofErr w:type="gramStart"/>
            <w:r w:rsidRPr="00C1197E">
              <w:rPr>
                <w:i w:val="0"/>
                <w:color w:val="auto"/>
                <w:sz w:val="22"/>
                <w:szCs w:val="22"/>
                <w:lang w:val="en-US"/>
              </w:rPr>
              <w:t>County  Council</w:t>
            </w:r>
            <w:proofErr w:type="gramEnd"/>
            <w:r w:rsidRPr="00C1197E">
              <w:rPr>
                <w:i w:val="0"/>
                <w:color w:val="auto"/>
                <w:sz w:val="22"/>
                <w:szCs w:val="22"/>
                <w:lang w:val="en-US"/>
              </w:rPr>
              <w:t xml:space="preserve"> Boards</w:t>
            </w:r>
          </w:p>
        </w:tc>
        <w:tc>
          <w:tcPr>
            <w:tcW w:w="1364" w:type="dxa"/>
          </w:tcPr>
          <w:p w14:paraId="688692C9" w14:textId="5AE634E7"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sz w:val="22"/>
                <w:szCs w:val="22"/>
                <w:lang w:val="en-US"/>
              </w:rPr>
            </w:pPr>
            <w:r w:rsidRPr="00C1197E">
              <w:rPr>
                <w:b w:val="0"/>
                <w:i w:val="0"/>
                <w:color w:val="auto"/>
                <w:sz w:val="22"/>
                <w:szCs w:val="22"/>
                <w:lang w:val="en-US"/>
              </w:rPr>
              <w:t>15</w:t>
            </w:r>
          </w:p>
        </w:tc>
        <w:tc>
          <w:tcPr>
            <w:tcW w:w="1366" w:type="dxa"/>
          </w:tcPr>
          <w:p w14:paraId="1681A91E" w14:textId="3C128FCF"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2</w:t>
            </w:r>
          </w:p>
        </w:tc>
        <w:tc>
          <w:tcPr>
            <w:tcW w:w="1562" w:type="dxa"/>
          </w:tcPr>
          <w:p w14:paraId="7DB488E0" w14:textId="77777777"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0</w:t>
            </w:r>
          </w:p>
        </w:tc>
      </w:tr>
      <w:tr w:rsidR="00F867B5" w:rsidRPr="00C1197E" w14:paraId="6B573049" w14:textId="77777777" w:rsidTr="00164830">
        <w:tc>
          <w:tcPr>
            <w:cnfStyle w:val="001000000000" w:firstRow="0" w:lastRow="0" w:firstColumn="1" w:lastColumn="0" w:oddVBand="0" w:evenVBand="0" w:oddHBand="0" w:evenHBand="0" w:firstRowFirstColumn="0" w:firstRowLastColumn="0" w:lastRowFirstColumn="0" w:lastRowLastColumn="0"/>
            <w:tcW w:w="2146" w:type="dxa"/>
          </w:tcPr>
          <w:p w14:paraId="56F9DD1A" w14:textId="77777777" w:rsidR="00F867B5" w:rsidRPr="00C1197E" w:rsidRDefault="00F867B5" w:rsidP="003F0D02">
            <w:pPr>
              <w:pStyle w:val="Rubrik2"/>
              <w:spacing w:after="120"/>
              <w:outlineLvl w:val="1"/>
              <w:rPr>
                <w:i w:val="0"/>
                <w:color w:val="auto"/>
                <w:sz w:val="22"/>
                <w:szCs w:val="22"/>
                <w:lang w:val="en-US"/>
              </w:rPr>
            </w:pPr>
            <w:r w:rsidRPr="00C1197E">
              <w:rPr>
                <w:i w:val="0"/>
                <w:color w:val="auto"/>
                <w:sz w:val="22"/>
                <w:szCs w:val="22"/>
                <w:lang w:val="en-US"/>
              </w:rPr>
              <w:t>Private Sector</w:t>
            </w:r>
          </w:p>
        </w:tc>
        <w:tc>
          <w:tcPr>
            <w:tcW w:w="1364" w:type="dxa"/>
          </w:tcPr>
          <w:p w14:paraId="38BE0D89" w14:textId="4C887070"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sz w:val="22"/>
                <w:szCs w:val="22"/>
                <w:lang w:val="en-US"/>
              </w:rPr>
            </w:pPr>
            <w:r w:rsidRPr="00C1197E">
              <w:rPr>
                <w:b w:val="0"/>
                <w:i w:val="0"/>
                <w:color w:val="auto"/>
                <w:sz w:val="22"/>
                <w:szCs w:val="22"/>
                <w:lang w:val="en-US"/>
              </w:rPr>
              <w:t>99</w:t>
            </w:r>
          </w:p>
        </w:tc>
        <w:tc>
          <w:tcPr>
            <w:tcW w:w="1366" w:type="dxa"/>
          </w:tcPr>
          <w:p w14:paraId="4AA40F67" w14:textId="0C90F78F"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29</w:t>
            </w:r>
          </w:p>
        </w:tc>
        <w:tc>
          <w:tcPr>
            <w:tcW w:w="1562" w:type="dxa"/>
          </w:tcPr>
          <w:p w14:paraId="12553ECE" w14:textId="77777777"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0</w:t>
            </w:r>
          </w:p>
        </w:tc>
      </w:tr>
      <w:tr w:rsidR="00F867B5" w:rsidRPr="00C1197E" w14:paraId="0FAA3947" w14:textId="77777777" w:rsidTr="0016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6" w:type="dxa"/>
          </w:tcPr>
          <w:p w14:paraId="0AE45D5B" w14:textId="77777777" w:rsidR="00F867B5" w:rsidRPr="00C1197E" w:rsidRDefault="00F867B5" w:rsidP="003F0D02">
            <w:pPr>
              <w:pStyle w:val="Rubrik2"/>
              <w:spacing w:after="120"/>
              <w:outlineLvl w:val="1"/>
              <w:rPr>
                <w:i w:val="0"/>
                <w:color w:val="auto"/>
                <w:sz w:val="22"/>
                <w:szCs w:val="22"/>
                <w:lang w:val="en-US"/>
              </w:rPr>
            </w:pPr>
          </w:p>
        </w:tc>
        <w:tc>
          <w:tcPr>
            <w:tcW w:w="1364" w:type="dxa"/>
          </w:tcPr>
          <w:p w14:paraId="7AFA1EA6" w14:textId="77777777"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sz w:val="22"/>
                <w:szCs w:val="22"/>
                <w:lang w:val="en-US"/>
              </w:rPr>
            </w:pPr>
          </w:p>
        </w:tc>
        <w:tc>
          <w:tcPr>
            <w:tcW w:w="1366" w:type="dxa"/>
          </w:tcPr>
          <w:p w14:paraId="75DE10D8" w14:textId="33DB3BAD"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color w:val="auto"/>
                <w:sz w:val="22"/>
                <w:szCs w:val="22"/>
                <w:lang w:val="en-US"/>
              </w:rPr>
            </w:pPr>
          </w:p>
        </w:tc>
        <w:tc>
          <w:tcPr>
            <w:tcW w:w="1562" w:type="dxa"/>
          </w:tcPr>
          <w:p w14:paraId="24D16206" w14:textId="77777777"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color w:val="auto"/>
                <w:sz w:val="22"/>
                <w:szCs w:val="22"/>
                <w:lang w:val="en-US"/>
              </w:rPr>
            </w:pPr>
          </w:p>
        </w:tc>
      </w:tr>
      <w:tr w:rsidR="00F867B5" w:rsidRPr="00C1197E" w14:paraId="5605A163" w14:textId="77777777" w:rsidTr="00164830">
        <w:tc>
          <w:tcPr>
            <w:cnfStyle w:val="001000000000" w:firstRow="0" w:lastRow="0" w:firstColumn="1" w:lastColumn="0" w:oddVBand="0" w:evenVBand="0" w:oddHBand="0" w:evenHBand="0" w:firstRowFirstColumn="0" w:firstRowLastColumn="0" w:lastRowFirstColumn="0" w:lastRowLastColumn="0"/>
            <w:tcW w:w="2146" w:type="dxa"/>
          </w:tcPr>
          <w:p w14:paraId="10641C02" w14:textId="77777777" w:rsidR="00F867B5" w:rsidRPr="00C1197E" w:rsidRDefault="00F867B5" w:rsidP="003F0D02">
            <w:pPr>
              <w:pStyle w:val="Rubrik2"/>
              <w:spacing w:after="120"/>
              <w:outlineLvl w:val="1"/>
              <w:rPr>
                <w:b/>
                <w:i w:val="0"/>
                <w:color w:val="auto"/>
                <w:sz w:val="22"/>
                <w:szCs w:val="22"/>
                <w:lang w:val="en-US"/>
              </w:rPr>
            </w:pPr>
            <w:r w:rsidRPr="00C1197E">
              <w:rPr>
                <w:b/>
                <w:i w:val="0"/>
                <w:color w:val="auto"/>
                <w:sz w:val="22"/>
                <w:szCs w:val="22"/>
                <w:lang w:val="en-US"/>
              </w:rPr>
              <w:t>Laboratory activity</w:t>
            </w:r>
          </w:p>
        </w:tc>
        <w:tc>
          <w:tcPr>
            <w:tcW w:w="1364" w:type="dxa"/>
          </w:tcPr>
          <w:p w14:paraId="312B69A5" w14:textId="294E4F75"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sz w:val="22"/>
                <w:szCs w:val="22"/>
                <w:lang w:val="en-US"/>
              </w:rPr>
            </w:pPr>
            <w:r w:rsidRPr="00C1197E">
              <w:rPr>
                <w:b w:val="0"/>
                <w:i w:val="0"/>
                <w:color w:val="auto"/>
                <w:sz w:val="22"/>
                <w:szCs w:val="22"/>
                <w:lang w:val="en-US"/>
              </w:rPr>
              <w:t>320</w:t>
            </w:r>
          </w:p>
        </w:tc>
        <w:tc>
          <w:tcPr>
            <w:tcW w:w="1366" w:type="dxa"/>
          </w:tcPr>
          <w:p w14:paraId="6B932994" w14:textId="5026548C"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135</w:t>
            </w:r>
          </w:p>
        </w:tc>
        <w:tc>
          <w:tcPr>
            <w:tcW w:w="1562" w:type="dxa"/>
          </w:tcPr>
          <w:p w14:paraId="5F302B9A" w14:textId="77777777"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14</w:t>
            </w:r>
          </w:p>
        </w:tc>
      </w:tr>
      <w:tr w:rsidR="00F867B5" w:rsidRPr="00C1197E" w14:paraId="135AC65C" w14:textId="77777777" w:rsidTr="0016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6" w:type="dxa"/>
          </w:tcPr>
          <w:p w14:paraId="310D4921" w14:textId="77777777" w:rsidR="00F867B5" w:rsidRPr="00C1197E" w:rsidRDefault="00F867B5" w:rsidP="003F0D02">
            <w:pPr>
              <w:pStyle w:val="Rubrik2"/>
              <w:spacing w:after="120"/>
              <w:outlineLvl w:val="1"/>
              <w:rPr>
                <w:i w:val="0"/>
                <w:color w:val="auto"/>
                <w:sz w:val="22"/>
                <w:szCs w:val="22"/>
                <w:lang w:val="en-US"/>
              </w:rPr>
            </w:pPr>
            <w:r w:rsidRPr="00C1197E">
              <w:rPr>
                <w:i w:val="0"/>
                <w:color w:val="auto"/>
                <w:sz w:val="22"/>
                <w:szCs w:val="22"/>
                <w:lang w:val="en-US"/>
              </w:rPr>
              <w:t>GMM in animal testing activities</w:t>
            </w:r>
          </w:p>
        </w:tc>
        <w:tc>
          <w:tcPr>
            <w:tcW w:w="1364" w:type="dxa"/>
          </w:tcPr>
          <w:p w14:paraId="08F31134" w14:textId="3C4AFC05"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sz w:val="22"/>
                <w:szCs w:val="22"/>
                <w:lang w:val="en-US"/>
              </w:rPr>
            </w:pPr>
            <w:r w:rsidRPr="00C1197E">
              <w:rPr>
                <w:b w:val="0"/>
                <w:i w:val="0"/>
                <w:color w:val="auto"/>
                <w:sz w:val="22"/>
                <w:szCs w:val="22"/>
                <w:lang w:val="en-US"/>
              </w:rPr>
              <w:t>14</w:t>
            </w:r>
          </w:p>
        </w:tc>
        <w:tc>
          <w:tcPr>
            <w:tcW w:w="1366" w:type="dxa"/>
          </w:tcPr>
          <w:p w14:paraId="65BB3B9F" w14:textId="657AF4DD"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43</w:t>
            </w:r>
          </w:p>
        </w:tc>
        <w:tc>
          <w:tcPr>
            <w:tcW w:w="1562" w:type="dxa"/>
          </w:tcPr>
          <w:p w14:paraId="0AE87846" w14:textId="77777777"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4</w:t>
            </w:r>
          </w:p>
        </w:tc>
      </w:tr>
      <w:tr w:rsidR="00F867B5" w:rsidRPr="00C1197E" w14:paraId="4C0D70F7" w14:textId="77777777" w:rsidTr="00164830">
        <w:tc>
          <w:tcPr>
            <w:cnfStyle w:val="001000000000" w:firstRow="0" w:lastRow="0" w:firstColumn="1" w:lastColumn="0" w:oddVBand="0" w:evenVBand="0" w:oddHBand="0" w:evenHBand="0" w:firstRowFirstColumn="0" w:firstRowLastColumn="0" w:lastRowFirstColumn="0" w:lastRowLastColumn="0"/>
            <w:tcW w:w="2146" w:type="dxa"/>
          </w:tcPr>
          <w:p w14:paraId="1C78825A" w14:textId="77777777" w:rsidR="00F867B5" w:rsidRPr="00C1197E" w:rsidRDefault="00F867B5" w:rsidP="003F0D02">
            <w:pPr>
              <w:pStyle w:val="Rubrik2"/>
              <w:spacing w:after="120"/>
              <w:outlineLvl w:val="1"/>
              <w:rPr>
                <w:i w:val="0"/>
                <w:color w:val="auto"/>
                <w:sz w:val="22"/>
                <w:szCs w:val="22"/>
                <w:lang w:val="en-US"/>
              </w:rPr>
            </w:pPr>
            <w:r w:rsidRPr="00C1197E">
              <w:rPr>
                <w:i w:val="0"/>
                <w:color w:val="auto"/>
                <w:sz w:val="22"/>
                <w:szCs w:val="22"/>
                <w:lang w:val="en-US"/>
              </w:rPr>
              <w:t>GMM in plant activities</w:t>
            </w:r>
            <w:r w:rsidRPr="00C1197E">
              <w:rPr>
                <w:i w:val="0"/>
                <w:color w:val="auto"/>
                <w:sz w:val="22"/>
                <w:szCs w:val="22"/>
                <w:lang w:val="en-US"/>
              </w:rPr>
              <w:tab/>
            </w:r>
          </w:p>
        </w:tc>
        <w:tc>
          <w:tcPr>
            <w:tcW w:w="1364" w:type="dxa"/>
          </w:tcPr>
          <w:p w14:paraId="279D1031" w14:textId="23B30E5B"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sz w:val="22"/>
                <w:szCs w:val="22"/>
                <w:lang w:val="en-US"/>
              </w:rPr>
            </w:pPr>
            <w:r w:rsidRPr="00C1197E">
              <w:rPr>
                <w:b w:val="0"/>
                <w:i w:val="0"/>
                <w:color w:val="auto"/>
                <w:sz w:val="22"/>
                <w:szCs w:val="22"/>
                <w:lang w:val="en-US"/>
              </w:rPr>
              <w:t>6</w:t>
            </w:r>
          </w:p>
        </w:tc>
        <w:tc>
          <w:tcPr>
            <w:tcW w:w="1366" w:type="dxa"/>
          </w:tcPr>
          <w:p w14:paraId="562D82BF" w14:textId="52724D8C"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4</w:t>
            </w:r>
          </w:p>
        </w:tc>
        <w:tc>
          <w:tcPr>
            <w:tcW w:w="1562" w:type="dxa"/>
          </w:tcPr>
          <w:p w14:paraId="63EB118E" w14:textId="77777777"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0</w:t>
            </w:r>
          </w:p>
        </w:tc>
      </w:tr>
      <w:tr w:rsidR="00F867B5" w:rsidRPr="00C1197E" w14:paraId="668217C8" w14:textId="77777777" w:rsidTr="0016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6" w:type="dxa"/>
          </w:tcPr>
          <w:p w14:paraId="3AB3A1A7" w14:textId="17946582" w:rsidR="00F867B5" w:rsidRPr="00C1197E" w:rsidRDefault="00F02FC9" w:rsidP="003F0D02">
            <w:pPr>
              <w:pStyle w:val="Rubrik2"/>
              <w:spacing w:after="120"/>
              <w:outlineLvl w:val="1"/>
              <w:rPr>
                <w:i w:val="0"/>
                <w:color w:val="auto"/>
                <w:sz w:val="22"/>
                <w:szCs w:val="22"/>
                <w:lang w:val="en-US"/>
              </w:rPr>
            </w:pPr>
            <w:r>
              <w:rPr>
                <w:i w:val="0"/>
                <w:color w:val="auto"/>
                <w:sz w:val="22"/>
                <w:szCs w:val="22"/>
                <w:lang w:val="en-US"/>
              </w:rPr>
              <w:t>Large s</w:t>
            </w:r>
            <w:r w:rsidR="00F867B5" w:rsidRPr="00C1197E">
              <w:rPr>
                <w:i w:val="0"/>
                <w:color w:val="auto"/>
                <w:sz w:val="22"/>
                <w:szCs w:val="22"/>
                <w:lang w:val="en-US"/>
              </w:rPr>
              <w:t>cale activities</w:t>
            </w:r>
          </w:p>
        </w:tc>
        <w:tc>
          <w:tcPr>
            <w:tcW w:w="1364" w:type="dxa"/>
          </w:tcPr>
          <w:p w14:paraId="6B3CB7CA" w14:textId="273A77ED"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sz w:val="22"/>
                <w:szCs w:val="22"/>
                <w:lang w:val="en-US"/>
              </w:rPr>
            </w:pPr>
            <w:r w:rsidRPr="00C1197E">
              <w:rPr>
                <w:b w:val="0"/>
                <w:i w:val="0"/>
                <w:color w:val="auto"/>
                <w:sz w:val="22"/>
                <w:szCs w:val="22"/>
                <w:lang w:val="en-US"/>
              </w:rPr>
              <w:t>18</w:t>
            </w:r>
          </w:p>
        </w:tc>
        <w:tc>
          <w:tcPr>
            <w:tcW w:w="1366" w:type="dxa"/>
          </w:tcPr>
          <w:p w14:paraId="184D490E" w14:textId="0F9205E8"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0</w:t>
            </w:r>
          </w:p>
        </w:tc>
        <w:tc>
          <w:tcPr>
            <w:tcW w:w="1562" w:type="dxa"/>
          </w:tcPr>
          <w:p w14:paraId="3D8305CB" w14:textId="77777777"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 xml:space="preserve">0 </w:t>
            </w:r>
          </w:p>
        </w:tc>
      </w:tr>
      <w:tr w:rsidR="00F867B5" w:rsidRPr="00C1197E" w14:paraId="42B93460" w14:textId="77777777" w:rsidTr="00164830">
        <w:tc>
          <w:tcPr>
            <w:cnfStyle w:val="001000000000" w:firstRow="0" w:lastRow="0" w:firstColumn="1" w:lastColumn="0" w:oddVBand="0" w:evenVBand="0" w:oddHBand="0" w:evenHBand="0" w:firstRowFirstColumn="0" w:firstRowLastColumn="0" w:lastRowFirstColumn="0" w:lastRowLastColumn="0"/>
            <w:tcW w:w="2146" w:type="dxa"/>
          </w:tcPr>
          <w:p w14:paraId="27D74819" w14:textId="77777777" w:rsidR="00F867B5" w:rsidRPr="00C1197E" w:rsidRDefault="00F867B5" w:rsidP="003F0D02">
            <w:pPr>
              <w:pStyle w:val="Rubrik2"/>
              <w:spacing w:after="120"/>
              <w:outlineLvl w:val="1"/>
              <w:rPr>
                <w:i w:val="0"/>
                <w:color w:val="auto"/>
                <w:sz w:val="22"/>
                <w:szCs w:val="22"/>
                <w:lang w:val="en-US"/>
              </w:rPr>
            </w:pPr>
            <w:r w:rsidRPr="00C1197E">
              <w:rPr>
                <w:i w:val="0"/>
                <w:color w:val="auto"/>
                <w:sz w:val="22"/>
                <w:szCs w:val="22"/>
                <w:lang w:val="en-US"/>
              </w:rPr>
              <w:t>Other activities</w:t>
            </w:r>
          </w:p>
        </w:tc>
        <w:tc>
          <w:tcPr>
            <w:tcW w:w="1364" w:type="dxa"/>
          </w:tcPr>
          <w:p w14:paraId="71C6AFEE" w14:textId="091781CA"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sz w:val="22"/>
                <w:szCs w:val="22"/>
                <w:lang w:val="en-US"/>
              </w:rPr>
            </w:pPr>
            <w:r w:rsidRPr="00C1197E">
              <w:rPr>
                <w:b w:val="0"/>
                <w:i w:val="0"/>
                <w:color w:val="auto"/>
                <w:sz w:val="22"/>
                <w:szCs w:val="22"/>
                <w:lang w:val="en-US"/>
              </w:rPr>
              <w:t>6</w:t>
            </w:r>
          </w:p>
        </w:tc>
        <w:tc>
          <w:tcPr>
            <w:tcW w:w="1366" w:type="dxa"/>
          </w:tcPr>
          <w:p w14:paraId="08F5A4E7" w14:textId="4AB0BD68"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1</w:t>
            </w:r>
          </w:p>
        </w:tc>
        <w:tc>
          <w:tcPr>
            <w:tcW w:w="1562" w:type="dxa"/>
          </w:tcPr>
          <w:p w14:paraId="3F6C8F10" w14:textId="77777777"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color w:val="auto"/>
                <w:sz w:val="22"/>
                <w:szCs w:val="22"/>
                <w:lang w:val="en-US"/>
              </w:rPr>
            </w:pPr>
            <w:r w:rsidRPr="00C1197E">
              <w:rPr>
                <w:b w:val="0"/>
                <w:i w:val="0"/>
                <w:color w:val="auto"/>
                <w:sz w:val="22"/>
                <w:szCs w:val="22"/>
                <w:lang w:val="en-US"/>
              </w:rPr>
              <w:t>1</w:t>
            </w:r>
          </w:p>
        </w:tc>
      </w:tr>
      <w:tr w:rsidR="00F867B5" w:rsidRPr="00C1197E" w14:paraId="79B48074" w14:textId="77777777" w:rsidTr="00164830">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146" w:type="dxa"/>
          </w:tcPr>
          <w:p w14:paraId="561B1F5D" w14:textId="77777777" w:rsidR="00F867B5" w:rsidRPr="00C1197E" w:rsidRDefault="00F867B5" w:rsidP="003F0D02">
            <w:pPr>
              <w:pStyle w:val="Rubrik2"/>
              <w:spacing w:after="120"/>
              <w:outlineLvl w:val="1"/>
              <w:rPr>
                <w:i w:val="0"/>
                <w:sz w:val="22"/>
                <w:szCs w:val="22"/>
                <w:lang w:val="en-US"/>
              </w:rPr>
            </w:pPr>
          </w:p>
        </w:tc>
        <w:tc>
          <w:tcPr>
            <w:tcW w:w="1364" w:type="dxa"/>
          </w:tcPr>
          <w:p w14:paraId="49372075" w14:textId="77777777"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i w:val="0"/>
                <w:sz w:val="22"/>
                <w:szCs w:val="22"/>
                <w:lang w:val="en-US"/>
              </w:rPr>
            </w:pPr>
          </w:p>
        </w:tc>
        <w:tc>
          <w:tcPr>
            <w:tcW w:w="1366" w:type="dxa"/>
          </w:tcPr>
          <w:p w14:paraId="698F207A" w14:textId="4EC4EE81"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i w:val="0"/>
                <w:sz w:val="22"/>
                <w:szCs w:val="22"/>
                <w:lang w:val="en-US"/>
              </w:rPr>
            </w:pPr>
          </w:p>
        </w:tc>
        <w:tc>
          <w:tcPr>
            <w:tcW w:w="1562" w:type="dxa"/>
          </w:tcPr>
          <w:p w14:paraId="05BB3387" w14:textId="77777777"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i w:val="0"/>
                <w:sz w:val="22"/>
                <w:szCs w:val="22"/>
                <w:lang w:val="en-US"/>
              </w:rPr>
            </w:pPr>
          </w:p>
        </w:tc>
      </w:tr>
      <w:tr w:rsidR="00F867B5" w:rsidRPr="00C1197E" w14:paraId="7F729578" w14:textId="77777777" w:rsidTr="00164830">
        <w:tc>
          <w:tcPr>
            <w:cnfStyle w:val="001000000000" w:firstRow="0" w:lastRow="0" w:firstColumn="1" w:lastColumn="0" w:oddVBand="0" w:evenVBand="0" w:oddHBand="0" w:evenHBand="0" w:firstRowFirstColumn="0" w:firstRowLastColumn="0" w:lastRowFirstColumn="0" w:lastRowLastColumn="0"/>
            <w:tcW w:w="2146" w:type="dxa"/>
          </w:tcPr>
          <w:p w14:paraId="1CB0EE1C" w14:textId="77777777" w:rsidR="00F867B5" w:rsidRPr="00C1197E" w:rsidRDefault="00F867B5" w:rsidP="003F0D02">
            <w:pPr>
              <w:pStyle w:val="Rubrik2"/>
              <w:spacing w:after="120"/>
              <w:outlineLvl w:val="1"/>
              <w:rPr>
                <w:b/>
                <w:i w:val="0"/>
                <w:color w:val="auto"/>
                <w:sz w:val="22"/>
                <w:szCs w:val="22"/>
                <w:lang w:val="en-US"/>
              </w:rPr>
            </w:pPr>
            <w:r w:rsidRPr="00C1197E">
              <w:rPr>
                <w:b/>
                <w:i w:val="0"/>
                <w:color w:val="auto"/>
                <w:sz w:val="22"/>
                <w:szCs w:val="22"/>
                <w:lang w:val="en-US"/>
              </w:rPr>
              <w:t>Employers (Users)</w:t>
            </w:r>
          </w:p>
        </w:tc>
        <w:tc>
          <w:tcPr>
            <w:tcW w:w="1364" w:type="dxa"/>
          </w:tcPr>
          <w:p w14:paraId="067AFCF0" w14:textId="65DAC8D2"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i w:val="0"/>
                <w:sz w:val="22"/>
                <w:szCs w:val="22"/>
                <w:lang w:val="en-US"/>
              </w:rPr>
            </w:pPr>
            <w:r w:rsidRPr="00C1197E">
              <w:rPr>
                <w:i w:val="0"/>
                <w:color w:val="auto"/>
                <w:sz w:val="22"/>
                <w:szCs w:val="22"/>
                <w:lang w:val="en-US"/>
              </w:rPr>
              <w:t>Number</w:t>
            </w:r>
          </w:p>
        </w:tc>
        <w:tc>
          <w:tcPr>
            <w:tcW w:w="1366" w:type="dxa"/>
          </w:tcPr>
          <w:p w14:paraId="4AAB6756" w14:textId="0BF893F2"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i w:val="0"/>
                <w:sz w:val="22"/>
                <w:szCs w:val="22"/>
                <w:lang w:val="en-US"/>
              </w:rPr>
            </w:pPr>
          </w:p>
        </w:tc>
        <w:tc>
          <w:tcPr>
            <w:tcW w:w="1562" w:type="dxa"/>
          </w:tcPr>
          <w:p w14:paraId="4ACB9727" w14:textId="77777777"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i w:val="0"/>
                <w:sz w:val="22"/>
                <w:szCs w:val="22"/>
                <w:lang w:val="en-US"/>
              </w:rPr>
            </w:pPr>
          </w:p>
        </w:tc>
      </w:tr>
      <w:tr w:rsidR="00F867B5" w:rsidRPr="00C1197E" w14:paraId="4BC1D07D" w14:textId="77777777" w:rsidTr="0016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6" w:type="dxa"/>
          </w:tcPr>
          <w:p w14:paraId="69DD28C8" w14:textId="77777777" w:rsidR="00F867B5" w:rsidRPr="00C1197E" w:rsidRDefault="00F867B5" w:rsidP="003F0D02">
            <w:pPr>
              <w:pStyle w:val="Rubrik2"/>
              <w:spacing w:after="120"/>
              <w:outlineLvl w:val="1"/>
              <w:rPr>
                <w:i w:val="0"/>
                <w:color w:val="auto"/>
                <w:sz w:val="22"/>
                <w:szCs w:val="22"/>
                <w:lang w:val="en-US"/>
              </w:rPr>
            </w:pPr>
            <w:r w:rsidRPr="00C1197E">
              <w:rPr>
                <w:i w:val="0"/>
                <w:color w:val="auto"/>
                <w:sz w:val="22"/>
                <w:szCs w:val="22"/>
                <w:lang w:val="en-US"/>
              </w:rPr>
              <w:t>Total number employers</w:t>
            </w:r>
          </w:p>
        </w:tc>
        <w:tc>
          <w:tcPr>
            <w:tcW w:w="1364" w:type="dxa"/>
          </w:tcPr>
          <w:p w14:paraId="1C07E54B" w14:textId="15570119"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sz w:val="22"/>
                <w:szCs w:val="22"/>
                <w:lang w:val="en-US"/>
              </w:rPr>
            </w:pPr>
            <w:r w:rsidRPr="00C1197E">
              <w:rPr>
                <w:b w:val="0"/>
                <w:i w:val="0"/>
                <w:color w:val="auto"/>
                <w:sz w:val="22"/>
                <w:szCs w:val="22"/>
                <w:lang w:val="en-US"/>
              </w:rPr>
              <w:t>102</w:t>
            </w:r>
          </w:p>
        </w:tc>
        <w:tc>
          <w:tcPr>
            <w:tcW w:w="1366" w:type="dxa"/>
          </w:tcPr>
          <w:p w14:paraId="64727B29" w14:textId="56D2048D"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sz w:val="22"/>
                <w:szCs w:val="22"/>
                <w:lang w:val="en-US"/>
              </w:rPr>
            </w:pPr>
          </w:p>
        </w:tc>
        <w:tc>
          <w:tcPr>
            <w:tcW w:w="1562" w:type="dxa"/>
          </w:tcPr>
          <w:p w14:paraId="701AB5EA" w14:textId="77777777"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i w:val="0"/>
                <w:sz w:val="22"/>
                <w:szCs w:val="22"/>
                <w:lang w:val="en-US"/>
              </w:rPr>
            </w:pPr>
          </w:p>
        </w:tc>
      </w:tr>
      <w:tr w:rsidR="00F867B5" w:rsidRPr="00C1197E" w14:paraId="6BAF3625" w14:textId="77777777" w:rsidTr="00164830">
        <w:tc>
          <w:tcPr>
            <w:cnfStyle w:val="001000000000" w:firstRow="0" w:lastRow="0" w:firstColumn="1" w:lastColumn="0" w:oddVBand="0" w:evenVBand="0" w:oddHBand="0" w:evenHBand="0" w:firstRowFirstColumn="0" w:firstRowLastColumn="0" w:lastRowFirstColumn="0" w:lastRowLastColumn="0"/>
            <w:tcW w:w="2146" w:type="dxa"/>
          </w:tcPr>
          <w:p w14:paraId="65681643" w14:textId="77777777" w:rsidR="00F867B5" w:rsidRPr="00C1197E" w:rsidRDefault="00F867B5" w:rsidP="003F0D02">
            <w:pPr>
              <w:pStyle w:val="Rubrik2"/>
              <w:spacing w:after="120"/>
              <w:outlineLvl w:val="1"/>
              <w:rPr>
                <w:i w:val="0"/>
                <w:color w:val="auto"/>
                <w:sz w:val="22"/>
                <w:szCs w:val="22"/>
                <w:lang w:val="en-US"/>
              </w:rPr>
            </w:pPr>
            <w:r w:rsidRPr="00C1197E">
              <w:rPr>
                <w:i w:val="0"/>
                <w:color w:val="auto"/>
                <w:sz w:val="22"/>
                <w:szCs w:val="22"/>
                <w:lang w:val="en-US"/>
              </w:rPr>
              <w:t>Government sector</w:t>
            </w:r>
          </w:p>
        </w:tc>
        <w:tc>
          <w:tcPr>
            <w:tcW w:w="1364" w:type="dxa"/>
          </w:tcPr>
          <w:p w14:paraId="34E92369" w14:textId="45D1E9A2"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sz w:val="22"/>
                <w:szCs w:val="22"/>
                <w:lang w:val="en-US"/>
              </w:rPr>
            </w:pPr>
            <w:r w:rsidRPr="00C1197E">
              <w:rPr>
                <w:b w:val="0"/>
                <w:i w:val="0"/>
                <w:color w:val="auto"/>
                <w:sz w:val="22"/>
                <w:szCs w:val="22"/>
                <w:lang w:val="en-US"/>
              </w:rPr>
              <w:t>24</w:t>
            </w:r>
          </w:p>
        </w:tc>
        <w:tc>
          <w:tcPr>
            <w:tcW w:w="1366" w:type="dxa"/>
          </w:tcPr>
          <w:p w14:paraId="652AF3C9" w14:textId="39C1199A"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sz w:val="22"/>
                <w:szCs w:val="22"/>
                <w:lang w:val="en-US"/>
              </w:rPr>
            </w:pPr>
          </w:p>
        </w:tc>
        <w:tc>
          <w:tcPr>
            <w:tcW w:w="1562" w:type="dxa"/>
          </w:tcPr>
          <w:p w14:paraId="4E714D4C" w14:textId="77777777"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i w:val="0"/>
                <w:sz w:val="22"/>
                <w:szCs w:val="22"/>
                <w:lang w:val="en-US"/>
              </w:rPr>
            </w:pPr>
          </w:p>
        </w:tc>
      </w:tr>
      <w:tr w:rsidR="00F867B5" w:rsidRPr="00F867B5" w14:paraId="54B76640" w14:textId="77777777" w:rsidTr="0016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6" w:type="dxa"/>
          </w:tcPr>
          <w:p w14:paraId="3BBD2BF8" w14:textId="77777777" w:rsidR="00F867B5" w:rsidRPr="00C1197E" w:rsidRDefault="00F867B5" w:rsidP="00814386">
            <w:pPr>
              <w:pStyle w:val="Rubrik2"/>
              <w:spacing w:after="120"/>
              <w:outlineLvl w:val="1"/>
              <w:rPr>
                <w:i w:val="0"/>
                <w:color w:val="auto"/>
                <w:sz w:val="22"/>
                <w:szCs w:val="22"/>
                <w:lang w:val="en-US"/>
              </w:rPr>
            </w:pPr>
            <w:r w:rsidRPr="00C1197E">
              <w:rPr>
                <w:i w:val="0"/>
                <w:color w:val="auto"/>
                <w:sz w:val="22"/>
                <w:szCs w:val="22"/>
                <w:lang w:val="en-US"/>
              </w:rPr>
              <w:t xml:space="preserve">City and County Council Boards </w:t>
            </w:r>
          </w:p>
        </w:tc>
        <w:tc>
          <w:tcPr>
            <w:tcW w:w="1364" w:type="dxa"/>
          </w:tcPr>
          <w:p w14:paraId="77D5C564" w14:textId="20FCC59E"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sz w:val="22"/>
                <w:szCs w:val="22"/>
                <w:lang w:val="en-US"/>
              </w:rPr>
            </w:pPr>
            <w:r w:rsidRPr="00C1197E">
              <w:rPr>
                <w:b w:val="0"/>
                <w:i w:val="0"/>
                <w:color w:val="auto"/>
                <w:sz w:val="22"/>
                <w:szCs w:val="22"/>
                <w:lang w:val="en-US"/>
              </w:rPr>
              <w:t>13</w:t>
            </w:r>
          </w:p>
        </w:tc>
        <w:tc>
          <w:tcPr>
            <w:tcW w:w="1366" w:type="dxa"/>
          </w:tcPr>
          <w:p w14:paraId="634C8CC1" w14:textId="57EB538F"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b w:val="0"/>
                <w:i w:val="0"/>
                <w:sz w:val="22"/>
                <w:szCs w:val="22"/>
                <w:lang w:val="en-US"/>
              </w:rPr>
            </w:pPr>
          </w:p>
        </w:tc>
        <w:tc>
          <w:tcPr>
            <w:tcW w:w="1562" w:type="dxa"/>
          </w:tcPr>
          <w:p w14:paraId="1B317DE4" w14:textId="77777777" w:rsidR="00F867B5" w:rsidRPr="00C1197E" w:rsidRDefault="00F867B5" w:rsidP="003F0D02">
            <w:pPr>
              <w:pStyle w:val="Rubrik2"/>
              <w:spacing w:after="120"/>
              <w:jc w:val="right"/>
              <w:outlineLvl w:val="1"/>
              <w:cnfStyle w:val="000000100000" w:firstRow="0" w:lastRow="0" w:firstColumn="0" w:lastColumn="0" w:oddVBand="0" w:evenVBand="0" w:oddHBand="1" w:evenHBand="0" w:firstRowFirstColumn="0" w:firstRowLastColumn="0" w:lastRowFirstColumn="0" w:lastRowLastColumn="0"/>
              <w:rPr>
                <w:i w:val="0"/>
                <w:sz w:val="22"/>
                <w:szCs w:val="22"/>
                <w:lang w:val="en-US"/>
              </w:rPr>
            </w:pPr>
          </w:p>
        </w:tc>
      </w:tr>
      <w:tr w:rsidR="00F867B5" w:rsidRPr="00C1197E" w14:paraId="75643093" w14:textId="77777777" w:rsidTr="00164830">
        <w:tc>
          <w:tcPr>
            <w:cnfStyle w:val="001000000000" w:firstRow="0" w:lastRow="0" w:firstColumn="1" w:lastColumn="0" w:oddVBand="0" w:evenVBand="0" w:oddHBand="0" w:evenHBand="0" w:firstRowFirstColumn="0" w:firstRowLastColumn="0" w:lastRowFirstColumn="0" w:lastRowLastColumn="0"/>
            <w:tcW w:w="2146" w:type="dxa"/>
          </w:tcPr>
          <w:p w14:paraId="1ADA7799" w14:textId="77777777" w:rsidR="00F867B5" w:rsidRPr="00C1197E" w:rsidRDefault="00F867B5" w:rsidP="003F0D02">
            <w:pPr>
              <w:pStyle w:val="Rubrik2"/>
              <w:spacing w:after="120"/>
              <w:outlineLvl w:val="1"/>
              <w:rPr>
                <w:i w:val="0"/>
                <w:color w:val="auto"/>
                <w:sz w:val="22"/>
                <w:szCs w:val="22"/>
                <w:lang w:val="en-US"/>
              </w:rPr>
            </w:pPr>
            <w:r w:rsidRPr="00C1197E">
              <w:rPr>
                <w:i w:val="0"/>
                <w:color w:val="auto"/>
                <w:sz w:val="22"/>
                <w:szCs w:val="22"/>
                <w:lang w:val="en-US"/>
              </w:rPr>
              <w:t>Private Sector</w:t>
            </w:r>
          </w:p>
        </w:tc>
        <w:tc>
          <w:tcPr>
            <w:tcW w:w="1364" w:type="dxa"/>
          </w:tcPr>
          <w:p w14:paraId="7E86BCF6" w14:textId="1C36091B"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sz w:val="22"/>
                <w:szCs w:val="22"/>
                <w:lang w:val="en-US"/>
              </w:rPr>
            </w:pPr>
            <w:r w:rsidRPr="00C1197E">
              <w:rPr>
                <w:b w:val="0"/>
                <w:i w:val="0"/>
                <w:color w:val="auto"/>
                <w:sz w:val="22"/>
                <w:szCs w:val="22"/>
                <w:lang w:val="en-US"/>
              </w:rPr>
              <w:t>68</w:t>
            </w:r>
          </w:p>
        </w:tc>
        <w:tc>
          <w:tcPr>
            <w:tcW w:w="1366" w:type="dxa"/>
          </w:tcPr>
          <w:p w14:paraId="4A2AF3F6" w14:textId="3DD25174"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b w:val="0"/>
                <w:i w:val="0"/>
                <w:sz w:val="22"/>
                <w:szCs w:val="22"/>
                <w:lang w:val="en-US"/>
              </w:rPr>
            </w:pPr>
          </w:p>
        </w:tc>
        <w:tc>
          <w:tcPr>
            <w:tcW w:w="1562" w:type="dxa"/>
          </w:tcPr>
          <w:p w14:paraId="19E15AC6" w14:textId="77777777" w:rsidR="00F867B5" w:rsidRPr="00C1197E" w:rsidRDefault="00F867B5" w:rsidP="003F0D02">
            <w:pPr>
              <w:pStyle w:val="Rubrik2"/>
              <w:spacing w:after="120"/>
              <w:jc w:val="right"/>
              <w:outlineLvl w:val="1"/>
              <w:cnfStyle w:val="000000000000" w:firstRow="0" w:lastRow="0" w:firstColumn="0" w:lastColumn="0" w:oddVBand="0" w:evenVBand="0" w:oddHBand="0" w:evenHBand="0" w:firstRowFirstColumn="0" w:firstRowLastColumn="0" w:lastRowFirstColumn="0" w:lastRowLastColumn="0"/>
              <w:rPr>
                <w:i w:val="0"/>
                <w:sz w:val="22"/>
                <w:szCs w:val="22"/>
                <w:lang w:val="en-US"/>
              </w:rPr>
            </w:pPr>
          </w:p>
        </w:tc>
      </w:tr>
    </w:tbl>
    <w:p w14:paraId="1FA85EA8" w14:textId="77777777" w:rsidR="00814386" w:rsidRPr="00814386" w:rsidRDefault="00814386">
      <w:pPr>
        <w:spacing w:after="200" w:line="276" w:lineRule="auto"/>
        <w:rPr>
          <w:rFonts w:eastAsiaTheme="minorEastAsia"/>
          <w:szCs w:val="24"/>
          <w:lang w:val="en-US" w:eastAsia="sv-SE"/>
        </w:rPr>
      </w:pPr>
      <w:r w:rsidRPr="00814386">
        <w:rPr>
          <w:szCs w:val="24"/>
          <w:lang w:val="en-US"/>
        </w:rPr>
        <w:br w:type="page"/>
      </w:r>
    </w:p>
    <w:p w14:paraId="56E097C9" w14:textId="77777777" w:rsidR="00814386" w:rsidRDefault="00814386" w:rsidP="00814386">
      <w:pPr>
        <w:rPr>
          <w:lang w:val="en-US"/>
        </w:rPr>
      </w:pPr>
    </w:p>
    <w:p w14:paraId="1896E8F4" w14:textId="77777777" w:rsidR="00814386" w:rsidRDefault="00814386" w:rsidP="00814386">
      <w:pPr>
        <w:rPr>
          <w:lang w:val="en-US"/>
        </w:rPr>
      </w:pPr>
    </w:p>
    <w:p w14:paraId="34437612" w14:textId="101BAA47" w:rsidR="00814386" w:rsidRDefault="00814386" w:rsidP="00814386">
      <w:pPr>
        <w:rPr>
          <w:lang w:val="en-US"/>
        </w:rPr>
      </w:pPr>
      <w:r w:rsidRPr="005C2D97">
        <w:rPr>
          <w:lang w:val="en-US"/>
        </w:rPr>
        <w:t xml:space="preserve">The Swedish Work Authority provides guidance </w:t>
      </w:r>
      <w:r w:rsidR="0097234C" w:rsidRPr="005C2D97">
        <w:rPr>
          <w:lang w:val="en-US"/>
        </w:rPr>
        <w:t xml:space="preserve">on </w:t>
      </w:r>
      <w:r w:rsidR="0097234C">
        <w:rPr>
          <w:lang w:val="en-US"/>
        </w:rPr>
        <w:t>the web page “Gene technique”</w:t>
      </w:r>
      <w:r w:rsidR="0097234C">
        <w:rPr>
          <w:rStyle w:val="Fotnotsreferens"/>
          <w:rFonts w:eastAsiaTheme="majorEastAsia"/>
          <w:lang w:val="en-US"/>
        </w:rPr>
        <w:footnoteReference w:id="8"/>
      </w:r>
      <w:r w:rsidR="0097234C">
        <w:rPr>
          <w:lang w:val="en-US"/>
        </w:rPr>
        <w:t xml:space="preserve"> </w:t>
      </w:r>
      <w:r w:rsidR="0097234C" w:rsidRPr="005C2D97">
        <w:rPr>
          <w:lang w:val="en-US"/>
        </w:rPr>
        <w:t>(only in Swedish)</w:t>
      </w:r>
      <w:r w:rsidR="0097234C">
        <w:rPr>
          <w:lang w:val="en-US"/>
        </w:rPr>
        <w:t xml:space="preserve"> </w:t>
      </w:r>
      <w:r w:rsidRPr="005C2D97">
        <w:rPr>
          <w:lang w:val="en-US"/>
        </w:rPr>
        <w:t xml:space="preserve">for people and enterprises involved in contained use of genetically modified organisms. </w:t>
      </w:r>
      <w:r w:rsidRPr="00994894">
        <w:rPr>
          <w:lang w:val="en-US"/>
        </w:rPr>
        <w:t>This web page provides information on the requirements for contained use of gene</w:t>
      </w:r>
      <w:r>
        <w:rPr>
          <w:lang w:val="en-US"/>
        </w:rPr>
        <w:t>t</w:t>
      </w:r>
      <w:r w:rsidRPr="00994894">
        <w:rPr>
          <w:lang w:val="en-US"/>
        </w:rPr>
        <w:t xml:space="preserve">ically modified </w:t>
      </w:r>
      <w:proofErr w:type="gramStart"/>
      <w:r w:rsidRPr="00994894">
        <w:rPr>
          <w:lang w:val="en-US"/>
        </w:rPr>
        <w:t>micro-organisms</w:t>
      </w:r>
      <w:proofErr w:type="gramEnd"/>
      <w:r w:rsidRPr="00994894">
        <w:rPr>
          <w:lang w:val="en-US"/>
        </w:rPr>
        <w:t xml:space="preserve"> and how to </w:t>
      </w:r>
      <w:r w:rsidR="00ED712F">
        <w:rPr>
          <w:lang w:val="en-US"/>
        </w:rPr>
        <w:t xml:space="preserve">notify and </w:t>
      </w:r>
      <w:r w:rsidRPr="00994894">
        <w:rPr>
          <w:lang w:val="en-US"/>
        </w:rPr>
        <w:t xml:space="preserve">apply for permission for </w:t>
      </w:r>
      <w:r w:rsidR="0097234C">
        <w:rPr>
          <w:lang w:val="en-US"/>
        </w:rPr>
        <w:t xml:space="preserve">use and updating GMM activities and </w:t>
      </w:r>
      <w:r w:rsidRPr="00994894">
        <w:rPr>
          <w:lang w:val="en-US"/>
        </w:rPr>
        <w:t xml:space="preserve">enterprises. Information </w:t>
      </w:r>
      <w:r w:rsidR="00DB3CDD">
        <w:rPr>
          <w:lang w:val="en-US"/>
        </w:rPr>
        <w:t xml:space="preserve">is provided to help </w:t>
      </w:r>
      <w:r w:rsidRPr="00994894">
        <w:rPr>
          <w:lang w:val="en-US"/>
        </w:rPr>
        <w:t xml:space="preserve">the user </w:t>
      </w:r>
      <w:r w:rsidR="00DB3CDD">
        <w:rPr>
          <w:lang w:val="en-US"/>
        </w:rPr>
        <w:t>in</w:t>
      </w:r>
      <w:r w:rsidRPr="00994894">
        <w:rPr>
          <w:lang w:val="en-US"/>
        </w:rPr>
        <w:t xml:space="preserve"> writing</w:t>
      </w:r>
      <w:r w:rsidR="00ED712F">
        <w:rPr>
          <w:lang w:val="en-US"/>
        </w:rPr>
        <w:t xml:space="preserve"> a notification or</w:t>
      </w:r>
      <w:r w:rsidRPr="00994894">
        <w:rPr>
          <w:lang w:val="en-US"/>
        </w:rPr>
        <w:t xml:space="preserve"> an application for contained u</w:t>
      </w:r>
      <w:r>
        <w:rPr>
          <w:lang w:val="en-US"/>
        </w:rPr>
        <w:t xml:space="preserve">se, </w:t>
      </w:r>
      <w:r w:rsidR="00DB3CDD">
        <w:rPr>
          <w:lang w:val="en-US"/>
        </w:rPr>
        <w:t>and to inform</w:t>
      </w:r>
      <w:r>
        <w:rPr>
          <w:lang w:val="en-US"/>
        </w:rPr>
        <w:t xml:space="preserve"> </w:t>
      </w:r>
      <w:r w:rsidR="00DB3CDD">
        <w:rPr>
          <w:lang w:val="en-US"/>
        </w:rPr>
        <w:t>about the</w:t>
      </w:r>
      <w:r>
        <w:rPr>
          <w:lang w:val="en-US"/>
        </w:rPr>
        <w:t xml:space="preserve"> proces</w:t>
      </w:r>
      <w:r w:rsidRPr="00994894">
        <w:rPr>
          <w:lang w:val="en-US"/>
        </w:rPr>
        <w:t xml:space="preserve">s of </w:t>
      </w:r>
      <w:proofErr w:type="spellStart"/>
      <w:r w:rsidRPr="00994894">
        <w:rPr>
          <w:lang w:val="en-US"/>
        </w:rPr>
        <w:t>considera</w:t>
      </w:r>
      <w:r w:rsidR="0097234C">
        <w:rPr>
          <w:lang w:val="en-US"/>
        </w:rPr>
        <w:t>-</w:t>
      </w:r>
      <w:r w:rsidRPr="00994894">
        <w:rPr>
          <w:lang w:val="en-US"/>
        </w:rPr>
        <w:t>tion</w:t>
      </w:r>
      <w:proofErr w:type="spellEnd"/>
      <w:r w:rsidRPr="00994894">
        <w:rPr>
          <w:lang w:val="en-US"/>
        </w:rPr>
        <w:t xml:space="preserve"> of the application and assessment of the type of GMM use. This web page </w:t>
      </w:r>
      <w:r w:rsidR="00DB3CDD">
        <w:rPr>
          <w:lang w:val="en-US"/>
        </w:rPr>
        <w:t xml:space="preserve">also </w:t>
      </w:r>
      <w:r w:rsidRPr="00994894">
        <w:rPr>
          <w:lang w:val="en-US"/>
        </w:rPr>
        <w:t xml:space="preserve">contains information on the risks that may be involved in </w:t>
      </w:r>
      <w:r w:rsidR="00DB3CDD">
        <w:rPr>
          <w:lang w:val="en-US"/>
        </w:rPr>
        <w:t xml:space="preserve">the </w:t>
      </w:r>
      <w:r w:rsidRPr="00994894">
        <w:rPr>
          <w:lang w:val="en-US"/>
        </w:rPr>
        <w:t xml:space="preserve">use and handling of GMM’s and the </w:t>
      </w:r>
      <w:r w:rsidR="00DB3CDD" w:rsidRPr="00994894">
        <w:rPr>
          <w:lang w:val="en-US"/>
        </w:rPr>
        <w:t xml:space="preserve">necessary </w:t>
      </w:r>
      <w:r w:rsidRPr="00994894">
        <w:rPr>
          <w:lang w:val="en-US"/>
        </w:rPr>
        <w:t>measures and requirements for providing a safe working enviro</w:t>
      </w:r>
      <w:r>
        <w:rPr>
          <w:lang w:val="en-US"/>
        </w:rPr>
        <w:t>n</w:t>
      </w:r>
      <w:r w:rsidRPr="00994894">
        <w:rPr>
          <w:lang w:val="en-US"/>
        </w:rPr>
        <w:t>ment</w:t>
      </w:r>
      <w:r w:rsidR="00DB3CDD">
        <w:rPr>
          <w:lang w:val="en-US"/>
        </w:rPr>
        <w:t>,</w:t>
      </w:r>
      <w:r w:rsidRPr="00994894">
        <w:rPr>
          <w:lang w:val="en-US"/>
        </w:rPr>
        <w:t xml:space="preserve"> as well as other useful information on </w:t>
      </w:r>
      <w:r w:rsidRPr="00994894">
        <w:rPr>
          <w:i/>
          <w:lang w:val="en-US"/>
        </w:rPr>
        <w:t>i.e</w:t>
      </w:r>
      <w:r w:rsidRPr="00994894">
        <w:rPr>
          <w:lang w:val="en-US"/>
        </w:rPr>
        <w:t>. inspection procedures.</w:t>
      </w:r>
      <w:r>
        <w:rPr>
          <w:lang w:val="en-US"/>
        </w:rPr>
        <w:t xml:space="preserve"> </w:t>
      </w:r>
      <w:r w:rsidRPr="00994894">
        <w:rPr>
          <w:lang w:val="en-US"/>
        </w:rPr>
        <w:t xml:space="preserve">Guidance is also </w:t>
      </w:r>
      <w:r>
        <w:rPr>
          <w:lang w:val="en-US"/>
        </w:rPr>
        <w:t>given for applying</w:t>
      </w:r>
      <w:r w:rsidRPr="00994894">
        <w:rPr>
          <w:lang w:val="en-US"/>
        </w:rPr>
        <w:t xml:space="preserve"> </w:t>
      </w:r>
      <w:r>
        <w:rPr>
          <w:lang w:val="en-US"/>
        </w:rPr>
        <w:t xml:space="preserve">legal </w:t>
      </w:r>
      <w:r w:rsidRPr="00994894">
        <w:rPr>
          <w:lang w:val="en-US"/>
        </w:rPr>
        <w:t>provision</w:t>
      </w:r>
      <w:r w:rsidR="0097234C">
        <w:rPr>
          <w:lang w:val="en-US"/>
        </w:rPr>
        <w:t>s</w:t>
      </w:r>
      <w:r w:rsidRPr="00994894">
        <w:rPr>
          <w:lang w:val="en-US"/>
        </w:rPr>
        <w:t xml:space="preserve"> and recommendations for contained use of genetically modified </w:t>
      </w:r>
      <w:proofErr w:type="gramStart"/>
      <w:r w:rsidRPr="00994894">
        <w:rPr>
          <w:lang w:val="en-US"/>
        </w:rPr>
        <w:t>micro-organisms</w:t>
      </w:r>
      <w:proofErr w:type="gramEnd"/>
      <w:r>
        <w:rPr>
          <w:lang w:val="en-US"/>
        </w:rPr>
        <w:t xml:space="preserve"> (in English and Swedish). </w:t>
      </w:r>
      <w:r w:rsidRPr="00092994">
        <w:rPr>
          <w:rStyle w:val="Fotnotsreferens"/>
          <w:rFonts w:eastAsiaTheme="majorEastAsia"/>
        </w:rPr>
        <w:footnoteReference w:id="9"/>
      </w:r>
      <w:r w:rsidRPr="00994894">
        <w:rPr>
          <w:lang w:val="en-US"/>
        </w:rPr>
        <w:t xml:space="preserve"> </w:t>
      </w:r>
    </w:p>
    <w:p w14:paraId="1B156E80" w14:textId="77777777" w:rsidR="00814386" w:rsidRDefault="00814386" w:rsidP="00814386">
      <w:pPr>
        <w:rPr>
          <w:lang w:val="en-US"/>
        </w:rPr>
      </w:pPr>
    </w:p>
    <w:p w14:paraId="203CF5CD" w14:textId="25341B92" w:rsidR="00814386" w:rsidRPr="00A326B2" w:rsidRDefault="00814386" w:rsidP="00147CF3">
      <w:pPr>
        <w:spacing w:after="240"/>
        <w:rPr>
          <w:lang w:val="en-US"/>
        </w:rPr>
      </w:pPr>
      <w:r>
        <w:rPr>
          <w:lang w:val="en-US"/>
        </w:rPr>
        <w:t>The Swedish Board of Agriculture does not have specific guidance for contained use of plants and animals</w:t>
      </w:r>
      <w:r w:rsidR="00957D5E">
        <w:rPr>
          <w:lang w:val="en-US"/>
        </w:rPr>
        <w:t xml:space="preserve">. The assessment process for granting </w:t>
      </w:r>
      <w:r>
        <w:rPr>
          <w:lang w:val="en-US"/>
        </w:rPr>
        <w:t xml:space="preserve">permission </w:t>
      </w:r>
      <w:r w:rsidR="00957D5E">
        <w:rPr>
          <w:lang w:val="en-US"/>
        </w:rPr>
        <w:t>for</w:t>
      </w:r>
      <w:r>
        <w:rPr>
          <w:lang w:val="en-US"/>
        </w:rPr>
        <w:t xml:space="preserve"> contained use of plants is influenced by a combination of factors; the locale, </w:t>
      </w:r>
      <w:r w:rsidR="00957D5E">
        <w:rPr>
          <w:lang w:val="en-US"/>
        </w:rPr>
        <w:t xml:space="preserve">planned </w:t>
      </w:r>
      <w:r>
        <w:rPr>
          <w:lang w:val="en-US"/>
        </w:rPr>
        <w:t xml:space="preserve">protective measures, routines and the plant species involved </w:t>
      </w:r>
      <w:r w:rsidR="00957D5E">
        <w:rPr>
          <w:lang w:val="en-US"/>
        </w:rPr>
        <w:t>and its characteristics, such as if it flowers</w:t>
      </w:r>
      <w:r>
        <w:rPr>
          <w:lang w:val="en-US"/>
        </w:rPr>
        <w:t xml:space="preserve">. Because all of these aspects interact and affect the </w:t>
      </w:r>
      <w:r w:rsidR="00957D5E">
        <w:rPr>
          <w:lang w:val="en-US"/>
        </w:rPr>
        <w:t>level of risk, the assessment is</w:t>
      </w:r>
      <w:r>
        <w:rPr>
          <w:lang w:val="en-US"/>
        </w:rPr>
        <w:t xml:space="preserve"> to a high degree specific for </w:t>
      </w:r>
      <w:r w:rsidR="00957D5E">
        <w:rPr>
          <w:lang w:val="en-US"/>
        </w:rPr>
        <w:t>each</w:t>
      </w:r>
      <w:r>
        <w:rPr>
          <w:lang w:val="en-US"/>
        </w:rPr>
        <w:t xml:space="preserve"> case. </w:t>
      </w:r>
      <w:r w:rsidRPr="00C8667F">
        <w:rPr>
          <w:lang w:val="en-US"/>
        </w:rPr>
        <w:t xml:space="preserve">It is therefore difficult to write and use standards or guidance. </w:t>
      </w:r>
      <w:r w:rsidR="00957D5E">
        <w:rPr>
          <w:lang w:val="en-US"/>
        </w:rPr>
        <w:t>F</w:t>
      </w:r>
      <w:r w:rsidRPr="00A326B2">
        <w:rPr>
          <w:lang w:val="en-US"/>
        </w:rPr>
        <w:t xml:space="preserve">or this reason, </w:t>
      </w:r>
      <w:r w:rsidRPr="00AF4D0D">
        <w:rPr>
          <w:lang w:val="en-US"/>
        </w:rPr>
        <w:t xml:space="preserve">a guidance written by a working group within the Cartegena </w:t>
      </w:r>
      <w:r w:rsidR="00957D5E">
        <w:rPr>
          <w:lang w:val="en-US"/>
        </w:rPr>
        <w:t>Protocol would not be helpful</w:t>
      </w:r>
      <w:r w:rsidRPr="00AF4D0D">
        <w:rPr>
          <w:lang w:val="en-US"/>
        </w:rPr>
        <w:t xml:space="preserve">. </w:t>
      </w:r>
    </w:p>
    <w:p w14:paraId="080C52A7" w14:textId="53F523DF" w:rsidR="00814386" w:rsidRPr="00AF4D0D" w:rsidRDefault="00814386" w:rsidP="00814386">
      <w:pPr>
        <w:rPr>
          <w:lang w:val="en-US"/>
        </w:rPr>
      </w:pPr>
      <w:r>
        <w:rPr>
          <w:lang w:val="en-US"/>
        </w:rPr>
        <w:t>For assessment of</w:t>
      </w:r>
      <w:r w:rsidRPr="00C8667F">
        <w:rPr>
          <w:lang w:val="en-US"/>
        </w:rPr>
        <w:t xml:space="preserve"> </w:t>
      </w:r>
      <w:r>
        <w:rPr>
          <w:lang w:val="en-US"/>
        </w:rPr>
        <w:t>applications for permission for contained use of</w:t>
      </w:r>
      <w:r w:rsidRPr="00C8667F">
        <w:rPr>
          <w:lang w:val="en-US"/>
        </w:rPr>
        <w:t xml:space="preserve"> genetically modified animals, the goal should be that no animal can come outside of </w:t>
      </w:r>
      <w:r>
        <w:rPr>
          <w:lang w:val="en-US"/>
        </w:rPr>
        <w:t xml:space="preserve">containment and the </w:t>
      </w:r>
      <w:r w:rsidR="00FE7862">
        <w:rPr>
          <w:lang w:val="en-US"/>
        </w:rPr>
        <w:t>premises</w:t>
      </w:r>
      <w:r w:rsidRPr="00C8667F">
        <w:rPr>
          <w:lang w:val="en-US"/>
        </w:rPr>
        <w:t xml:space="preserve">. The assessment is more focused on the requirements of the technical form of the </w:t>
      </w:r>
      <w:r w:rsidR="00FE7862">
        <w:rPr>
          <w:lang w:val="en-US"/>
        </w:rPr>
        <w:t>premises</w:t>
      </w:r>
      <w:r w:rsidR="00957D5E">
        <w:rPr>
          <w:lang w:val="en-US"/>
        </w:rPr>
        <w:t xml:space="preserve">. </w:t>
      </w:r>
      <w:r w:rsidRPr="00AF4D0D">
        <w:rPr>
          <w:lang w:val="en-US"/>
        </w:rPr>
        <w:t xml:space="preserve">There are </w:t>
      </w:r>
      <w:r w:rsidR="0097234C">
        <w:rPr>
          <w:lang w:val="en-US"/>
        </w:rPr>
        <w:t xml:space="preserve">however, </w:t>
      </w:r>
      <w:r w:rsidRPr="00AF4D0D">
        <w:rPr>
          <w:lang w:val="en-US"/>
        </w:rPr>
        <w:t xml:space="preserve">ideas about developing guidance for risk assessment of </w:t>
      </w:r>
      <w:r w:rsidR="00147CF3">
        <w:rPr>
          <w:lang w:val="en-US"/>
        </w:rPr>
        <w:t xml:space="preserve">the </w:t>
      </w:r>
      <w:r w:rsidRPr="00AF4D0D">
        <w:rPr>
          <w:lang w:val="en-US"/>
        </w:rPr>
        <w:t xml:space="preserve">animals. </w:t>
      </w:r>
    </w:p>
    <w:p w14:paraId="5BCB742F" w14:textId="77777777" w:rsidR="00814386" w:rsidRDefault="00814386" w:rsidP="00814386">
      <w:pPr>
        <w:rPr>
          <w:lang w:val="en-US"/>
        </w:rPr>
      </w:pPr>
    </w:p>
    <w:p w14:paraId="6B1E894F" w14:textId="77777777" w:rsidR="008E44B1" w:rsidRDefault="008E44B1" w:rsidP="00814386">
      <w:pPr>
        <w:rPr>
          <w:lang w:val="en-US"/>
        </w:rPr>
      </w:pPr>
    </w:p>
    <w:p w14:paraId="27350CA9" w14:textId="4B1DFC40" w:rsidR="00521ABC" w:rsidRPr="00521ABC" w:rsidRDefault="00521ABC" w:rsidP="00521ABC">
      <w:pPr>
        <w:rPr>
          <w:lang w:val="en-US"/>
        </w:rPr>
      </w:pPr>
      <w:r w:rsidRPr="00521ABC">
        <w:rPr>
          <w:lang w:val="en-US"/>
        </w:rPr>
        <w:t>For the Swedish Environmental Protecti</w:t>
      </w:r>
      <w:r w:rsidR="00147CF3">
        <w:rPr>
          <w:lang w:val="en-US"/>
        </w:rPr>
        <w:t>o</w:t>
      </w:r>
      <w:r w:rsidRPr="00521ABC">
        <w:rPr>
          <w:lang w:val="en-US"/>
        </w:rPr>
        <w:t xml:space="preserve">n </w:t>
      </w:r>
      <w:r w:rsidR="00FE7862">
        <w:rPr>
          <w:lang w:val="en-US"/>
        </w:rPr>
        <w:t>A</w:t>
      </w:r>
      <w:r w:rsidRPr="00521ABC">
        <w:rPr>
          <w:lang w:val="en-US"/>
        </w:rPr>
        <w:t xml:space="preserve">gency, </w:t>
      </w:r>
    </w:p>
    <w:p w14:paraId="39338437" w14:textId="77777777" w:rsidR="00521ABC" w:rsidRDefault="00521ABC" w:rsidP="00521ABC">
      <w:pPr>
        <w:rPr>
          <w:lang w:val="en-US"/>
        </w:rPr>
      </w:pPr>
      <w:r>
        <w:rPr>
          <w:lang w:val="en-US"/>
        </w:rPr>
        <w:t>Focal Point of the BCH</w:t>
      </w:r>
    </w:p>
    <w:p w14:paraId="0863FD23" w14:textId="77777777" w:rsidR="00521ABC" w:rsidRDefault="00521ABC" w:rsidP="00521ABC">
      <w:pPr>
        <w:rPr>
          <w:lang w:val="en-US"/>
        </w:rPr>
      </w:pPr>
    </w:p>
    <w:p w14:paraId="7EF2E24E" w14:textId="77777777" w:rsidR="00561CFF" w:rsidRDefault="00561CFF" w:rsidP="00814386">
      <w:pPr>
        <w:rPr>
          <w:lang w:val="en-US"/>
        </w:rPr>
      </w:pPr>
    </w:p>
    <w:p w14:paraId="46E0CC30" w14:textId="77777777" w:rsidR="00521ABC" w:rsidRPr="00AF4D0D" w:rsidRDefault="00521ABC" w:rsidP="00814386">
      <w:pPr>
        <w:rPr>
          <w:lang w:val="en-US"/>
        </w:rPr>
      </w:pPr>
      <w:r>
        <w:rPr>
          <w:lang w:val="en-US"/>
        </w:rPr>
        <w:t>Melanie Josefsson</w:t>
      </w:r>
    </w:p>
    <w:p w14:paraId="39061F09" w14:textId="77777777" w:rsidR="00814386" w:rsidRPr="00AF4D0D" w:rsidRDefault="00814386" w:rsidP="00814386">
      <w:pPr>
        <w:rPr>
          <w:lang w:val="en-US"/>
        </w:rPr>
      </w:pPr>
    </w:p>
    <w:p w14:paraId="3AE16EB1" w14:textId="77777777" w:rsidR="00814386" w:rsidRPr="00814386" w:rsidRDefault="00814386" w:rsidP="00814386">
      <w:pPr>
        <w:rPr>
          <w:lang w:val="en-US"/>
        </w:rPr>
      </w:pPr>
    </w:p>
    <w:sectPr w:rsidR="00814386" w:rsidRPr="00814386" w:rsidSect="00502131">
      <w:headerReference w:type="default" r:id="rId10"/>
      <w:headerReference w:type="first" r:id="rId11"/>
      <w:footerReference w:type="first" r:id="rId12"/>
      <w:pgSz w:w="11906" w:h="16838" w:code="9"/>
      <w:pgMar w:top="1418" w:right="1418" w:bottom="1418" w:left="2693" w:header="567" w:footer="30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F5D296" w15:done="0"/>
  <w15:commentEx w15:paraId="559C87C7" w15:done="0"/>
  <w15:commentEx w15:paraId="7111BB7A" w15:done="0"/>
  <w15:commentEx w15:paraId="50521D86" w15:done="0"/>
  <w15:commentEx w15:paraId="79436E39" w15:done="0"/>
  <w15:commentEx w15:paraId="2AE88B07" w15:done="0"/>
  <w15:commentEx w15:paraId="362A4B02" w15:done="0"/>
  <w15:commentEx w15:paraId="0F8C5FCD" w15:done="0"/>
  <w15:commentEx w15:paraId="1743E74F" w15:done="0"/>
  <w15:commentEx w15:paraId="230D7F24" w15:done="0"/>
  <w15:commentEx w15:paraId="57D35FD1" w15:done="0"/>
  <w15:commentEx w15:paraId="630FC9A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CA4AC" w14:textId="77777777" w:rsidR="00644790" w:rsidRDefault="00644790" w:rsidP="002B7B42">
      <w:r>
        <w:separator/>
      </w:r>
    </w:p>
  </w:endnote>
  <w:endnote w:type="continuationSeparator" w:id="0">
    <w:p w14:paraId="521B2B2F" w14:textId="77777777" w:rsidR="00644790" w:rsidRDefault="00644790"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okAntiqua">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3"/>
    </w:tblGrid>
    <w:tr w:rsidR="00644790" w14:paraId="37642AFD" w14:textId="77777777" w:rsidTr="00B85C7E">
      <w:tc>
        <w:tcPr>
          <w:tcW w:w="9323" w:type="dxa"/>
          <w:tcMar>
            <w:left w:w="0" w:type="dxa"/>
          </w:tcMar>
        </w:tcPr>
        <w:p w14:paraId="2291A782" w14:textId="77777777" w:rsidR="00644790" w:rsidRPr="00284C13" w:rsidRDefault="00644790" w:rsidP="0023123E">
          <w:pPr>
            <w:pStyle w:val="Sidfot"/>
            <w:spacing w:before="720" w:line="220" w:lineRule="exact"/>
            <w:rPr>
              <w:smallCaps/>
              <w:spacing w:val="16"/>
              <w:sz w:val="16"/>
              <w:szCs w:val="16"/>
            </w:rPr>
          </w:pPr>
          <w:r>
            <w:rPr>
              <w:smallCaps/>
              <w:spacing w:val="16"/>
              <w:sz w:val="16"/>
              <w:szCs w:val="16"/>
            </w:rPr>
            <w:t>office</w:t>
          </w:r>
          <w:r w:rsidRPr="00284C13">
            <w:rPr>
              <w:smallCaps/>
              <w:spacing w:val="16"/>
              <w:sz w:val="16"/>
              <w:szCs w:val="16"/>
            </w:rPr>
            <w:t>: stockholm – valhallavägen 195</w:t>
          </w:r>
        </w:p>
        <w:p w14:paraId="48D3DB93" w14:textId="77777777" w:rsidR="00644790" w:rsidRPr="00284C13" w:rsidRDefault="00644790" w:rsidP="0023123E">
          <w:pPr>
            <w:pStyle w:val="Sidfot"/>
            <w:spacing w:line="220" w:lineRule="exact"/>
            <w:rPr>
              <w:smallCaps/>
              <w:spacing w:val="16"/>
              <w:sz w:val="16"/>
              <w:szCs w:val="16"/>
            </w:rPr>
          </w:pPr>
          <w:r w:rsidRPr="00284C13">
            <w:rPr>
              <w:smallCaps/>
              <w:spacing w:val="16"/>
              <w:sz w:val="16"/>
              <w:szCs w:val="16"/>
            </w:rPr>
            <w:t>östersund – forskarens väg 5, hus ub</w:t>
          </w:r>
        </w:p>
        <w:p w14:paraId="029B7CD5" w14:textId="77777777" w:rsidR="00644790" w:rsidRPr="00814386" w:rsidRDefault="00644790" w:rsidP="0023123E">
          <w:pPr>
            <w:pStyle w:val="Sidfot"/>
            <w:spacing w:line="220" w:lineRule="exact"/>
            <w:rPr>
              <w:smallCaps/>
              <w:spacing w:val="16"/>
              <w:sz w:val="16"/>
              <w:szCs w:val="16"/>
              <w:lang w:val="en-US"/>
            </w:rPr>
          </w:pPr>
          <w:r w:rsidRPr="00814386">
            <w:rPr>
              <w:smallCaps/>
              <w:spacing w:val="16"/>
              <w:sz w:val="16"/>
              <w:szCs w:val="16"/>
              <w:lang w:val="en-US"/>
            </w:rPr>
            <w:t>postal address: se-106 48 stockholm</w:t>
          </w:r>
        </w:p>
        <w:p w14:paraId="2210B678" w14:textId="77777777" w:rsidR="00644790" w:rsidRPr="00B45201" w:rsidRDefault="00644790" w:rsidP="0023123E">
          <w:pPr>
            <w:pStyle w:val="Sidfot"/>
            <w:spacing w:line="220" w:lineRule="exact"/>
            <w:rPr>
              <w:smallCaps/>
              <w:spacing w:val="16"/>
              <w:sz w:val="16"/>
              <w:szCs w:val="16"/>
              <w:lang w:val="en-US"/>
            </w:rPr>
          </w:pPr>
          <w:r w:rsidRPr="00B45201">
            <w:rPr>
              <w:smallCaps/>
              <w:spacing w:val="16"/>
              <w:sz w:val="16"/>
              <w:szCs w:val="16"/>
              <w:lang w:val="en-US"/>
            </w:rPr>
            <w:t>phone: +46-10-698 10 00</w:t>
          </w:r>
        </w:p>
        <w:p w14:paraId="7634F12F" w14:textId="77777777" w:rsidR="00644790" w:rsidRPr="00284C13" w:rsidRDefault="00644790" w:rsidP="0023123E">
          <w:pPr>
            <w:pStyle w:val="Sidfot"/>
            <w:spacing w:line="220" w:lineRule="exact"/>
            <w:rPr>
              <w:smallCaps/>
              <w:spacing w:val="16"/>
              <w:sz w:val="16"/>
              <w:szCs w:val="16"/>
              <w:lang w:val="en-US"/>
            </w:rPr>
          </w:pPr>
          <w:r w:rsidRPr="00284C13">
            <w:rPr>
              <w:smallCaps/>
              <w:spacing w:val="16"/>
              <w:sz w:val="16"/>
              <w:szCs w:val="16"/>
              <w:lang w:val="en-US"/>
            </w:rPr>
            <w:t xml:space="preserve">fax: </w:t>
          </w:r>
          <w:r>
            <w:rPr>
              <w:smallCaps/>
              <w:spacing w:val="16"/>
              <w:sz w:val="16"/>
              <w:szCs w:val="16"/>
              <w:lang w:val="en-US"/>
            </w:rPr>
            <w:t>+46-</w:t>
          </w:r>
          <w:r w:rsidRPr="00284C13">
            <w:rPr>
              <w:smallCaps/>
              <w:spacing w:val="16"/>
              <w:sz w:val="16"/>
              <w:szCs w:val="16"/>
              <w:lang w:val="en-US"/>
            </w:rPr>
            <w:t>10-698 10 99</w:t>
          </w:r>
        </w:p>
        <w:p w14:paraId="681595E0" w14:textId="77777777" w:rsidR="00644790" w:rsidRPr="00284C13" w:rsidRDefault="00644790" w:rsidP="0023123E">
          <w:pPr>
            <w:pStyle w:val="Sidfot"/>
            <w:spacing w:line="220" w:lineRule="exact"/>
            <w:rPr>
              <w:smallCaps/>
              <w:spacing w:val="16"/>
              <w:sz w:val="16"/>
              <w:szCs w:val="16"/>
              <w:lang w:val="en-US"/>
            </w:rPr>
          </w:pPr>
          <w:r>
            <w:rPr>
              <w:smallCaps/>
              <w:spacing w:val="16"/>
              <w:sz w:val="16"/>
              <w:szCs w:val="16"/>
              <w:lang w:val="en-US"/>
            </w:rPr>
            <w:t>e-mail: registrator@swedishepa</w:t>
          </w:r>
          <w:r w:rsidRPr="00284C13">
            <w:rPr>
              <w:smallCaps/>
              <w:spacing w:val="16"/>
              <w:sz w:val="16"/>
              <w:szCs w:val="16"/>
              <w:lang w:val="en-US"/>
            </w:rPr>
            <w:t>.se</w:t>
          </w:r>
        </w:p>
        <w:p w14:paraId="1F23B1AE" w14:textId="77777777" w:rsidR="00644790" w:rsidRDefault="00644790" w:rsidP="0023123E">
          <w:pPr>
            <w:pStyle w:val="Sidfot"/>
            <w:spacing w:line="220" w:lineRule="exact"/>
            <w:rPr>
              <w:sz w:val="16"/>
              <w:szCs w:val="16"/>
            </w:rPr>
          </w:pPr>
          <w:r>
            <w:rPr>
              <w:smallCaps/>
              <w:spacing w:val="16"/>
              <w:sz w:val="16"/>
              <w:szCs w:val="16"/>
            </w:rPr>
            <w:t>internet: www.swedishepa</w:t>
          </w:r>
          <w:r w:rsidRPr="00284C13">
            <w:rPr>
              <w:smallCaps/>
              <w:spacing w:val="16"/>
              <w:sz w:val="16"/>
              <w:szCs w:val="16"/>
            </w:rPr>
            <w:t>.se</w:t>
          </w:r>
        </w:p>
      </w:tc>
    </w:tr>
  </w:tbl>
  <w:p w14:paraId="18D21064" w14:textId="77777777" w:rsidR="00644790" w:rsidRDefault="00644790">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AE17E" w14:textId="77777777" w:rsidR="00644790" w:rsidRDefault="00644790" w:rsidP="002B7B42">
      <w:r>
        <w:separator/>
      </w:r>
    </w:p>
  </w:footnote>
  <w:footnote w:type="continuationSeparator" w:id="0">
    <w:p w14:paraId="521ED5B2" w14:textId="77777777" w:rsidR="00644790" w:rsidRDefault="00644790" w:rsidP="002B7B42">
      <w:r>
        <w:continuationSeparator/>
      </w:r>
    </w:p>
  </w:footnote>
  <w:footnote w:id="1">
    <w:p w14:paraId="653D648B" w14:textId="77777777" w:rsidR="00644790" w:rsidRPr="00112836" w:rsidRDefault="00644790" w:rsidP="00814386">
      <w:pPr>
        <w:pStyle w:val="Fotnotstext"/>
        <w:rPr>
          <w:sz w:val="18"/>
          <w:szCs w:val="18"/>
        </w:rPr>
      </w:pPr>
      <w:r>
        <w:rPr>
          <w:rStyle w:val="Fotnotsreferens"/>
        </w:rPr>
        <w:footnoteRef/>
      </w:r>
      <w:r>
        <w:t xml:space="preserve"> </w:t>
      </w:r>
      <w:r w:rsidRPr="00112836">
        <w:rPr>
          <w:sz w:val="18"/>
          <w:szCs w:val="18"/>
        </w:rPr>
        <w:t>https</w:t>
      </w:r>
      <w:proofErr w:type="gramStart"/>
      <w:r w:rsidRPr="00112836">
        <w:rPr>
          <w:sz w:val="18"/>
          <w:szCs w:val="18"/>
        </w:rPr>
        <w:t>://</w:t>
      </w:r>
      <w:proofErr w:type="gramEnd"/>
      <w:r w:rsidRPr="00112836">
        <w:rPr>
          <w:sz w:val="18"/>
          <w:szCs w:val="18"/>
        </w:rPr>
        <w:t>www.av.se/globalassets/filer/publikationer/foreskrifter/engelska/contained-use-of-genetically-modified-micro-organisms-provisions-afs2011-2.pdf</w:t>
      </w:r>
    </w:p>
  </w:footnote>
  <w:footnote w:id="2">
    <w:p w14:paraId="7F470DCC" w14:textId="77777777" w:rsidR="00644790" w:rsidRPr="00994894" w:rsidRDefault="00644790" w:rsidP="00814386">
      <w:pPr>
        <w:pStyle w:val="Fotnotstext"/>
        <w:rPr>
          <w:sz w:val="18"/>
          <w:szCs w:val="18"/>
        </w:rPr>
      </w:pPr>
      <w:r w:rsidRPr="00994894">
        <w:rPr>
          <w:rStyle w:val="Fotnotsreferens"/>
          <w:sz w:val="18"/>
          <w:szCs w:val="18"/>
        </w:rPr>
        <w:footnoteRef/>
      </w:r>
      <w:r w:rsidRPr="00994894">
        <w:rPr>
          <w:sz w:val="18"/>
          <w:szCs w:val="18"/>
        </w:rPr>
        <w:t xml:space="preserve"> https</w:t>
      </w:r>
      <w:proofErr w:type="gramStart"/>
      <w:r w:rsidRPr="00994894">
        <w:rPr>
          <w:sz w:val="18"/>
          <w:szCs w:val="18"/>
        </w:rPr>
        <w:t>://</w:t>
      </w:r>
      <w:proofErr w:type="gramEnd"/>
      <w:r w:rsidRPr="00994894">
        <w:rPr>
          <w:sz w:val="18"/>
          <w:szCs w:val="18"/>
        </w:rPr>
        <w:t>www.av.se/halsa-och-sakerhet/sjukdomar-smitta-och-mikrobiologiska-risker/innesluten-anvandning-av-gmm/?hl=genteknik</w:t>
      </w:r>
    </w:p>
  </w:footnote>
  <w:footnote w:id="3">
    <w:p w14:paraId="63E93B20" w14:textId="77777777" w:rsidR="00644790" w:rsidRDefault="00644790" w:rsidP="00814386">
      <w:pPr>
        <w:pStyle w:val="Fotnotstext"/>
      </w:pPr>
      <w:r w:rsidRPr="00112836">
        <w:rPr>
          <w:rStyle w:val="Fotnotsreferens"/>
          <w:sz w:val="18"/>
          <w:szCs w:val="18"/>
        </w:rPr>
        <w:footnoteRef/>
      </w:r>
      <w:r w:rsidRPr="00112836">
        <w:rPr>
          <w:sz w:val="18"/>
          <w:szCs w:val="18"/>
        </w:rPr>
        <w:t xml:space="preserve"> http://www.jordbruksverket.se/amnesomraden/odling/genteknikgmo/inneslutenanvandning.4.4eea2b6311f3b931ba48000131.html</w:t>
      </w:r>
    </w:p>
  </w:footnote>
  <w:footnote w:id="4">
    <w:p w14:paraId="058E29BF" w14:textId="77777777" w:rsidR="00644790" w:rsidRDefault="00644790" w:rsidP="00814386">
      <w:pPr>
        <w:pStyle w:val="Fotnotstext"/>
      </w:pPr>
      <w:r>
        <w:rPr>
          <w:rStyle w:val="Fotnotsreferens"/>
        </w:rPr>
        <w:footnoteRef/>
      </w:r>
      <w:r>
        <w:t xml:space="preserve"> </w:t>
      </w:r>
      <w:r w:rsidRPr="00F028CC">
        <w:rPr>
          <w:sz w:val="18"/>
          <w:szCs w:val="18"/>
        </w:rPr>
        <w:t>http://www.gmo.nu/gmoenglish.4.778a5d1001f29869a7fff935.html</w:t>
      </w:r>
    </w:p>
  </w:footnote>
  <w:footnote w:id="5">
    <w:p w14:paraId="39E4462D" w14:textId="77777777" w:rsidR="00644790" w:rsidRPr="0083112B" w:rsidRDefault="00644790" w:rsidP="00814386">
      <w:pPr>
        <w:rPr>
          <w:lang w:val="en-US"/>
        </w:rPr>
      </w:pPr>
      <w:r>
        <w:rPr>
          <w:rStyle w:val="Fotnotsreferens"/>
          <w:rFonts w:eastAsiaTheme="majorEastAsia"/>
        </w:rPr>
        <w:footnoteRef/>
      </w:r>
      <w:r w:rsidRPr="00406CDF">
        <w:rPr>
          <w:lang w:val="en-US"/>
        </w:rPr>
        <w:t xml:space="preserve"> </w:t>
      </w:r>
      <w:r w:rsidRPr="00406CDF">
        <w:rPr>
          <w:sz w:val="18"/>
          <w:szCs w:val="18"/>
          <w:lang w:val="en-US"/>
        </w:rPr>
        <w:t>Board of Agricultures Provisions (SJVFS 2007:29) on contained use of genetically modified plants</w:t>
      </w:r>
    </w:p>
    <w:p w14:paraId="0564F242" w14:textId="77777777" w:rsidR="00644790" w:rsidRPr="0083112B" w:rsidRDefault="00644790" w:rsidP="00814386">
      <w:pPr>
        <w:pStyle w:val="Fotnotstext"/>
        <w:rPr>
          <w:lang w:val="en-US"/>
        </w:rPr>
      </w:pPr>
    </w:p>
  </w:footnote>
  <w:footnote w:id="6">
    <w:p w14:paraId="0CAE9383" w14:textId="77777777" w:rsidR="00644790" w:rsidRPr="007C4DB1" w:rsidRDefault="00644790" w:rsidP="00814386">
      <w:pPr>
        <w:rPr>
          <w:lang w:val="en-US"/>
        </w:rPr>
      </w:pPr>
      <w:r>
        <w:rPr>
          <w:rStyle w:val="Fotnotsreferens"/>
          <w:rFonts w:eastAsiaTheme="majorEastAsia"/>
        </w:rPr>
        <w:footnoteRef/>
      </w:r>
      <w:r w:rsidRPr="00406CDF">
        <w:rPr>
          <w:lang w:val="en-US"/>
        </w:rPr>
        <w:t xml:space="preserve"> </w:t>
      </w:r>
      <w:r w:rsidRPr="00406CDF">
        <w:rPr>
          <w:sz w:val="18"/>
          <w:szCs w:val="18"/>
          <w:lang w:val="en-US"/>
        </w:rPr>
        <w:t xml:space="preserve">Provisions on changes in the Swedish Board of Agriculture’s provisions </w:t>
      </w:r>
      <w:r>
        <w:rPr>
          <w:sz w:val="18"/>
          <w:szCs w:val="18"/>
          <w:lang w:val="en-US"/>
        </w:rPr>
        <w:t>(SJVFS 1995:33)</w:t>
      </w:r>
      <w:r w:rsidRPr="00406CDF">
        <w:rPr>
          <w:sz w:val="18"/>
          <w:szCs w:val="18"/>
          <w:lang w:val="en-US"/>
        </w:rPr>
        <w:t xml:space="preserve"> on the use of genetically modified animals.</w:t>
      </w:r>
      <w:r w:rsidRPr="00406CDF">
        <w:rPr>
          <w:lang w:val="en-US"/>
        </w:rPr>
        <w:t xml:space="preserve"> </w:t>
      </w:r>
    </w:p>
    <w:p w14:paraId="205DD1A6" w14:textId="77777777" w:rsidR="00644790" w:rsidRPr="007C4DB1" w:rsidRDefault="00644790" w:rsidP="00814386">
      <w:pPr>
        <w:pStyle w:val="Fotnotstext"/>
        <w:tabs>
          <w:tab w:val="left" w:pos="892"/>
        </w:tabs>
        <w:rPr>
          <w:lang w:val="en-US"/>
        </w:rPr>
      </w:pPr>
    </w:p>
  </w:footnote>
  <w:footnote w:id="7">
    <w:p w14:paraId="789E968E" w14:textId="77777777" w:rsidR="00BB5AAB" w:rsidRPr="00994894" w:rsidRDefault="00BB5AAB" w:rsidP="00BB5AAB">
      <w:pPr>
        <w:pStyle w:val="Fotnotstext"/>
        <w:rPr>
          <w:lang w:val="en-US"/>
        </w:rPr>
      </w:pPr>
      <w:r>
        <w:rPr>
          <w:rStyle w:val="Fotnotsreferens"/>
        </w:rPr>
        <w:footnoteRef/>
      </w:r>
      <w:r w:rsidRPr="00994894">
        <w:rPr>
          <w:lang w:val="en-US"/>
        </w:rPr>
        <w:t xml:space="preserve"> </w:t>
      </w:r>
      <w:proofErr w:type="spellStart"/>
      <w:proofErr w:type="gramStart"/>
      <w:r w:rsidRPr="008368CD">
        <w:rPr>
          <w:rFonts w:ascii="Times New Roman" w:hAnsi="Times New Roman" w:cs="Times New Roman"/>
          <w:bCs/>
          <w:sz w:val="18"/>
          <w:szCs w:val="18"/>
          <w:lang w:val="en-US"/>
        </w:rPr>
        <w:t>EFSA</w:t>
      </w:r>
      <w:proofErr w:type="spellEnd"/>
      <w:r w:rsidRPr="008368CD">
        <w:rPr>
          <w:rFonts w:ascii="Times New Roman" w:hAnsi="Times New Roman" w:cs="Times New Roman"/>
          <w:bCs/>
          <w:sz w:val="18"/>
          <w:szCs w:val="18"/>
          <w:lang w:val="en-US"/>
        </w:rPr>
        <w:t>, 2006</w:t>
      </w:r>
      <w:r w:rsidRPr="008368CD">
        <w:rPr>
          <w:rFonts w:ascii="Times New Roman" w:hAnsi="Times New Roman" w:cs="Times New Roman"/>
          <w:b/>
          <w:bCs/>
          <w:sz w:val="18"/>
          <w:szCs w:val="18"/>
          <w:lang w:val="en-US"/>
        </w:rPr>
        <w:t>.</w:t>
      </w:r>
      <w:proofErr w:type="gramEnd"/>
      <w:r w:rsidRPr="008368CD">
        <w:rPr>
          <w:rFonts w:ascii="Times New Roman" w:hAnsi="Times New Roman" w:cs="Times New Roman"/>
          <w:b/>
          <w:bCs/>
          <w:sz w:val="18"/>
          <w:szCs w:val="18"/>
          <w:lang w:val="en-US"/>
        </w:rPr>
        <w:t xml:space="preserve"> </w:t>
      </w:r>
      <w:r w:rsidRPr="008368CD">
        <w:rPr>
          <w:rFonts w:ascii="Times New Roman" w:hAnsi="Times New Roman" w:cs="Times New Roman"/>
          <w:sz w:val="18"/>
          <w:szCs w:val="18"/>
          <w:lang w:val="en-US"/>
        </w:rPr>
        <w:t xml:space="preserve">Guidance document of the scientific panel on genetically modified organisms for the risk assessment of genetically modified </w:t>
      </w:r>
      <w:proofErr w:type="gramStart"/>
      <w:r w:rsidRPr="008368CD">
        <w:rPr>
          <w:rFonts w:ascii="Times New Roman" w:hAnsi="Times New Roman" w:cs="Times New Roman"/>
          <w:sz w:val="18"/>
          <w:szCs w:val="18"/>
          <w:lang w:val="en-US"/>
        </w:rPr>
        <w:t>micro-organisms</w:t>
      </w:r>
      <w:proofErr w:type="gramEnd"/>
      <w:r w:rsidRPr="008368CD">
        <w:rPr>
          <w:rFonts w:ascii="Times New Roman" w:hAnsi="Times New Roman" w:cs="Times New Roman"/>
          <w:sz w:val="18"/>
          <w:szCs w:val="18"/>
          <w:lang w:val="en-US"/>
        </w:rPr>
        <w:t xml:space="preserve"> and their derived products intended for food and feed use. Adopted on 17 May 2006. The </w:t>
      </w:r>
      <w:proofErr w:type="spellStart"/>
      <w:r w:rsidRPr="008368CD">
        <w:rPr>
          <w:rFonts w:ascii="Times New Roman" w:hAnsi="Times New Roman" w:cs="Times New Roman"/>
          <w:sz w:val="18"/>
          <w:szCs w:val="18"/>
          <w:lang w:val="en-US"/>
        </w:rPr>
        <w:t>EFSA</w:t>
      </w:r>
      <w:proofErr w:type="spellEnd"/>
      <w:r w:rsidRPr="008368CD">
        <w:rPr>
          <w:rFonts w:ascii="Times New Roman" w:hAnsi="Times New Roman" w:cs="Times New Roman"/>
          <w:sz w:val="18"/>
          <w:szCs w:val="18"/>
          <w:lang w:val="en-US"/>
        </w:rPr>
        <w:t xml:space="preserve"> Journal (2006) 374, 1-115. </w:t>
      </w:r>
      <w:hyperlink r:id="rId1" w:history="1">
        <w:r w:rsidRPr="008368CD">
          <w:rPr>
            <w:rFonts w:ascii="Times New Roman" w:hAnsi="Times New Roman" w:cs="Times New Roman"/>
            <w:sz w:val="18"/>
            <w:szCs w:val="18"/>
            <w:lang w:val="en-US"/>
          </w:rPr>
          <w:t>http://www.efsa.europa.eu/en/scdocs/doc/374.pdf</w:t>
        </w:r>
      </w:hyperlink>
    </w:p>
  </w:footnote>
  <w:footnote w:id="8">
    <w:p w14:paraId="6D2A00E9" w14:textId="77777777" w:rsidR="0097234C" w:rsidRPr="002D0590" w:rsidRDefault="0097234C" w:rsidP="0097234C">
      <w:pPr>
        <w:pStyle w:val="Fotnotstext"/>
        <w:rPr>
          <w:lang w:val="en-US"/>
        </w:rPr>
      </w:pPr>
      <w:r>
        <w:rPr>
          <w:rStyle w:val="Fotnotsreferens"/>
        </w:rPr>
        <w:footnoteRef/>
      </w:r>
      <w:r w:rsidRPr="002D0590">
        <w:rPr>
          <w:lang w:val="en-US"/>
        </w:rPr>
        <w:t xml:space="preserve"> </w:t>
      </w:r>
      <w:r w:rsidRPr="002D0590">
        <w:rPr>
          <w:rFonts w:ascii="Times New Roman" w:hAnsi="Times New Roman" w:cs="Times New Roman"/>
          <w:color w:val="0000E9"/>
          <w:sz w:val="18"/>
          <w:szCs w:val="18"/>
          <w:u w:val="single" w:color="0000E9"/>
          <w:lang w:val="en-US"/>
        </w:rPr>
        <w:t>https://www.av.se/halsa-och-sakerhet/sjukdomar-smitta-och-mikrobiologiska-risker/innesluten-anvandning-av-gmm/</w:t>
      </w:r>
    </w:p>
  </w:footnote>
  <w:footnote w:id="9">
    <w:p w14:paraId="41D8D1CC" w14:textId="77777777" w:rsidR="00644790" w:rsidRPr="00763FFE" w:rsidRDefault="00644790" w:rsidP="00814386">
      <w:pPr>
        <w:pStyle w:val="Fotnotstext"/>
        <w:rPr>
          <w:lang w:val="en-US"/>
        </w:rPr>
      </w:pPr>
      <w:r>
        <w:rPr>
          <w:rStyle w:val="Fotnotsreferens"/>
        </w:rPr>
        <w:footnoteRef/>
      </w:r>
      <w:r w:rsidRPr="00763FFE">
        <w:rPr>
          <w:lang w:val="en-US"/>
        </w:rPr>
        <w:t xml:space="preserve"> </w:t>
      </w:r>
      <w:r w:rsidRPr="00763FFE">
        <w:rPr>
          <w:sz w:val="20"/>
          <w:szCs w:val="20"/>
          <w:lang w:val="en-US"/>
        </w:rPr>
        <w:t>https://www.av.se/globalassets/filer/publikationer/foreskrifter/engelska/contained-use-of-genetically-modified-micro-organisms-provisions-afs2011-2.pdf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8" w:type="dxa"/>
      <w:tblInd w:w="-1552" w:type="dxa"/>
      <w:tblLook w:val="01E0" w:firstRow="1" w:lastRow="1" w:firstColumn="1" w:lastColumn="1" w:noHBand="0" w:noVBand="0"/>
    </w:tblPr>
    <w:tblGrid>
      <w:gridCol w:w="4794"/>
      <w:gridCol w:w="4604"/>
    </w:tblGrid>
    <w:tr w:rsidR="00644790" w:rsidRPr="00B85C7E" w14:paraId="24D049D5" w14:textId="77777777" w:rsidTr="00454EE8">
      <w:trPr>
        <w:cantSplit/>
      </w:trPr>
      <w:tc>
        <w:tcPr>
          <w:tcW w:w="4794" w:type="dxa"/>
          <w:tcMar>
            <w:left w:w="0" w:type="dxa"/>
          </w:tcMar>
        </w:tcPr>
        <w:p w14:paraId="3A57D66F" w14:textId="77777777" w:rsidR="00644790" w:rsidRPr="00B85C7E" w:rsidRDefault="00644790" w:rsidP="00347DF5">
          <w:pPr>
            <w:pStyle w:val="Sidhuvud"/>
            <w:rPr>
              <w:smallCaps/>
              <w:spacing w:val="12"/>
              <w:sz w:val="20"/>
              <w:szCs w:val="20"/>
            </w:rPr>
          </w:pPr>
          <w:r w:rsidRPr="00B85C7E">
            <w:rPr>
              <w:smallCaps/>
              <w:spacing w:val="12"/>
              <w:sz w:val="20"/>
              <w:szCs w:val="20"/>
            </w:rPr>
            <w:t>swedish environmental protection agency</w:t>
          </w:r>
        </w:p>
      </w:tc>
      <w:tc>
        <w:tcPr>
          <w:tcW w:w="4604" w:type="dxa"/>
        </w:tcPr>
        <w:p w14:paraId="56CA2A94" w14:textId="77777777" w:rsidR="00644790" w:rsidRPr="00B85C7E" w:rsidRDefault="00644790" w:rsidP="00347DF5">
          <w:pPr>
            <w:pStyle w:val="Sidhuvud"/>
            <w:tabs>
              <w:tab w:val="clear" w:pos="4536"/>
            </w:tabs>
            <w:jc w:val="right"/>
            <w:rPr>
              <w:smallCaps/>
              <w:spacing w:val="12"/>
              <w:sz w:val="20"/>
              <w:szCs w:val="20"/>
            </w:rPr>
          </w:pPr>
          <w:r w:rsidRPr="00B85C7E">
            <w:rPr>
              <w:rStyle w:val="Sidnummer"/>
              <w:smallCaps/>
              <w:spacing w:val="12"/>
              <w:sz w:val="20"/>
              <w:szCs w:val="20"/>
            </w:rPr>
            <w:fldChar w:fldCharType="begin"/>
          </w:r>
          <w:r w:rsidRPr="00B85C7E">
            <w:rPr>
              <w:rStyle w:val="Sidnummer"/>
              <w:smallCaps/>
              <w:spacing w:val="12"/>
              <w:sz w:val="20"/>
              <w:szCs w:val="20"/>
            </w:rPr>
            <w:instrText xml:space="preserve"> PAGE </w:instrText>
          </w:r>
          <w:r w:rsidRPr="00B85C7E">
            <w:rPr>
              <w:rStyle w:val="Sidnummer"/>
              <w:smallCaps/>
              <w:spacing w:val="12"/>
              <w:sz w:val="20"/>
              <w:szCs w:val="20"/>
            </w:rPr>
            <w:fldChar w:fldCharType="separate"/>
          </w:r>
          <w:r w:rsidR="005B4BC1">
            <w:rPr>
              <w:rStyle w:val="Sidnummer"/>
              <w:smallCaps/>
              <w:noProof/>
              <w:spacing w:val="12"/>
              <w:sz w:val="20"/>
              <w:szCs w:val="20"/>
            </w:rPr>
            <w:t>6</w:t>
          </w:r>
          <w:r w:rsidRPr="00B85C7E">
            <w:rPr>
              <w:rStyle w:val="Sidnummer"/>
              <w:smallCaps/>
              <w:spacing w:val="12"/>
              <w:sz w:val="20"/>
              <w:szCs w:val="20"/>
            </w:rPr>
            <w:fldChar w:fldCharType="end"/>
          </w:r>
          <w:r w:rsidRPr="00B85C7E">
            <w:rPr>
              <w:rStyle w:val="Sidnummer"/>
              <w:smallCaps/>
              <w:spacing w:val="12"/>
              <w:sz w:val="20"/>
              <w:szCs w:val="20"/>
            </w:rPr>
            <w:t>(</w:t>
          </w:r>
          <w:r w:rsidRPr="00B85C7E">
            <w:rPr>
              <w:rStyle w:val="Sidnummer"/>
              <w:smallCaps/>
              <w:spacing w:val="12"/>
              <w:sz w:val="20"/>
              <w:szCs w:val="20"/>
            </w:rPr>
            <w:fldChar w:fldCharType="begin"/>
          </w:r>
          <w:r w:rsidRPr="00B85C7E">
            <w:rPr>
              <w:rStyle w:val="Sidnummer"/>
              <w:smallCaps/>
              <w:spacing w:val="12"/>
              <w:sz w:val="20"/>
              <w:szCs w:val="20"/>
            </w:rPr>
            <w:instrText xml:space="preserve"> NUMPAGES </w:instrText>
          </w:r>
          <w:r w:rsidRPr="00B85C7E">
            <w:rPr>
              <w:rStyle w:val="Sidnummer"/>
              <w:smallCaps/>
              <w:spacing w:val="12"/>
              <w:sz w:val="20"/>
              <w:szCs w:val="20"/>
            </w:rPr>
            <w:fldChar w:fldCharType="separate"/>
          </w:r>
          <w:r w:rsidR="005B4BC1">
            <w:rPr>
              <w:rStyle w:val="Sidnummer"/>
              <w:smallCaps/>
              <w:noProof/>
              <w:spacing w:val="12"/>
              <w:sz w:val="20"/>
              <w:szCs w:val="20"/>
            </w:rPr>
            <w:t>6</w:t>
          </w:r>
          <w:r w:rsidRPr="00B85C7E">
            <w:rPr>
              <w:rStyle w:val="Sidnummer"/>
              <w:smallCaps/>
              <w:spacing w:val="12"/>
              <w:sz w:val="20"/>
              <w:szCs w:val="20"/>
            </w:rPr>
            <w:fldChar w:fldCharType="end"/>
          </w:r>
          <w:r w:rsidRPr="00B85C7E">
            <w:rPr>
              <w:rStyle w:val="Sidnummer"/>
              <w:smallCaps/>
              <w:spacing w:val="12"/>
              <w:sz w:val="20"/>
              <w:szCs w:val="20"/>
            </w:rPr>
            <w:t>)</w:t>
          </w:r>
        </w:p>
      </w:tc>
    </w:tr>
  </w:tbl>
  <w:p w14:paraId="65AD3097" w14:textId="77777777" w:rsidR="00644790" w:rsidRDefault="00644790">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6" w:type="dxa"/>
      <w:tblInd w:w="-1552" w:type="dxa"/>
      <w:tblLayout w:type="fixed"/>
      <w:tblLook w:val="01E0" w:firstRow="1" w:lastRow="1" w:firstColumn="1" w:lastColumn="1" w:noHBand="0" w:noVBand="0"/>
    </w:tblPr>
    <w:tblGrid>
      <w:gridCol w:w="1418"/>
      <w:gridCol w:w="4062"/>
      <w:gridCol w:w="2498"/>
      <w:gridCol w:w="1418"/>
    </w:tblGrid>
    <w:tr w:rsidR="00644790" w:rsidRPr="00502131" w14:paraId="276C12E4" w14:textId="77777777" w:rsidTr="00347DF5">
      <w:tc>
        <w:tcPr>
          <w:tcW w:w="1418" w:type="dxa"/>
          <w:noWrap/>
          <w:tcMar>
            <w:left w:w="0" w:type="dxa"/>
            <w:right w:w="0" w:type="dxa"/>
          </w:tcMar>
        </w:tcPr>
        <w:p w14:paraId="4065B43C" w14:textId="77777777" w:rsidR="00644790" w:rsidRPr="00502131" w:rsidRDefault="00644790" w:rsidP="00502131">
          <w:pPr>
            <w:rPr>
              <w:smallCaps/>
              <w:spacing w:val="12"/>
              <w:sz w:val="20"/>
            </w:rPr>
          </w:pPr>
          <w:r>
            <w:rPr>
              <w:smallCaps/>
              <w:noProof/>
              <w:spacing w:val="12"/>
              <w:sz w:val="20"/>
              <w:lang w:eastAsia="sv-SE"/>
            </w:rPr>
            <w:drawing>
              <wp:inline distT="0" distB="0" distL="0" distR="0" wp14:anchorId="7859D524" wp14:editId="2952B6D9">
                <wp:extent cx="885825" cy="1009650"/>
                <wp:effectExtent l="0" t="0" r="0" b="0"/>
                <wp:docPr id="2" name="Bild 1" descr="Beskrivning: NV_SV_A4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NV_SV_A4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tc>
      <w:tc>
        <w:tcPr>
          <w:tcW w:w="4062" w:type="dxa"/>
        </w:tcPr>
        <w:p w14:paraId="18C0495A" w14:textId="77777777" w:rsidR="00644790" w:rsidRPr="00502131" w:rsidRDefault="00644790" w:rsidP="00502131">
          <w:pPr>
            <w:spacing w:before="620"/>
            <w:ind w:left="34"/>
            <w:rPr>
              <w:smallCaps/>
              <w:spacing w:val="16"/>
              <w:sz w:val="16"/>
              <w:szCs w:val="12"/>
            </w:rPr>
          </w:pPr>
          <w:r w:rsidRPr="00502131">
            <w:rPr>
              <w:smallCaps/>
              <w:spacing w:val="16"/>
              <w:sz w:val="16"/>
              <w:szCs w:val="12"/>
            </w:rPr>
            <w:t>swedish environmental protection agency</w:t>
          </w:r>
        </w:p>
      </w:tc>
      <w:tc>
        <w:tcPr>
          <w:tcW w:w="2498" w:type="dxa"/>
          <w:noWrap/>
          <w:tcMar>
            <w:left w:w="0" w:type="dxa"/>
            <w:right w:w="0" w:type="dxa"/>
          </w:tcMar>
        </w:tcPr>
        <w:p w14:paraId="23CAB639" w14:textId="77777777" w:rsidR="00644790" w:rsidRPr="00502131" w:rsidRDefault="00644790" w:rsidP="00502131">
          <w:pPr>
            <w:tabs>
              <w:tab w:val="center" w:pos="4536"/>
              <w:tab w:val="right" w:pos="9072"/>
            </w:tabs>
            <w:jc w:val="right"/>
            <w:rPr>
              <w:smallCaps/>
              <w:spacing w:val="12"/>
              <w:sz w:val="20"/>
            </w:rPr>
          </w:pPr>
        </w:p>
      </w:tc>
      <w:tc>
        <w:tcPr>
          <w:tcW w:w="1418" w:type="dxa"/>
          <w:tcMar>
            <w:right w:w="0" w:type="dxa"/>
          </w:tcMar>
        </w:tcPr>
        <w:p w14:paraId="32BD68D9" w14:textId="77777777" w:rsidR="00644790" w:rsidRPr="00502131" w:rsidRDefault="00644790" w:rsidP="00502131">
          <w:pPr>
            <w:tabs>
              <w:tab w:val="center" w:pos="4536"/>
              <w:tab w:val="right" w:pos="9072"/>
            </w:tabs>
            <w:jc w:val="right"/>
            <w:rPr>
              <w:smallCaps/>
              <w:spacing w:val="12"/>
            </w:rPr>
          </w:pPr>
          <w:r w:rsidRPr="00502131">
            <w:rPr>
              <w:smallCaps/>
              <w:spacing w:val="12"/>
              <w:sz w:val="20"/>
            </w:rPr>
            <w:fldChar w:fldCharType="begin"/>
          </w:r>
          <w:r w:rsidRPr="00502131">
            <w:rPr>
              <w:smallCaps/>
              <w:spacing w:val="12"/>
              <w:sz w:val="20"/>
            </w:rPr>
            <w:instrText xml:space="preserve"> PAGE </w:instrText>
          </w:r>
          <w:r w:rsidRPr="00502131">
            <w:rPr>
              <w:smallCaps/>
              <w:spacing w:val="12"/>
              <w:sz w:val="20"/>
            </w:rPr>
            <w:fldChar w:fldCharType="separate"/>
          </w:r>
          <w:r w:rsidR="005B4BC1">
            <w:rPr>
              <w:smallCaps/>
              <w:noProof/>
              <w:spacing w:val="12"/>
              <w:sz w:val="20"/>
            </w:rPr>
            <w:t>1</w:t>
          </w:r>
          <w:r w:rsidRPr="00502131">
            <w:rPr>
              <w:smallCaps/>
              <w:spacing w:val="12"/>
              <w:sz w:val="20"/>
            </w:rPr>
            <w:fldChar w:fldCharType="end"/>
          </w:r>
          <w:r w:rsidRPr="00502131">
            <w:rPr>
              <w:smallCaps/>
              <w:spacing w:val="12"/>
              <w:sz w:val="20"/>
            </w:rPr>
            <w:t>(</w:t>
          </w:r>
          <w:r w:rsidRPr="00502131">
            <w:rPr>
              <w:smallCaps/>
              <w:spacing w:val="12"/>
              <w:sz w:val="20"/>
            </w:rPr>
            <w:fldChar w:fldCharType="begin"/>
          </w:r>
          <w:r w:rsidRPr="00502131">
            <w:rPr>
              <w:smallCaps/>
              <w:spacing w:val="12"/>
              <w:sz w:val="20"/>
            </w:rPr>
            <w:instrText xml:space="preserve"> NUMPAGES </w:instrText>
          </w:r>
          <w:r w:rsidRPr="00502131">
            <w:rPr>
              <w:smallCaps/>
              <w:spacing w:val="12"/>
              <w:sz w:val="20"/>
            </w:rPr>
            <w:fldChar w:fldCharType="separate"/>
          </w:r>
          <w:r w:rsidR="005B4BC1">
            <w:rPr>
              <w:smallCaps/>
              <w:noProof/>
              <w:spacing w:val="12"/>
              <w:sz w:val="20"/>
            </w:rPr>
            <w:t>6</w:t>
          </w:r>
          <w:r w:rsidRPr="00502131">
            <w:rPr>
              <w:smallCaps/>
              <w:spacing w:val="12"/>
              <w:sz w:val="20"/>
            </w:rPr>
            <w:fldChar w:fldCharType="end"/>
          </w:r>
          <w:r w:rsidRPr="00502131">
            <w:rPr>
              <w:smallCaps/>
              <w:spacing w:val="12"/>
              <w:sz w:val="20"/>
            </w:rPr>
            <w:t>)</w:t>
          </w:r>
        </w:p>
      </w:tc>
    </w:tr>
  </w:tbl>
  <w:p w14:paraId="781D884C" w14:textId="77777777" w:rsidR="00644790" w:rsidRDefault="00644790">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53141C"/>
    <w:multiLevelType w:val="multilevel"/>
    <w:tmpl w:val="4BD6E2F4"/>
    <w:lvl w:ilvl="0">
      <w:start w:val="1"/>
      <w:numFmt w:val="bullet"/>
      <w:pStyle w:val="PunktlistaNV"/>
      <w:lvlText w:val=""/>
      <w:lvlJc w:val="left"/>
      <w:pPr>
        <w:ind w:left="360" w:hanging="360"/>
      </w:pPr>
      <w:rPr>
        <w:rFonts w:ascii="Symbol" w:hAnsi="Symbol" w:hint="default"/>
        <w:sz w:val="24"/>
      </w:rPr>
    </w:lvl>
    <w:lvl w:ilvl="1">
      <w:start w:val="1"/>
      <w:numFmt w:val="bullet"/>
      <w:lvlText w:val="–"/>
      <w:lvlJc w:val="left"/>
      <w:pPr>
        <w:tabs>
          <w:tab w:val="num" w:pos="720"/>
        </w:tabs>
        <w:ind w:left="720" w:hanging="363"/>
      </w:pPr>
      <w:rPr>
        <w:rFonts w:ascii="Times New Roman" w:hAnsi="Times New Roman" w:hint="default"/>
        <w:sz w:val="24"/>
      </w:rPr>
    </w:lvl>
    <w:lvl w:ilvl="2">
      <w:start w:val="1"/>
      <w:numFmt w:val="bullet"/>
      <w:lvlText w:val=""/>
      <w:lvlJc w:val="left"/>
      <w:pPr>
        <w:tabs>
          <w:tab w:val="num" w:pos="1077"/>
        </w:tabs>
        <w:ind w:left="1077" w:hanging="357"/>
      </w:pPr>
      <w:rPr>
        <w:rFonts w:ascii="Wingdings 2" w:hAnsi="Wingdings 2" w:hint="default"/>
        <w:sz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2">
    <w:nsid w:val="4C3F5905"/>
    <w:multiLevelType w:val="multilevel"/>
    <w:tmpl w:val="036E0D28"/>
    <w:lvl w:ilvl="0">
      <w:start w:val="1"/>
      <w:numFmt w:val="decimal"/>
      <w:lvlText w:val="%1."/>
      <w:lvlJc w:val="left"/>
      <w:pPr>
        <w:ind w:left="357" w:hanging="357"/>
      </w:pPr>
      <w:rPr>
        <w:rFonts w:cs="Times New Roman" w:hint="default"/>
      </w:rPr>
    </w:lvl>
    <w:lvl w:ilvl="1">
      <w:start w:val="1"/>
      <w:numFmt w:val="decimal"/>
      <w:lvlText w:val="%1.%2."/>
      <w:lvlJc w:val="left"/>
      <w:pPr>
        <w:tabs>
          <w:tab w:val="num" w:pos="907"/>
        </w:tabs>
        <w:ind w:left="907" w:hanging="907"/>
      </w:pPr>
      <w:rPr>
        <w:rFonts w:cs="Times New Roman" w:hint="default"/>
      </w:rPr>
    </w:lvl>
    <w:lvl w:ilvl="2">
      <w:start w:val="1"/>
      <w:numFmt w:val="decimal"/>
      <w:lvlText w:val="%1.%2.%3."/>
      <w:lvlJc w:val="left"/>
      <w:pPr>
        <w:ind w:left="1191" w:hanging="1191"/>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643C2BA1"/>
    <w:multiLevelType w:val="multilevel"/>
    <w:tmpl w:val="F81C0B3A"/>
    <w:lvl w:ilvl="0">
      <w:start w:val="1"/>
      <w:numFmt w:val="decimal"/>
      <w:pStyle w:val="NummerlistaNV"/>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440" w:hanging="646"/>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73333167"/>
    <w:multiLevelType w:val="multilevel"/>
    <w:tmpl w:val="D0608C66"/>
    <w:lvl w:ilvl="0">
      <w:start w:val="1"/>
      <w:numFmt w:val="decimal"/>
      <w:pStyle w:val="Rubrik1Nr"/>
      <w:lvlText w:val="%1."/>
      <w:lvlJc w:val="left"/>
      <w:pPr>
        <w:tabs>
          <w:tab w:val="num" w:pos="340"/>
        </w:tabs>
        <w:ind w:left="340" w:hanging="340"/>
      </w:pPr>
      <w:rPr>
        <w:rFonts w:cs="Times New Roman" w:hint="default"/>
      </w:rPr>
    </w:lvl>
    <w:lvl w:ilvl="1">
      <w:start w:val="1"/>
      <w:numFmt w:val="decimal"/>
      <w:pStyle w:val="Rubrik2Nr"/>
      <w:lvlText w:val="%1.%2."/>
      <w:lvlJc w:val="left"/>
      <w:pPr>
        <w:tabs>
          <w:tab w:val="num" w:pos="567"/>
        </w:tabs>
        <w:ind w:left="567" w:hanging="567"/>
      </w:pPr>
      <w:rPr>
        <w:rFonts w:cs="Times New Roman" w:hint="default"/>
      </w:rPr>
    </w:lvl>
    <w:lvl w:ilvl="2">
      <w:start w:val="1"/>
      <w:numFmt w:val="decimal"/>
      <w:pStyle w:val="Rubrik3Nr"/>
      <w:lvlText w:val="%1.%2.%3."/>
      <w:lvlJc w:val="left"/>
      <w:pPr>
        <w:tabs>
          <w:tab w:val="num" w:pos="794"/>
        </w:tabs>
        <w:ind w:left="794" w:hanging="794"/>
      </w:pPr>
      <w:rPr>
        <w:rFonts w:cs="Times New Roman" w:hint="default"/>
      </w:rPr>
    </w:lvl>
    <w:lvl w:ilvl="3">
      <w:start w:val="1"/>
      <w:numFmt w:val="decimal"/>
      <w:pStyle w:val="Rubrik4"/>
      <w:lvlText w:val="%1.%2.%3.%4"/>
      <w:lvlJc w:val="left"/>
      <w:pPr>
        <w:ind w:left="864" w:hanging="864"/>
      </w:pPr>
      <w:rPr>
        <w:rFonts w:cs="Times New Roman" w:hint="default"/>
      </w:rPr>
    </w:lvl>
    <w:lvl w:ilvl="4">
      <w:start w:val="1"/>
      <w:numFmt w:val="decimal"/>
      <w:pStyle w:val="Rubrik5"/>
      <w:lvlText w:val="%1.%2.%3.%4.%5"/>
      <w:lvlJc w:val="left"/>
      <w:pPr>
        <w:ind w:left="1008" w:hanging="1008"/>
      </w:pPr>
      <w:rPr>
        <w:rFonts w:cs="Times New Roman" w:hint="default"/>
      </w:rPr>
    </w:lvl>
    <w:lvl w:ilvl="5">
      <w:start w:val="1"/>
      <w:numFmt w:val="decimal"/>
      <w:pStyle w:val="Rubrik6"/>
      <w:lvlText w:val="%1.%2.%3.%4.%5.%6"/>
      <w:lvlJc w:val="left"/>
      <w:pPr>
        <w:ind w:left="1152" w:hanging="1152"/>
      </w:pPr>
      <w:rPr>
        <w:rFonts w:cs="Times New Roman" w:hint="default"/>
      </w:rPr>
    </w:lvl>
    <w:lvl w:ilvl="6">
      <w:start w:val="1"/>
      <w:numFmt w:val="decimal"/>
      <w:pStyle w:val="Rubrik7"/>
      <w:lvlText w:val="%1.%2.%3.%4.%5.%6.%7"/>
      <w:lvlJc w:val="left"/>
      <w:pPr>
        <w:ind w:left="1296" w:hanging="1296"/>
      </w:pPr>
      <w:rPr>
        <w:rFonts w:cs="Times New Roman" w:hint="default"/>
      </w:rPr>
    </w:lvl>
    <w:lvl w:ilvl="7">
      <w:start w:val="1"/>
      <w:numFmt w:val="decimal"/>
      <w:pStyle w:val="Rubrik8"/>
      <w:lvlText w:val="%1.%2.%3.%4.%5.%6.%7.%8"/>
      <w:lvlJc w:val="left"/>
      <w:pPr>
        <w:ind w:left="1440" w:hanging="1440"/>
      </w:pPr>
      <w:rPr>
        <w:rFonts w:cs="Times New Roman" w:hint="default"/>
      </w:rPr>
    </w:lvl>
    <w:lvl w:ilvl="8">
      <w:start w:val="1"/>
      <w:numFmt w:val="decimal"/>
      <w:pStyle w:val="Rubrik9"/>
      <w:lvlText w:val="%1.%2.%3.%4.%5.%6.%7.%8.%9"/>
      <w:lvlJc w:val="left"/>
      <w:pPr>
        <w:ind w:left="1584" w:hanging="1584"/>
      </w:pPr>
      <w:rPr>
        <w:rFonts w:cs="Times New Roman" w:hint="default"/>
      </w:rPr>
    </w:lvl>
  </w:abstractNum>
  <w:abstractNum w:abstractNumId="5">
    <w:nsid w:val="75C858E0"/>
    <w:multiLevelType w:val="hybridMultilevel"/>
    <w:tmpl w:val="A5F4EB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kils, Katarina">
    <w15:presenceInfo w15:providerId="AD" w15:userId="S-1-5-21-2103128890-661609642-183591838-7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6D"/>
    <w:rsid w:val="00001C9F"/>
    <w:rsid w:val="00013A9D"/>
    <w:rsid w:val="00044721"/>
    <w:rsid w:val="00067061"/>
    <w:rsid w:val="000927BF"/>
    <w:rsid w:val="000E2C4B"/>
    <w:rsid w:val="00147CF3"/>
    <w:rsid w:val="00164830"/>
    <w:rsid w:val="00193C62"/>
    <w:rsid w:val="001E6911"/>
    <w:rsid w:val="001F4F78"/>
    <w:rsid w:val="001F734C"/>
    <w:rsid w:val="00223541"/>
    <w:rsid w:val="002242FC"/>
    <w:rsid w:val="0023123E"/>
    <w:rsid w:val="00232046"/>
    <w:rsid w:val="002570EC"/>
    <w:rsid w:val="00284C13"/>
    <w:rsid w:val="002A6BBA"/>
    <w:rsid w:val="002B7B42"/>
    <w:rsid w:val="002F02EE"/>
    <w:rsid w:val="00306D08"/>
    <w:rsid w:val="003342E8"/>
    <w:rsid w:val="00347DF5"/>
    <w:rsid w:val="0036407C"/>
    <w:rsid w:val="00367912"/>
    <w:rsid w:val="003705DD"/>
    <w:rsid w:val="003A79CF"/>
    <w:rsid w:val="003F0D02"/>
    <w:rsid w:val="00403C94"/>
    <w:rsid w:val="004356BC"/>
    <w:rsid w:val="00454EE8"/>
    <w:rsid w:val="00456348"/>
    <w:rsid w:val="004721ED"/>
    <w:rsid w:val="004A663E"/>
    <w:rsid w:val="004F345D"/>
    <w:rsid w:val="00502131"/>
    <w:rsid w:val="00521ABC"/>
    <w:rsid w:val="00530069"/>
    <w:rsid w:val="00555F2D"/>
    <w:rsid w:val="00561CFF"/>
    <w:rsid w:val="005B4BC1"/>
    <w:rsid w:val="005C3A02"/>
    <w:rsid w:val="006073BD"/>
    <w:rsid w:val="006137F6"/>
    <w:rsid w:val="00620BFD"/>
    <w:rsid w:val="0063580D"/>
    <w:rsid w:val="00640EF0"/>
    <w:rsid w:val="00644790"/>
    <w:rsid w:val="00676895"/>
    <w:rsid w:val="00677B26"/>
    <w:rsid w:val="006817B4"/>
    <w:rsid w:val="006819F0"/>
    <w:rsid w:val="00707BB3"/>
    <w:rsid w:val="00711583"/>
    <w:rsid w:val="0073786D"/>
    <w:rsid w:val="00760E04"/>
    <w:rsid w:val="007C6147"/>
    <w:rsid w:val="007D37C4"/>
    <w:rsid w:val="007F5312"/>
    <w:rsid w:val="0080262F"/>
    <w:rsid w:val="00814386"/>
    <w:rsid w:val="00870E1A"/>
    <w:rsid w:val="008C27FD"/>
    <w:rsid w:val="008E3612"/>
    <w:rsid w:val="008E44B1"/>
    <w:rsid w:val="00910F64"/>
    <w:rsid w:val="009205AC"/>
    <w:rsid w:val="00951AB0"/>
    <w:rsid w:val="00957D5E"/>
    <w:rsid w:val="009663F1"/>
    <w:rsid w:val="0097234C"/>
    <w:rsid w:val="00A35DB1"/>
    <w:rsid w:val="00A52063"/>
    <w:rsid w:val="00AC5B2B"/>
    <w:rsid w:val="00AE48CA"/>
    <w:rsid w:val="00B20763"/>
    <w:rsid w:val="00B378C4"/>
    <w:rsid w:val="00B45201"/>
    <w:rsid w:val="00B55AC1"/>
    <w:rsid w:val="00B85C7E"/>
    <w:rsid w:val="00BB5AAB"/>
    <w:rsid w:val="00BD436C"/>
    <w:rsid w:val="00C01E67"/>
    <w:rsid w:val="00C1197E"/>
    <w:rsid w:val="00C17D28"/>
    <w:rsid w:val="00C474A0"/>
    <w:rsid w:val="00C9307D"/>
    <w:rsid w:val="00C96D32"/>
    <w:rsid w:val="00CE284D"/>
    <w:rsid w:val="00D32313"/>
    <w:rsid w:val="00D93447"/>
    <w:rsid w:val="00D9673B"/>
    <w:rsid w:val="00DB0920"/>
    <w:rsid w:val="00DB3CDD"/>
    <w:rsid w:val="00E476CD"/>
    <w:rsid w:val="00E65D14"/>
    <w:rsid w:val="00ED712F"/>
    <w:rsid w:val="00F02FC9"/>
    <w:rsid w:val="00F12CDE"/>
    <w:rsid w:val="00F30D92"/>
    <w:rsid w:val="00F529F9"/>
    <w:rsid w:val="00F61DCC"/>
    <w:rsid w:val="00F867B5"/>
    <w:rsid w:val="00F970B9"/>
    <w:rsid w:val="00FA643A"/>
    <w:rsid w:val="00FE78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E4396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64"/>
    <w:pPr>
      <w:spacing w:after="0" w:line="240" w:lineRule="auto"/>
    </w:pPr>
    <w:rPr>
      <w:rFonts w:ascii="Times New Roman" w:hAnsi="Times New Roman" w:cs="Times New Roman"/>
      <w:sz w:val="24"/>
    </w:rPr>
  </w:style>
  <w:style w:type="paragraph" w:styleId="Rubrik1">
    <w:name w:val="heading 1"/>
    <w:basedOn w:val="Normal"/>
    <w:next w:val="Normal"/>
    <w:link w:val="Rubrik1Char"/>
    <w:uiPriority w:val="9"/>
    <w:qFormat/>
    <w:rsid w:val="00A52063"/>
    <w:pPr>
      <w:keepNext/>
      <w:keepLines/>
      <w:spacing w:before="240" w:after="60"/>
      <w:outlineLvl w:val="0"/>
    </w:pPr>
    <w:rPr>
      <w:rFonts w:eastAsiaTheme="majorEastAsia"/>
      <w:b/>
      <w:bCs/>
      <w:szCs w:val="28"/>
    </w:rPr>
  </w:style>
  <w:style w:type="paragraph" w:styleId="Rubrik2">
    <w:name w:val="heading 2"/>
    <w:basedOn w:val="Rubrik1"/>
    <w:next w:val="Normal"/>
    <w:link w:val="Rubrik2Char"/>
    <w:uiPriority w:val="9"/>
    <w:qFormat/>
    <w:rsid w:val="00A52063"/>
    <w:pPr>
      <w:outlineLvl w:val="1"/>
    </w:pPr>
    <w:rPr>
      <w:bCs w:val="0"/>
      <w:i/>
      <w:szCs w:val="26"/>
    </w:rPr>
  </w:style>
  <w:style w:type="paragraph" w:styleId="Rubrik3">
    <w:name w:val="heading 3"/>
    <w:basedOn w:val="Rubrik1"/>
    <w:next w:val="Normal"/>
    <w:link w:val="Rubrik3Char"/>
    <w:uiPriority w:val="9"/>
    <w:qFormat/>
    <w:rsid w:val="00A52063"/>
    <w:pPr>
      <w:outlineLvl w:val="2"/>
    </w:pPr>
    <w:rPr>
      <w:b w:val="0"/>
      <w:bCs w:val="0"/>
      <w:i/>
    </w:rPr>
  </w:style>
  <w:style w:type="paragraph" w:styleId="Rubrik4">
    <w:name w:val="heading 4"/>
    <w:basedOn w:val="Rubrik1"/>
    <w:next w:val="Normal"/>
    <w:link w:val="Rubrik4Char"/>
    <w:uiPriority w:val="9"/>
    <w:semiHidden/>
    <w:qFormat/>
    <w:rsid w:val="00A52063"/>
    <w:pPr>
      <w:numPr>
        <w:ilvl w:val="3"/>
        <w:numId w:val="1"/>
      </w:numPr>
      <w:outlineLvl w:val="3"/>
    </w:pPr>
    <w:rPr>
      <w:b w:val="0"/>
      <w:bCs w:val="0"/>
      <w:i/>
      <w:iCs/>
    </w:rPr>
  </w:style>
  <w:style w:type="paragraph" w:styleId="Rubrik5">
    <w:name w:val="heading 5"/>
    <w:basedOn w:val="Normal"/>
    <w:next w:val="Normal"/>
    <w:link w:val="Rubrik5Char"/>
    <w:uiPriority w:val="9"/>
    <w:semiHidden/>
    <w:qFormat/>
    <w:rsid w:val="00711583"/>
    <w:pPr>
      <w:keepNext/>
      <w:keepLines/>
      <w:numPr>
        <w:ilvl w:val="4"/>
        <w:numId w:val="1"/>
      </w:numPr>
      <w:spacing w:before="200"/>
      <w:outlineLvl w:val="4"/>
    </w:pPr>
    <w:rPr>
      <w:rFonts w:asciiTheme="majorHAnsi" w:eastAsiaTheme="majorEastAsia" w:hAnsiTheme="majorHAnsi"/>
      <w:color w:val="8D6900" w:themeColor="accent1" w:themeShade="7F"/>
    </w:rPr>
  </w:style>
  <w:style w:type="paragraph" w:styleId="Rubrik6">
    <w:name w:val="heading 6"/>
    <w:basedOn w:val="Normal"/>
    <w:next w:val="Normal"/>
    <w:link w:val="Rubrik6Char"/>
    <w:uiPriority w:val="9"/>
    <w:semiHidden/>
    <w:qFormat/>
    <w:rsid w:val="00711583"/>
    <w:pPr>
      <w:keepNext/>
      <w:keepLines/>
      <w:numPr>
        <w:ilvl w:val="5"/>
        <w:numId w:val="1"/>
      </w:numPr>
      <w:spacing w:before="200"/>
      <w:outlineLvl w:val="5"/>
    </w:pPr>
    <w:rPr>
      <w:rFonts w:asciiTheme="majorHAnsi" w:eastAsiaTheme="majorEastAsia" w:hAnsiTheme="majorHAnsi"/>
      <w:i/>
      <w:iCs/>
      <w:color w:val="8D6900" w:themeColor="accent1" w:themeShade="7F"/>
    </w:rPr>
  </w:style>
  <w:style w:type="paragraph" w:styleId="Rubrik7">
    <w:name w:val="heading 7"/>
    <w:basedOn w:val="Normal"/>
    <w:next w:val="Normal"/>
    <w:link w:val="Rubrik7Char"/>
    <w:uiPriority w:val="9"/>
    <w:semiHidden/>
    <w:qFormat/>
    <w:rsid w:val="00711583"/>
    <w:pPr>
      <w:keepNext/>
      <w:keepLines/>
      <w:numPr>
        <w:ilvl w:val="6"/>
        <w:numId w:val="1"/>
      </w:numPr>
      <w:spacing w:before="200"/>
      <w:outlineLvl w:val="6"/>
    </w:pPr>
    <w:rPr>
      <w:rFonts w:asciiTheme="majorHAnsi" w:eastAsiaTheme="majorEastAsia" w:hAnsiTheme="majorHAnsi"/>
      <w:i/>
      <w:iCs/>
      <w:color w:val="404040" w:themeColor="text1" w:themeTint="BF"/>
    </w:rPr>
  </w:style>
  <w:style w:type="paragraph" w:styleId="Rubrik8">
    <w:name w:val="heading 8"/>
    <w:basedOn w:val="Normal"/>
    <w:next w:val="Normal"/>
    <w:link w:val="Rubrik8Char"/>
    <w:uiPriority w:val="9"/>
    <w:semiHidden/>
    <w:qFormat/>
    <w:rsid w:val="00711583"/>
    <w:pPr>
      <w:keepNext/>
      <w:keepLines/>
      <w:numPr>
        <w:ilvl w:val="7"/>
        <w:numId w:val="1"/>
      </w:numPr>
      <w:spacing w:before="200"/>
      <w:outlineLvl w:val="7"/>
    </w:pPr>
    <w:rPr>
      <w:rFonts w:asciiTheme="majorHAnsi" w:eastAsiaTheme="majorEastAsia" w:hAnsiTheme="majorHAnsi"/>
      <w:color w:val="404040" w:themeColor="text1" w:themeTint="BF"/>
      <w:sz w:val="20"/>
      <w:szCs w:val="20"/>
    </w:rPr>
  </w:style>
  <w:style w:type="paragraph" w:styleId="Rubrik9">
    <w:name w:val="heading 9"/>
    <w:basedOn w:val="Normal"/>
    <w:next w:val="Normal"/>
    <w:link w:val="Rubrik9Char"/>
    <w:uiPriority w:val="9"/>
    <w:semiHidden/>
    <w:qFormat/>
    <w:rsid w:val="00711583"/>
    <w:pPr>
      <w:keepNext/>
      <w:keepLines/>
      <w:numPr>
        <w:ilvl w:val="8"/>
        <w:numId w:val="1"/>
      </w:numPr>
      <w:spacing w:before="200"/>
      <w:outlineLvl w:val="8"/>
    </w:pPr>
    <w:rPr>
      <w:rFonts w:asciiTheme="majorHAnsi" w:eastAsiaTheme="majorEastAsia" w:hAnsiTheme="majorHAns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locked/>
    <w:rsid w:val="00910F64"/>
    <w:rPr>
      <w:rFonts w:ascii="Times New Roman" w:eastAsiaTheme="majorEastAsia" w:hAnsi="Times New Roman" w:cs="Times New Roman"/>
      <w:b/>
      <w:bCs/>
      <w:sz w:val="28"/>
      <w:szCs w:val="28"/>
    </w:rPr>
  </w:style>
  <w:style w:type="character" w:customStyle="1" w:styleId="Rubrik2Char">
    <w:name w:val="Rubrik 2 Char"/>
    <w:basedOn w:val="Standardstycketypsnitt"/>
    <w:link w:val="Rubrik2"/>
    <w:uiPriority w:val="9"/>
    <w:locked/>
    <w:rsid w:val="00910F64"/>
    <w:rPr>
      <w:rFonts w:ascii="Times New Roman" w:eastAsiaTheme="majorEastAsia" w:hAnsi="Times New Roman" w:cs="Times New Roman"/>
      <w:b/>
      <w:i/>
      <w:sz w:val="26"/>
      <w:szCs w:val="26"/>
    </w:rPr>
  </w:style>
  <w:style w:type="character" w:customStyle="1" w:styleId="Rubrik3Char">
    <w:name w:val="Rubrik 3 Char"/>
    <w:basedOn w:val="Standardstycketypsnitt"/>
    <w:link w:val="Rubrik3"/>
    <w:uiPriority w:val="9"/>
    <w:locked/>
    <w:rsid w:val="00910F64"/>
    <w:rPr>
      <w:rFonts w:ascii="Times New Roman" w:eastAsiaTheme="majorEastAsia" w:hAnsi="Times New Roman" w:cs="Times New Roman"/>
      <w:i/>
      <w:sz w:val="28"/>
      <w:szCs w:val="28"/>
    </w:rPr>
  </w:style>
  <w:style w:type="character" w:customStyle="1" w:styleId="Rubrik4Char">
    <w:name w:val="Rubrik 4 Char"/>
    <w:basedOn w:val="Standardstycketypsnitt"/>
    <w:link w:val="Rubrik4"/>
    <w:uiPriority w:val="9"/>
    <w:semiHidden/>
    <w:locked/>
    <w:rsid w:val="00C474A0"/>
    <w:rPr>
      <w:rFonts w:ascii="Times New Roman" w:eastAsiaTheme="majorEastAsia" w:hAnsi="Times New Roman" w:cs="Times New Roman"/>
      <w:i/>
      <w:iCs/>
      <w:sz w:val="28"/>
      <w:szCs w:val="28"/>
    </w:rPr>
  </w:style>
  <w:style w:type="character" w:customStyle="1" w:styleId="Rubrik5Char">
    <w:name w:val="Rubrik 5 Char"/>
    <w:basedOn w:val="Standardstycketypsnitt"/>
    <w:link w:val="Rubrik5"/>
    <w:uiPriority w:val="9"/>
    <w:semiHidden/>
    <w:locked/>
    <w:rsid w:val="00711583"/>
    <w:rPr>
      <w:rFonts w:asciiTheme="majorHAnsi" w:eastAsiaTheme="majorEastAsia" w:hAnsiTheme="majorHAnsi" w:cs="Times New Roman"/>
      <w:color w:val="8D6900" w:themeColor="accent1" w:themeShade="7F"/>
      <w:sz w:val="24"/>
    </w:rPr>
  </w:style>
  <w:style w:type="character" w:customStyle="1" w:styleId="Rubrik6Char">
    <w:name w:val="Rubrik 6 Char"/>
    <w:basedOn w:val="Standardstycketypsnitt"/>
    <w:link w:val="Rubrik6"/>
    <w:uiPriority w:val="9"/>
    <w:semiHidden/>
    <w:locked/>
    <w:rsid w:val="00711583"/>
    <w:rPr>
      <w:rFonts w:asciiTheme="majorHAnsi" w:eastAsiaTheme="majorEastAsia" w:hAnsiTheme="majorHAnsi" w:cs="Times New Roman"/>
      <w:i/>
      <w:iCs/>
      <w:color w:val="8D6900" w:themeColor="accent1" w:themeShade="7F"/>
      <w:sz w:val="24"/>
    </w:rPr>
  </w:style>
  <w:style w:type="character" w:customStyle="1" w:styleId="Rubrik7Char">
    <w:name w:val="Rubrik 7 Char"/>
    <w:basedOn w:val="Standardstycketypsnitt"/>
    <w:link w:val="Rubrik7"/>
    <w:uiPriority w:val="9"/>
    <w:semiHidden/>
    <w:locked/>
    <w:rsid w:val="00711583"/>
    <w:rPr>
      <w:rFonts w:asciiTheme="majorHAnsi" w:eastAsiaTheme="majorEastAsia" w:hAnsiTheme="majorHAnsi" w:cs="Times New Roman"/>
      <w:i/>
      <w:iCs/>
      <w:color w:val="404040" w:themeColor="text1" w:themeTint="BF"/>
      <w:sz w:val="24"/>
    </w:rPr>
  </w:style>
  <w:style w:type="character" w:customStyle="1" w:styleId="Rubrik8Char">
    <w:name w:val="Rubrik 8 Char"/>
    <w:basedOn w:val="Standardstycketypsnitt"/>
    <w:link w:val="Rubrik8"/>
    <w:uiPriority w:val="9"/>
    <w:semiHidden/>
    <w:locked/>
    <w:rsid w:val="00711583"/>
    <w:rPr>
      <w:rFonts w:asciiTheme="majorHAnsi" w:eastAsiaTheme="majorEastAsia" w:hAnsiTheme="majorHAnsi" w:cs="Times New Roman"/>
      <w:color w:val="404040" w:themeColor="text1" w:themeTint="BF"/>
      <w:sz w:val="20"/>
      <w:szCs w:val="20"/>
    </w:rPr>
  </w:style>
  <w:style w:type="character" w:customStyle="1" w:styleId="Rubrik9Char">
    <w:name w:val="Rubrik 9 Char"/>
    <w:basedOn w:val="Standardstycketypsnitt"/>
    <w:link w:val="Rubrik9"/>
    <w:uiPriority w:val="9"/>
    <w:semiHidden/>
    <w:locked/>
    <w:rsid w:val="00711583"/>
    <w:rPr>
      <w:rFonts w:asciiTheme="majorHAnsi" w:eastAsiaTheme="majorEastAsia" w:hAnsiTheme="majorHAnsi" w:cs="Times New Roman"/>
      <w:i/>
      <w:iCs/>
      <w:color w:val="404040" w:themeColor="text1" w:themeTint="BF"/>
      <w:sz w:val="20"/>
      <w:szCs w:val="20"/>
    </w:rPr>
  </w:style>
  <w:style w:type="paragraph" w:styleId="Sidhuvud">
    <w:name w:val="header"/>
    <w:basedOn w:val="Normal"/>
    <w:link w:val="SidhuvudChar"/>
    <w:uiPriority w:val="99"/>
    <w:semiHidden/>
    <w:rsid w:val="002B7B42"/>
    <w:pPr>
      <w:tabs>
        <w:tab w:val="center" w:pos="4536"/>
        <w:tab w:val="right" w:pos="9072"/>
      </w:tabs>
    </w:pPr>
  </w:style>
  <w:style w:type="character" w:customStyle="1" w:styleId="SidhuvudChar">
    <w:name w:val="Sidhuvud Char"/>
    <w:basedOn w:val="Standardstycketypsnitt"/>
    <w:link w:val="Sidhuvud"/>
    <w:uiPriority w:val="99"/>
    <w:semiHidden/>
    <w:locked/>
    <w:rsid w:val="00A52063"/>
    <w:rPr>
      <w:rFonts w:ascii="Times New Roman" w:hAnsi="Times New Roman" w:cs="Times New Roman"/>
      <w:sz w:val="24"/>
    </w:rPr>
  </w:style>
  <w:style w:type="paragraph" w:styleId="Sidfot">
    <w:name w:val="footer"/>
    <w:basedOn w:val="Normal"/>
    <w:link w:val="SidfotChar"/>
    <w:uiPriority w:val="99"/>
    <w:rsid w:val="002B7B42"/>
    <w:pPr>
      <w:tabs>
        <w:tab w:val="center" w:pos="4536"/>
        <w:tab w:val="right" w:pos="9072"/>
      </w:tabs>
    </w:pPr>
  </w:style>
  <w:style w:type="character" w:customStyle="1" w:styleId="SidfotChar">
    <w:name w:val="Sidfot Char"/>
    <w:basedOn w:val="Standardstycketypsnitt"/>
    <w:link w:val="Sidfot"/>
    <w:uiPriority w:val="99"/>
    <w:locked/>
    <w:rsid w:val="00A52063"/>
    <w:rPr>
      <w:rFonts w:ascii="Times New Roman" w:hAnsi="Times New Roman" w:cs="Times New Roman"/>
      <w:sz w:val="24"/>
    </w:rPr>
  </w:style>
  <w:style w:type="character" w:styleId="Sidnummer">
    <w:name w:val="page number"/>
    <w:basedOn w:val="Standardstycketypsnitt"/>
    <w:uiPriority w:val="99"/>
    <w:semiHidden/>
    <w:rsid w:val="002B7B42"/>
    <w:rPr>
      <w:rFonts w:cs="Times New Roman"/>
    </w:rPr>
  </w:style>
  <w:style w:type="paragraph" w:customStyle="1" w:styleId="Rubrik1Nr">
    <w:name w:val="Rubrik 1 Nr"/>
    <w:basedOn w:val="Rubrik1"/>
    <w:next w:val="Normal"/>
    <w:link w:val="Rubrik1NrChar"/>
    <w:uiPriority w:val="9"/>
    <w:qFormat/>
    <w:rsid w:val="00A52063"/>
    <w:pPr>
      <w:numPr>
        <w:numId w:val="1"/>
      </w:numPr>
    </w:pPr>
    <w:rPr>
      <w:noProof/>
      <w:szCs w:val="24"/>
    </w:rPr>
  </w:style>
  <w:style w:type="paragraph" w:styleId="Liststycke">
    <w:name w:val="List Paragraph"/>
    <w:basedOn w:val="Normal"/>
    <w:uiPriority w:val="34"/>
    <w:qFormat/>
    <w:rsid w:val="00711583"/>
    <w:pPr>
      <w:ind w:left="720"/>
      <w:contextualSpacing/>
    </w:pPr>
  </w:style>
  <w:style w:type="paragraph" w:customStyle="1" w:styleId="Rubrik2Nr">
    <w:name w:val="Rubrik 2 Nr"/>
    <w:basedOn w:val="Rubrik2"/>
    <w:next w:val="Normal"/>
    <w:link w:val="Rubrik2NrChar"/>
    <w:uiPriority w:val="9"/>
    <w:qFormat/>
    <w:rsid w:val="008C27FD"/>
    <w:pPr>
      <w:numPr>
        <w:ilvl w:val="1"/>
        <w:numId w:val="1"/>
      </w:numPr>
    </w:pPr>
  </w:style>
  <w:style w:type="paragraph" w:customStyle="1" w:styleId="Rubrik3Nr">
    <w:name w:val="Rubrik 3 Nr"/>
    <w:basedOn w:val="Rubrik3"/>
    <w:next w:val="Normal"/>
    <w:link w:val="Rubrik3NrChar"/>
    <w:uiPriority w:val="9"/>
    <w:qFormat/>
    <w:rsid w:val="008C27FD"/>
    <w:pPr>
      <w:numPr>
        <w:ilvl w:val="2"/>
        <w:numId w:val="1"/>
      </w:numPr>
    </w:pPr>
  </w:style>
  <w:style w:type="character" w:customStyle="1" w:styleId="Rubrik1NrChar">
    <w:name w:val="Rubrik 1 Nr Char"/>
    <w:basedOn w:val="Rubrik1Char"/>
    <w:link w:val="Rubrik1Nr"/>
    <w:uiPriority w:val="9"/>
    <w:locked/>
    <w:rsid w:val="00910F64"/>
    <w:rPr>
      <w:rFonts w:ascii="Times New Roman" w:eastAsiaTheme="majorEastAsia" w:hAnsi="Times New Roman" w:cs="Times New Roman"/>
      <w:b/>
      <w:bCs/>
      <w:noProof/>
      <w:sz w:val="24"/>
      <w:szCs w:val="24"/>
    </w:rPr>
  </w:style>
  <w:style w:type="character" w:customStyle="1" w:styleId="Rubrik2NrChar">
    <w:name w:val="Rubrik 2 Nr Char"/>
    <w:basedOn w:val="Rubrik2Char"/>
    <w:link w:val="Rubrik2Nr"/>
    <w:uiPriority w:val="9"/>
    <w:locked/>
    <w:rsid w:val="00910F64"/>
    <w:rPr>
      <w:rFonts w:ascii="Times New Roman" w:eastAsiaTheme="majorEastAsia" w:hAnsi="Times New Roman" w:cs="Times New Roman"/>
      <w:b/>
      <w:i/>
      <w:sz w:val="26"/>
      <w:szCs w:val="26"/>
    </w:rPr>
  </w:style>
  <w:style w:type="character" w:customStyle="1" w:styleId="Rubrik3NrChar">
    <w:name w:val="Rubrik 3 Nr Char"/>
    <w:basedOn w:val="Rubrik3Char"/>
    <w:link w:val="Rubrik3Nr"/>
    <w:uiPriority w:val="9"/>
    <w:locked/>
    <w:rsid w:val="00910F64"/>
    <w:rPr>
      <w:rFonts w:ascii="Times New Roman" w:eastAsiaTheme="majorEastAsia" w:hAnsi="Times New Roman" w:cs="Times New Roman"/>
      <w:i/>
      <w:sz w:val="28"/>
      <w:szCs w:val="28"/>
    </w:rPr>
  </w:style>
  <w:style w:type="paragraph" w:customStyle="1" w:styleId="NummerlistaNV">
    <w:name w:val="Nummerlista NV"/>
    <w:basedOn w:val="Normal"/>
    <w:uiPriority w:val="99"/>
    <w:qFormat/>
    <w:rsid w:val="00C474A0"/>
    <w:pPr>
      <w:numPr>
        <w:numId w:val="4"/>
      </w:numPr>
      <w:tabs>
        <w:tab w:val="left" w:pos="720"/>
      </w:tabs>
      <w:spacing w:after="30"/>
    </w:pPr>
  </w:style>
  <w:style w:type="paragraph" w:customStyle="1" w:styleId="PunktlistaNV">
    <w:name w:val="Punktlista NV"/>
    <w:basedOn w:val="Normal"/>
    <w:uiPriority w:val="99"/>
    <w:qFormat/>
    <w:rsid w:val="00C474A0"/>
    <w:pPr>
      <w:numPr>
        <w:numId w:val="5"/>
      </w:numPr>
      <w:tabs>
        <w:tab w:val="left" w:pos="720"/>
      </w:tabs>
      <w:spacing w:after="30"/>
    </w:pPr>
  </w:style>
  <w:style w:type="paragraph" w:customStyle="1" w:styleId="InledandeRubrik">
    <w:name w:val="Inledande Rubrik"/>
    <w:basedOn w:val="Rubrik1"/>
    <w:next w:val="Normal"/>
    <w:qFormat/>
    <w:rsid w:val="000E2C4B"/>
    <w:pPr>
      <w:spacing w:before="0" w:after="240"/>
    </w:pPr>
  </w:style>
  <w:style w:type="table" w:styleId="Tabellrutnt">
    <w:name w:val="Table Grid"/>
    <w:basedOn w:val="Normaltabell"/>
    <w:uiPriority w:val="59"/>
    <w:rsid w:val="0073786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rsid w:val="0073786D"/>
    <w:rPr>
      <w:rFonts w:ascii="Tahoma" w:hAnsi="Tahoma" w:cs="Tahoma"/>
      <w:sz w:val="16"/>
      <w:szCs w:val="16"/>
    </w:rPr>
  </w:style>
  <w:style w:type="character" w:customStyle="1" w:styleId="BubbeltextChar">
    <w:name w:val="Bubbeltext Char"/>
    <w:basedOn w:val="Standardstycketypsnitt"/>
    <w:link w:val="Bubbeltext"/>
    <w:uiPriority w:val="99"/>
    <w:semiHidden/>
    <w:locked/>
    <w:rsid w:val="0073786D"/>
    <w:rPr>
      <w:rFonts w:ascii="Tahoma" w:hAnsi="Tahoma" w:cs="Tahoma"/>
      <w:sz w:val="16"/>
      <w:szCs w:val="16"/>
    </w:rPr>
  </w:style>
  <w:style w:type="paragraph" w:styleId="Normalwebb">
    <w:name w:val="Normal (Web)"/>
    <w:basedOn w:val="Normal"/>
    <w:uiPriority w:val="99"/>
    <w:unhideWhenUsed/>
    <w:rsid w:val="00814386"/>
    <w:pPr>
      <w:spacing w:before="100" w:beforeAutospacing="1" w:after="100" w:afterAutospacing="1"/>
    </w:pPr>
    <w:rPr>
      <w:rFonts w:ascii="Times" w:eastAsiaTheme="minorEastAsia" w:hAnsi="Times"/>
      <w:sz w:val="20"/>
      <w:szCs w:val="20"/>
      <w:lang w:eastAsia="sv-SE"/>
    </w:rPr>
  </w:style>
  <w:style w:type="character" w:styleId="Hyperlnk">
    <w:name w:val="Hyperlink"/>
    <w:basedOn w:val="Standardstycketypsnitt"/>
    <w:uiPriority w:val="99"/>
    <w:unhideWhenUsed/>
    <w:rsid w:val="00814386"/>
    <w:rPr>
      <w:color w:val="0000FF" w:themeColor="hyperlink"/>
      <w:u w:val="single"/>
    </w:rPr>
  </w:style>
  <w:style w:type="paragraph" w:styleId="Fotnotstext">
    <w:name w:val="footnote text"/>
    <w:basedOn w:val="Normal"/>
    <w:link w:val="FotnotstextChar"/>
    <w:uiPriority w:val="99"/>
    <w:unhideWhenUsed/>
    <w:rsid w:val="00814386"/>
    <w:rPr>
      <w:rFonts w:asciiTheme="minorHAnsi" w:eastAsiaTheme="minorEastAsia" w:hAnsiTheme="minorHAnsi" w:cstheme="minorBidi"/>
      <w:szCs w:val="24"/>
      <w:lang w:eastAsia="sv-SE"/>
    </w:rPr>
  </w:style>
  <w:style w:type="character" w:customStyle="1" w:styleId="FotnotstextChar">
    <w:name w:val="Fotnotstext Char"/>
    <w:basedOn w:val="Standardstycketypsnitt"/>
    <w:link w:val="Fotnotstext"/>
    <w:uiPriority w:val="99"/>
    <w:rsid w:val="00814386"/>
    <w:rPr>
      <w:rFonts w:eastAsiaTheme="minorEastAsia" w:cstheme="minorBidi"/>
      <w:sz w:val="24"/>
      <w:szCs w:val="24"/>
      <w:lang w:eastAsia="sv-SE"/>
    </w:rPr>
  </w:style>
  <w:style w:type="character" w:styleId="Fotnotsreferens">
    <w:name w:val="footnote reference"/>
    <w:basedOn w:val="Standardstycketypsnitt"/>
    <w:uiPriority w:val="99"/>
    <w:unhideWhenUsed/>
    <w:rsid w:val="00814386"/>
    <w:rPr>
      <w:vertAlign w:val="superscript"/>
    </w:rPr>
  </w:style>
  <w:style w:type="table" w:styleId="Ljusskuggning-dekorfrg5">
    <w:name w:val="Light Shading Accent 5"/>
    <w:basedOn w:val="Normaltabell"/>
    <w:uiPriority w:val="60"/>
    <w:rsid w:val="00814386"/>
    <w:pPr>
      <w:spacing w:after="0" w:line="240" w:lineRule="auto"/>
    </w:pPr>
    <w:rPr>
      <w:rFonts w:eastAsiaTheme="minorEastAsia" w:cstheme="minorBidi"/>
      <w:color w:val="848851" w:themeColor="accent5" w:themeShade="BF"/>
      <w:sz w:val="24"/>
      <w:szCs w:val="24"/>
      <w:lang w:eastAsia="sv-SE"/>
    </w:rPr>
    <w:tblPr>
      <w:tblStyleRowBandSize w:val="1"/>
      <w:tblStyleColBandSize w:val="1"/>
      <w:tblInd w:w="0" w:type="dxa"/>
      <w:tblBorders>
        <w:top w:val="single" w:sz="8" w:space="0" w:color="AAAD75" w:themeColor="accent5"/>
        <w:bottom w:val="single" w:sz="8" w:space="0" w:color="AAAD7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AD75" w:themeColor="accent5"/>
          <w:left w:val="nil"/>
          <w:bottom w:val="single" w:sz="8" w:space="0" w:color="AAAD75" w:themeColor="accent5"/>
          <w:right w:val="nil"/>
          <w:insideH w:val="nil"/>
          <w:insideV w:val="nil"/>
        </w:tcBorders>
      </w:tcPr>
    </w:tblStylePr>
    <w:tblStylePr w:type="lastRow">
      <w:pPr>
        <w:spacing w:before="0" w:after="0" w:line="240" w:lineRule="auto"/>
      </w:pPr>
      <w:rPr>
        <w:b/>
        <w:bCs/>
      </w:rPr>
      <w:tblPr/>
      <w:tcPr>
        <w:tcBorders>
          <w:top w:val="single" w:sz="8" w:space="0" w:color="AAAD75" w:themeColor="accent5"/>
          <w:left w:val="nil"/>
          <w:bottom w:val="single" w:sz="8" w:space="0" w:color="AAAD7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ADC" w:themeFill="accent5" w:themeFillTint="3F"/>
      </w:tcPr>
    </w:tblStylePr>
    <w:tblStylePr w:type="band1Horz">
      <w:tblPr/>
      <w:tcPr>
        <w:tcBorders>
          <w:left w:val="nil"/>
          <w:right w:val="nil"/>
          <w:insideH w:val="nil"/>
          <w:insideV w:val="nil"/>
        </w:tcBorders>
        <w:shd w:val="clear" w:color="auto" w:fill="E9EADC" w:themeFill="accent5" w:themeFillTint="3F"/>
      </w:tcPr>
    </w:tblStylePr>
  </w:style>
  <w:style w:type="paragraph" w:customStyle="1" w:styleId="Beslutsmeningar">
    <w:name w:val="Beslutsmeningar"/>
    <w:basedOn w:val="Normal"/>
    <w:semiHidden/>
    <w:rsid w:val="00521ABC"/>
  </w:style>
  <w:style w:type="character" w:styleId="Kommentarsreferens">
    <w:name w:val="annotation reference"/>
    <w:basedOn w:val="Standardstycketypsnitt"/>
    <w:uiPriority w:val="99"/>
    <w:semiHidden/>
    <w:unhideWhenUsed/>
    <w:rsid w:val="004721ED"/>
    <w:rPr>
      <w:sz w:val="16"/>
      <w:szCs w:val="16"/>
    </w:rPr>
  </w:style>
  <w:style w:type="paragraph" w:styleId="Kommentarer">
    <w:name w:val="annotation text"/>
    <w:basedOn w:val="Normal"/>
    <w:link w:val="KommentarerChar"/>
    <w:uiPriority w:val="99"/>
    <w:semiHidden/>
    <w:unhideWhenUsed/>
    <w:rsid w:val="004721ED"/>
    <w:rPr>
      <w:sz w:val="20"/>
      <w:szCs w:val="20"/>
    </w:rPr>
  </w:style>
  <w:style w:type="character" w:customStyle="1" w:styleId="KommentarerChar">
    <w:name w:val="Kommentarer Char"/>
    <w:basedOn w:val="Standardstycketypsnitt"/>
    <w:link w:val="Kommentarer"/>
    <w:uiPriority w:val="99"/>
    <w:semiHidden/>
    <w:rsid w:val="004721ED"/>
    <w:rPr>
      <w:rFonts w:ascii="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4721ED"/>
    <w:rPr>
      <w:b/>
      <w:bCs/>
    </w:rPr>
  </w:style>
  <w:style w:type="character" w:customStyle="1" w:styleId="KommentarsmneChar">
    <w:name w:val="Kommentarsämne Char"/>
    <w:basedOn w:val="KommentarerChar"/>
    <w:link w:val="Kommentarsmne"/>
    <w:uiPriority w:val="99"/>
    <w:semiHidden/>
    <w:rsid w:val="004721ED"/>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64"/>
    <w:pPr>
      <w:spacing w:after="0" w:line="240" w:lineRule="auto"/>
    </w:pPr>
    <w:rPr>
      <w:rFonts w:ascii="Times New Roman" w:hAnsi="Times New Roman" w:cs="Times New Roman"/>
      <w:sz w:val="24"/>
    </w:rPr>
  </w:style>
  <w:style w:type="paragraph" w:styleId="Rubrik1">
    <w:name w:val="heading 1"/>
    <w:basedOn w:val="Normal"/>
    <w:next w:val="Normal"/>
    <w:link w:val="Rubrik1Char"/>
    <w:uiPriority w:val="9"/>
    <w:qFormat/>
    <w:rsid w:val="00A52063"/>
    <w:pPr>
      <w:keepNext/>
      <w:keepLines/>
      <w:spacing w:before="240" w:after="60"/>
      <w:outlineLvl w:val="0"/>
    </w:pPr>
    <w:rPr>
      <w:rFonts w:eastAsiaTheme="majorEastAsia"/>
      <w:b/>
      <w:bCs/>
      <w:szCs w:val="28"/>
    </w:rPr>
  </w:style>
  <w:style w:type="paragraph" w:styleId="Rubrik2">
    <w:name w:val="heading 2"/>
    <w:basedOn w:val="Rubrik1"/>
    <w:next w:val="Normal"/>
    <w:link w:val="Rubrik2Char"/>
    <w:uiPriority w:val="9"/>
    <w:qFormat/>
    <w:rsid w:val="00A52063"/>
    <w:pPr>
      <w:outlineLvl w:val="1"/>
    </w:pPr>
    <w:rPr>
      <w:bCs w:val="0"/>
      <w:i/>
      <w:szCs w:val="26"/>
    </w:rPr>
  </w:style>
  <w:style w:type="paragraph" w:styleId="Rubrik3">
    <w:name w:val="heading 3"/>
    <w:basedOn w:val="Rubrik1"/>
    <w:next w:val="Normal"/>
    <w:link w:val="Rubrik3Char"/>
    <w:uiPriority w:val="9"/>
    <w:qFormat/>
    <w:rsid w:val="00A52063"/>
    <w:pPr>
      <w:outlineLvl w:val="2"/>
    </w:pPr>
    <w:rPr>
      <w:b w:val="0"/>
      <w:bCs w:val="0"/>
      <w:i/>
    </w:rPr>
  </w:style>
  <w:style w:type="paragraph" w:styleId="Rubrik4">
    <w:name w:val="heading 4"/>
    <w:basedOn w:val="Rubrik1"/>
    <w:next w:val="Normal"/>
    <w:link w:val="Rubrik4Char"/>
    <w:uiPriority w:val="9"/>
    <w:semiHidden/>
    <w:qFormat/>
    <w:rsid w:val="00A52063"/>
    <w:pPr>
      <w:numPr>
        <w:ilvl w:val="3"/>
        <w:numId w:val="1"/>
      </w:numPr>
      <w:outlineLvl w:val="3"/>
    </w:pPr>
    <w:rPr>
      <w:b w:val="0"/>
      <w:bCs w:val="0"/>
      <w:i/>
      <w:iCs/>
    </w:rPr>
  </w:style>
  <w:style w:type="paragraph" w:styleId="Rubrik5">
    <w:name w:val="heading 5"/>
    <w:basedOn w:val="Normal"/>
    <w:next w:val="Normal"/>
    <w:link w:val="Rubrik5Char"/>
    <w:uiPriority w:val="9"/>
    <w:semiHidden/>
    <w:qFormat/>
    <w:rsid w:val="00711583"/>
    <w:pPr>
      <w:keepNext/>
      <w:keepLines/>
      <w:numPr>
        <w:ilvl w:val="4"/>
        <w:numId w:val="1"/>
      </w:numPr>
      <w:spacing w:before="200"/>
      <w:outlineLvl w:val="4"/>
    </w:pPr>
    <w:rPr>
      <w:rFonts w:asciiTheme="majorHAnsi" w:eastAsiaTheme="majorEastAsia" w:hAnsiTheme="majorHAnsi"/>
      <w:color w:val="8D6900" w:themeColor="accent1" w:themeShade="7F"/>
    </w:rPr>
  </w:style>
  <w:style w:type="paragraph" w:styleId="Rubrik6">
    <w:name w:val="heading 6"/>
    <w:basedOn w:val="Normal"/>
    <w:next w:val="Normal"/>
    <w:link w:val="Rubrik6Char"/>
    <w:uiPriority w:val="9"/>
    <w:semiHidden/>
    <w:qFormat/>
    <w:rsid w:val="00711583"/>
    <w:pPr>
      <w:keepNext/>
      <w:keepLines/>
      <w:numPr>
        <w:ilvl w:val="5"/>
        <w:numId w:val="1"/>
      </w:numPr>
      <w:spacing w:before="200"/>
      <w:outlineLvl w:val="5"/>
    </w:pPr>
    <w:rPr>
      <w:rFonts w:asciiTheme="majorHAnsi" w:eastAsiaTheme="majorEastAsia" w:hAnsiTheme="majorHAnsi"/>
      <w:i/>
      <w:iCs/>
      <w:color w:val="8D6900" w:themeColor="accent1" w:themeShade="7F"/>
    </w:rPr>
  </w:style>
  <w:style w:type="paragraph" w:styleId="Rubrik7">
    <w:name w:val="heading 7"/>
    <w:basedOn w:val="Normal"/>
    <w:next w:val="Normal"/>
    <w:link w:val="Rubrik7Char"/>
    <w:uiPriority w:val="9"/>
    <w:semiHidden/>
    <w:qFormat/>
    <w:rsid w:val="00711583"/>
    <w:pPr>
      <w:keepNext/>
      <w:keepLines/>
      <w:numPr>
        <w:ilvl w:val="6"/>
        <w:numId w:val="1"/>
      </w:numPr>
      <w:spacing w:before="200"/>
      <w:outlineLvl w:val="6"/>
    </w:pPr>
    <w:rPr>
      <w:rFonts w:asciiTheme="majorHAnsi" w:eastAsiaTheme="majorEastAsia" w:hAnsiTheme="majorHAnsi"/>
      <w:i/>
      <w:iCs/>
      <w:color w:val="404040" w:themeColor="text1" w:themeTint="BF"/>
    </w:rPr>
  </w:style>
  <w:style w:type="paragraph" w:styleId="Rubrik8">
    <w:name w:val="heading 8"/>
    <w:basedOn w:val="Normal"/>
    <w:next w:val="Normal"/>
    <w:link w:val="Rubrik8Char"/>
    <w:uiPriority w:val="9"/>
    <w:semiHidden/>
    <w:qFormat/>
    <w:rsid w:val="00711583"/>
    <w:pPr>
      <w:keepNext/>
      <w:keepLines/>
      <w:numPr>
        <w:ilvl w:val="7"/>
        <w:numId w:val="1"/>
      </w:numPr>
      <w:spacing w:before="200"/>
      <w:outlineLvl w:val="7"/>
    </w:pPr>
    <w:rPr>
      <w:rFonts w:asciiTheme="majorHAnsi" w:eastAsiaTheme="majorEastAsia" w:hAnsiTheme="majorHAnsi"/>
      <w:color w:val="404040" w:themeColor="text1" w:themeTint="BF"/>
      <w:sz w:val="20"/>
      <w:szCs w:val="20"/>
    </w:rPr>
  </w:style>
  <w:style w:type="paragraph" w:styleId="Rubrik9">
    <w:name w:val="heading 9"/>
    <w:basedOn w:val="Normal"/>
    <w:next w:val="Normal"/>
    <w:link w:val="Rubrik9Char"/>
    <w:uiPriority w:val="9"/>
    <w:semiHidden/>
    <w:qFormat/>
    <w:rsid w:val="00711583"/>
    <w:pPr>
      <w:keepNext/>
      <w:keepLines/>
      <w:numPr>
        <w:ilvl w:val="8"/>
        <w:numId w:val="1"/>
      </w:numPr>
      <w:spacing w:before="200"/>
      <w:outlineLvl w:val="8"/>
    </w:pPr>
    <w:rPr>
      <w:rFonts w:asciiTheme="majorHAnsi" w:eastAsiaTheme="majorEastAsia" w:hAnsiTheme="majorHAns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locked/>
    <w:rsid w:val="00910F64"/>
    <w:rPr>
      <w:rFonts w:ascii="Times New Roman" w:eastAsiaTheme="majorEastAsia" w:hAnsi="Times New Roman" w:cs="Times New Roman"/>
      <w:b/>
      <w:bCs/>
      <w:sz w:val="28"/>
      <w:szCs w:val="28"/>
    </w:rPr>
  </w:style>
  <w:style w:type="character" w:customStyle="1" w:styleId="Rubrik2Char">
    <w:name w:val="Rubrik 2 Char"/>
    <w:basedOn w:val="Standardstycketypsnitt"/>
    <w:link w:val="Rubrik2"/>
    <w:uiPriority w:val="9"/>
    <w:locked/>
    <w:rsid w:val="00910F64"/>
    <w:rPr>
      <w:rFonts w:ascii="Times New Roman" w:eastAsiaTheme="majorEastAsia" w:hAnsi="Times New Roman" w:cs="Times New Roman"/>
      <w:b/>
      <w:i/>
      <w:sz w:val="26"/>
      <w:szCs w:val="26"/>
    </w:rPr>
  </w:style>
  <w:style w:type="character" w:customStyle="1" w:styleId="Rubrik3Char">
    <w:name w:val="Rubrik 3 Char"/>
    <w:basedOn w:val="Standardstycketypsnitt"/>
    <w:link w:val="Rubrik3"/>
    <w:uiPriority w:val="9"/>
    <w:locked/>
    <w:rsid w:val="00910F64"/>
    <w:rPr>
      <w:rFonts w:ascii="Times New Roman" w:eastAsiaTheme="majorEastAsia" w:hAnsi="Times New Roman" w:cs="Times New Roman"/>
      <w:i/>
      <w:sz w:val="28"/>
      <w:szCs w:val="28"/>
    </w:rPr>
  </w:style>
  <w:style w:type="character" w:customStyle="1" w:styleId="Rubrik4Char">
    <w:name w:val="Rubrik 4 Char"/>
    <w:basedOn w:val="Standardstycketypsnitt"/>
    <w:link w:val="Rubrik4"/>
    <w:uiPriority w:val="9"/>
    <w:semiHidden/>
    <w:locked/>
    <w:rsid w:val="00C474A0"/>
    <w:rPr>
      <w:rFonts w:ascii="Times New Roman" w:eastAsiaTheme="majorEastAsia" w:hAnsi="Times New Roman" w:cs="Times New Roman"/>
      <w:i/>
      <w:iCs/>
      <w:sz w:val="28"/>
      <w:szCs w:val="28"/>
    </w:rPr>
  </w:style>
  <w:style w:type="character" w:customStyle="1" w:styleId="Rubrik5Char">
    <w:name w:val="Rubrik 5 Char"/>
    <w:basedOn w:val="Standardstycketypsnitt"/>
    <w:link w:val="Rubrik5"/>
    <w:uiPriority w:val="9"/>
    <w:semiHidden/>
    <w:locked/>
    <w:rsid w:val="00711583"/>
    <w:rPr>
      <w:rFonts w:asciiTheme="majorHAnsi" w:eastAsiaTheme="majorEastAsia" w:hAnsiTheme="majorHAnsi" w:cs="Times New Roman"/>
      <w:color w:val="8D6900" w:themeColor="accent1" w:themeShade="7F"/>
      <w:sz w:val="24"/>
    </w:rPr>
  </w:style>
  <w:style w:type="character" w:customStyle="1" w:styleId="Rubrik6Char">
    <w:name w:val="Rubrik 6 Char"/>
    <w:basedOn w:val="Standardstycketypsnitt"/>
    <w:link w:val="Rubrik6"/>
    <w:uiPriority w:val="9"/>
    <w:semiHidden/>
    <w:locked/>
    <w:rsid w:val="00711583"/>
    <w:rPr>
      <w:rFonts w:asciiTheme="majorHAnsi" w:eastAsiaTheme="majorEastAsia" w:hAnsiTheme="majorHAnsi" w:cs="Times New Roman"/>
      <w:i/>
      <w:iCs/>
      <w:color w:val="8D6900" w:themeColor="accent1" w:themeShade="7F"/>
      <w:sz w:val="24"/>
    </w:rPr>
  </w:style>
  <w:style w:type="character" w:customStyle="1" w:styleId="Rubrik7Char">
    <w:name w:val="Rubrik 7 Char"/>
    <w:basedOn w:val="Standardstycketypsnitt"/>
    <w:link w:val="Rubrik7"/>
    <w:uiPriority w:val="9"/>
    <w:semiHidden/>
    <w:locked/>
    <w:rsid w:val="00711583"/>
    <w:rPr>
      <w:rFonts w:asciiTheme="majorHAnsi" w:eastAsiaTheme="majorEastAsia" w:hAnsiTheme="majorHAnsi" w:cs="Times New Roman"/>
      <w:i/>
      <w:iCs/>
      <w:color w:val="404040" w:themeColor="text1" w:themeTint="BF"/>
      <w:sz w:val="24"/>
    </w:rPr>
  </w:style>
  <w:style w:type="character" w:customStyle="1" w:styleId="Rubrik8Char">
    <w:name w:val="Rubrik 8 Char"/>
    <w:basedOn w:val="Standardstycketypsnitt"/>
    <w:link w:val="Rubrik8"/>
    <w:uiPriority w:val="9"/>
    <w:semiHidden/>
    <w:locked/>
    <w:rsid w:val="00711583"/>
    <w:rPr>
      <w:rFonts w:asciiTheme="majorHAnsi" w:eastAsiaTheme="majorEastAsia" w:hAnsiTheme="majorHAnsi" w:cs="Times New Roman"/>
      <w:color w:val="404040" w:themeColor="text1" w:themeTint="BF"/>
      <w:sz w:val="20"/>
      <w:szCs w:val="20"/>
    </w:rPr>
  </w:style>
  <w:style w:type="character" w:customStyle="1" w:styleId="Rubrik9Char">
    <w:name w:val="Rubrik 9 Char"/>
    <w:basedOn w:val="Standardstycketypsnitt"/>
    <w:link w:val="Rubrik9"/>
    <w:uiPriority w:val="9"/>
    <w:semiHidden/>
    <w:locked/>
    <w:rsid w:val="00711583"/>
    <w:rPr>
      <w:rFonts w:asciiTheme="majorHAnsi" w:eastAsiaTheme="majorEastAsia" w:hAnsiTheme="majorHAnsi" w:cs="Times New Roman"/>
      <w:i/>
      <w:iCs/>
      <w:color w:val="404040" w:themeColor="text1" w:themeTint="BF"/>
      <w:sz w:val="20"/>
      <w:szCs w:val="20"/>
    </w:rPr>
  </w:style>
  <w:style w:type="paragraph" w:styleId="Sidhuvud">
    <w:name w:val="header"/>
    <w:basedOn w:val="Normal"/>
    <w:link w:val="SidhuvudChar"/>
    <w:uiPriority w:val="99"/>
    <w:semiHidden/>
    <w:rsid w:val="002B7B42"/>
    <w:pPr>
      <w:tabs>
        <w:tab w:val="center" w:pos="4536"/>
        <w:tab w:val="right" w:pos="9072"/>
      </w:tabs>
    </w:pPr>
  </w:style>
  <w:style w:type="character" w:customStyle="1" w:styleId="SidhuvudChar">
    <w:name w:val="Sidhuvud Char"/>
    <w:basedOn w:val="Standardstycketypsnitt"/>
    <w:link w:val="Sidhuvud"/>
    <w:uiPriority w:val="99"/>
    <w:semiHidden/>
    <w:locked/>
    <w:rsid w:val="00A52063"/>
    <w:rPr>
      <w:rFonts w:ascii="Times New Roman" w:hAnsi="Times New Roman" w:cs="Times New Roman"/>
      <w:sz w:val="24"/>
    </w:rPr>
  </w:style>
  <w:style w:type="paragraph" w:styleId="Sidfot">
    <w:name w:val="footer"/>
    <w:basedOn w:val="Normal"/>
    <w:link w:val="SidfotChar"/>
    <w:uiPriority w:val="99"/>
    <w:rsid w:val="002B7B42"/>
    <w:pPr>
      <w:tabs>
        <w:tab w:val="center" w:pos="4536"/>
        <w:tab w:val="right" w:pos="9072"/>
      </w:tabs>
    </w:pPr>
  </w:style>
  <w:style w:type="character" w:customStyle="1" w:styleId="SidfotChar">
    <w:name w:val="Sidfot Char"/>
    <w:basedOn w:val="Standardstycketypsnitt"/>
    <w:link w:val="Sidfot"/>
    <w:uiPriority w:val="99"/>
    <w:locked/>
    <w:rsid w:val="00A52063"/>
    <w:rPr>
      <w:rFonts w:ascii="Times New Roman" w:hAnsi="Times New Roman" w:cs="Times New Roman"/>
      <w:sz w:val="24"/>
    </w:rPr>
  </w:style>
  <w:style w:type="character" w:styleId="Sidnummer">
    <w:name w:val="page number"/>
    <w:basedOn w:val="Standardstycketypsnitt"/>
    <w:uiPriority w:val="99"/>
    <w:semiHidden/>
    <w:rsid w:val="002B7B42"/>
    <w:rPr>
      <w:rFonts w:cs="Times New Roman"/>
    </w:rPr>
  </w:style>
  <w:style w:type="paragraph" w:customStyle="1" w:styleId="Rubrik1Nr">
    <w:name w:val="Rubrik 1 Nr"/>
    <w:basedOn w:val="Rubrik1"/>
    <w:next w:val="Normal"/>
    <w:link w:val="Rubrik1NrChar"/>
    <w:uiPriority w:val="9"/>
    <w:qFormat/>
    <w:rsid w:val="00A52063"/>
    <w:pPr>
      <w:numPr>
        <w:numId w:val="1"/>
      </w:numPr>
    </w:pPr>
    <w:rPr>
      <w:noProof/>
      <w:szCs w:val="24"/>
    </w:rPr>
  </w:style>
  <w:style w:type="paragraph" w:styleId="Liststycke">
    <w:name w:val="List Paragraph"/>
    <w:basedOn w:val="Normal"/>
    <w:uiPriority w:val="34"/>
    <w:qFormat/>
    <w:rsid w:val="00711583"/>
    <w:pPr>
      <w:ind w:left="720"/>
      <w:contextualSpacing/>
    </w:pPr>
  </w:style>
  <w:style w:type="paragraph" w:customStyle="1" w:styleId="Rubrik2Nr">
    <w:name w:val="Rubrik 2 Nr"/>
    <w:basedOn w:val="Rubrik2"/>
    <w:next w:val="Normal"/>
    <w:link w:val="Rubrik2NrChar"/>
    <w:uiPriority w:val="9"/>
    <w:qFormat/>
    <w:rsid w:val="008C27FD"/>
    <w:pPr>
      <w:numPr>
        <w:ilvl w:val="1"/>
        <w:numId w:val="1"/>
      </w:numPr>
    </w:pPr>
  </w:style>
  <w:style w:type="paragraph" w:customStyle="1" w:styleId="Rubrik3Nr">
    <w:name w:val="Rubrik 3 Nr"/>
    <w:basedOn w:val="Rubrik3"/>
    <w:next w:val="Normal"/>
    <w:link w:val="Rubrik3NrChar"/>
    <w:uiPriority w:val="9"/>
    <w:qFormat/>
    <w:rsid w:val="008C27FD"/>
    <w:pPr>
      <w:numPr>
        <w:ilvl w:val="2"/>
        <w:numId w:val="1"/>
      </w:numPr>
    </w:pPr>
  </w:style>
  <w:style w:type="character" w:customStyle="1" w:styleId="Rubrik1NrChar">
    <w:name w:val="Rubrik 1 Nr Char"/>
    <w:basedOn w:val="Rubrik1Char"/>
    <w:link w:val="Rubrik1Nr"/>
    <w:uiPriority w:val="9"/>
    <w:locked/>
    <w:rsid w:val="00910F64"/>
    <w:rPr>
      <w:rFonts w:ascii="Times New Roman" w:eastAsiaTheme="majorEastAsia" w:hAnsi="Times New Roman" w:cs="Times New Roman"/>
      <w:b/>
      <w:bCs/>
      <w:noProof/>
      <w:sz w:val="24"/>
      <w:szCs w:val="24"/>
    </w:rPr>
  </w:style>
  <w:style w:type="character" w:customStyle="1" w:styleId="Rubrik2NrChar">
    <w:name w:val="Rubrik 2 Nr Char"/>
    <w:basedOn w:val="Rubrik2Char"/>
    <w:link w:val="Rubrik2Nr"/>
    <w:uiPriority w:val="9"/>
    <w:locked/>
    <w:rsid w:val="00910F64"/>
    <w:rPr>
      <w:rFonts w:ascii="Times New Roman" w:eastAsiaTheme="majorEastAsia" w:hAnsi="Times New Roman" w:cs="Times New Roman"/>
      <w:b/>
      <w:i/>
      <w:sz w:val="26"/>
      <w:szCs w:val="26"/>
    </w:rPr>
  </w:style>
  <w:style w:type="character" w:customStyle="1" w:styleId="Rubrik3NrChar">
    <w:name w:val="Rubrik 3 Nr Char"/>
    <w:basedOn w:val="Rubrik3Char"/>
    <w:link w:val="Rubrik3Nr"/>
    <w:uiPriority w:val="9"/>
    <w:locked/>
    <w:rsid w:val="00910F64"/>
    <w:rPr>
      <w:rFonts w:ascii="Times New Roman" w:eastAsiaTheme="majorEastAsia" w:hAnsi="Times New Roman" w:cs="Times New Roman"/>
      <w:i/>
      <w:sz w:val="28"/>
      <w:szCs w:val="28"/>
    </w:rPr>
  </w:style>
  <w:style w:type="paragraph" w:customStyle="1" w:styleId="NummerlistaNV">
    <w:name w:val="Nummerlista NV"/>
    <w:basedOn w:val="Normal"/>
    <w:uiPriority w:val="99"/>
    <w:qFormat/>
    <w:rsid w:val="00C474A0"/>
    <w:pPr>
      <w:numPr>
        <w:numId w:val="4"/>
      </w:numPr>
      <w:tabs>
        <w:tab w:val="left" w:pos="720"/>
      </w:tabs>
      <w:spacing w:after="30"/>
    </w:pPr>
  </w:style>
  <w:style w:type="paragraph" w:customStyle="1" w:styleId="PunktlistaNV">
    <w:name w:val="Punktlista NV"/>
    <w:basedOn w:val="Normal"/>
    <w:uiPriority w:val="99"/>
    <w:qFormat/>
    <w:rsid w:val="00C474A0"/>
    <w:pPr>
      <w:numPr>
        <w:numId w:val="5"/>
      </w:numPr>
      <w:tabs>
        <w:tab w:val="left" w:pos="720"/>
      </w:tabs>
      <w:spacing w:after="30"/>
    </w:pPr>
  </w:style>
  <w:style w:type="paragraph" w:customStyle="1" w:styleId="InledandeRubrik">
    <w:name w:val="Inledande Rubrik"/>
    <w:basedOn w:val="Rubrik1"/>
    <w:next w:val="Normal"/>
    <w:qFormat/>
    <w:rsid w:val="000E2C4B"/>
    <w:pPr>
      <w:spacing w:before="0" w:after="240"/>
    </w:pPr>
  </w:style>
  <w:style w:type="table" w:styleId="Tabellrutnt">
    <w:name w:val="Table Grid"/>
    <w:basedOn w:val="Normaltabell"/>
    <w:uiPriority w:val="59"/>
    <w:rsid w:val="0073786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rsid w:val="0073786D"/>
    <w:rPr>
      <w:rFonts w:ascii="Tahoma" w:hAnsi="Tahoma" w:cs="Tahoma"/>
      <w:sz w:val="16"/>
      <w:szCs w:val="16"/>
    </w:rPr>
  </w:style>
  <w:style w:type="character" w:customStyle="1" w:styleId="BubbeltextChar">
    <w:name w:val="Bubbeltext Char"/>
    <w:basedOn w:val="Standardstycketypsnitt"/>
    <w:link w:val="Bubbeltext"/>
    <w:uiPriority w:val="99"/>
    <w:semiHidden/>
    <w:locked/>
    <w:rsid w:val="0073786D"/>
    <w:rPr>
      <w:rFonts w:ascii="Tahoma" w:hAnsi="Tahoma" w:cs="Tahoma"/>
      <w:sz w:val="16"/>
      <w:szCs w:val="16"/>
    </w:rPr>
  </w:style>
  <w:style w:type="paragraph" w:styleId="Normalwebb">
    <w:name w:val="Normal (Web)"/>
    <w:basedOn w:val="Normal"/>
    <w:uiPriority w:val="99"/>
    <w:unhideWhenUsed/>
    <w:rsid w:val="00814386"/>
    <w:pPr>
      <w:spacing w:before="100" w:beforeAutospacing="1" w:after="100" w:afterAutospacing="1"/>
    </w:pPr>
    <w:rPr>
      <w:rFonts w:ascii="Times" w:eastAsiaTheme="minorEastAsia" w:hAnsi="Times"/>
      <w:sz w:val="20"/>
      <w:szCs w:val="20"/>
      <w:lang w:eastAsia="sv-SE"/>
    </w:rPr>
  </w:style>
  <w:style w:type="character" w:styleId="Hyperlnk">
    <w:name w:val="Hyperlink"/>
    <w:basedOn w:val="Standardstycketypsnitt"/>
    <w:uiPriority w:val="99"/>
    <w:unhideWhenUsed/>
    <w:rsid w:val="00814386"/>
    <w:rPr>
      <w:color w:val="0000FF" w:themeColor="hyperlink"/>
      <w:u w:val="single"/>
    </w:rPr>
  </w:style>
  <w:style w:type="paragraph" w:styleId="Fotnotstext">
    <w:name w:val="footnote text"/>
    <w:basedOn w:val="Normal"/>
    <w:link w:val="FotnotstextChar"/>
    <w:uiPriority w:val="99"/>
    <w:unhideWhenUsed/>
    <w:rsid w:val="00814386"/>
    <w:rPr>
      <w:rFonts w:asciiTheme="minorHAnsi" w:eastAsiaTheme="minorEastAsia" w:hAnsiTheme="minorHAnsi" w:cstheme="minorBidi"/>
      <w:szCs w:val="24"/>
      <w:lang w:eastAsia="sv-SE"/>
    </w:rPr>
  </w:style>
  <w:style w:type="character" w:customStyle="1" w:styleId="FotnotstextChar">
    <w:name w:val="Fotnotstext Char"/>
    <w:basedOn w:val="Standardstycketypsnitt"/>
    <w:link w:val="Fotnotstext"/>
    <w:uiPriority w:val="99"/>
    <w:rsid w:val="00814386"/>
    <w:rPr>
      <w:rFonts w:eastAsiaTheme="minorEastAsia" w:cstheme="minorBidi"/>
      <w:sz w:val="24"/>
      <w:szCs w:val="24"/>
      <w:lang w:eastAsia="sv-SE"/>
    </w:rPr>
  </w:style>
  <w:style w:type="character" w:styleId="Fotnotsreferens">
    <w:name w:val="footnote reference"/>
    <w:basedOn w:val="Standardstycketypsnitt"/>
    <w:uiPriority w:val="99"/>
    <w:unhideWhenUsed/>
    <w:rsid w:val="00814386"/>
    <w:rPr>
      <w:vertAlign w:val="superscript"/>
    </w:rPr>
  </w:style>
  <w:style w:type="table" w:styleId="Ljusskuggning-dekorfrg5">
    <w:name w:val="Light Shading Accent 5"/>
    <w:basedOn w:val="Normaltabell"/>
    <w:uiPriority w:val="60"/>
    <w:rsid w:val="00814386"/>
    <w:pPr>
      <w:spacing w:after="0" w:line="240" w:lineRule="auto"/>
    </w:pPr>
    <w:rPr>
      <w:rFonts w:eastAsiaTheme="minorEastAsia" w:cstheme="minorBidi"/>
      <w:color w:val="848851" w:themeColor="accent5" w:themeShade="BF"/>
      <w:sz w:val="24"/>
      <w:szCs w:val="24"/>
      <w:lang w:eastAsia="sv-SE"/>
    </w:rPr>
    <w:tblPr>
      <w:tblStyleRowBandSize w:val="1"/>
      <w:tblStyleColBandSize w:val="1"/>
      <w:tblInd w:w="0" w:type="dxa"/>
      <w:tblBorders>
        <w:top w:val="single" w:sz="8" w:space="0" w:color="AAAD75" w:themeColor="accent5"/>
        <w:bottom w:val="single" w:sz="8" w:space="0" w:color="AAAD7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AD75" w:themeColor="accent5"/>
          <w:left w:val="nil"/>
          <w:bottom w:val="single" w:sz="8" w:space="0" w:color="AAAD75" w:themeColor="accent5"/>
          <w:right w:val="nil"/>
          <w:insideH w:val="nil"/>
          <w:insideV w:val="nil"/>
        </w:tcBorders>
      </w:tcPr>
    </w:tblStylePr>
    <w:tblStylePr w:type="lastRow">
      <w:pPr>
        <w:spacing w:before="0" w:after="0" w:line="240" w:lineRule="auto"/>
      </w:pPr>
      <w:rPr>
        <w:b/>
        <w:bCs/>
      </w:rPr>
      <w:tblPr/>
      <w:tcPr>
        <w:tcBorders>
          <w:top w:val="single" w:sz="8" w:space="0" w:color="AAAD75" w:themeColor="accent5"/>
          <w:left w:val="nil"/>
          <w:bottom w:val="single" w:sz="8" w:space="0" w:color="AAAD7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ADC" w:themeFill="accent5" w:themeFillTint="3F"/>
      </w:tcPr>
    </w:tblStylePr>
    <w:tblStylePr w:type="band1Horz">
      <w:tblPr/>
      <w:tcPr>
        <w:tcBorders>
          <w:left w:val="nil"/>
          <w:right w:val="nil"/>
          <w:insideH w:val="nil"/>
          <w:insideV w:val="nil"/>
        </w:tcBorders>
        <w:shd w:val="clear" w:color="auto" w:fill="E9EADC" w:themeFill="accent5" w:themeFillTint="3F"/>
      </w:tcPr>
    </w:tblStylePr>
  </w:style>
  <w:style w:type="paragraph" w:customStyle="1" w:styleId="Beslutsmeningar">
    <w:name w:val="Beslutsmeningar"/>
    <w:basedOn w:val="Normal"/>
    <w:semiHidden/>
    <w:rsid w:val="00521ABC"/>
  </w:style>
  <w:style w:type="character" w:styleId="Kommentarsreferens">
    <w:name w:val="annotation reference"/>
    <w:basedOn w:val="Standardstycketypsnitt"/>
    <w:uiPriority w:val="99"/>
    <w:semiHidden/>
    <w:unhideWhenUsed/>
    <w:rsid w:val="004721ED"/>
    <w:rPr>
      <w:sz w:val="16"/>
      <w:szCs w:val="16"/>
    </w:rPr>
  </w:style>
  <w:style w:type="paragraph" w:styleId="Kommentarer">
    <w:name w:val="annotation text"/>
    <w:basedOn w:val="Normal"/>
    <w:link w:val="KommentarerChar"/>
    <w:uiPriority w:val="99"/>
    <w:semiHidden/>
    <w:unhideWhenUsed/>
    <w:rsid w:val="004721ED"/>
    <w:rPr>
      <w:sz w:val="20"/>
      <w:szCs w:val="20"/>
    </w:rPr>
  </w:style>
  <w:style w:type="character" w:customStyle="1" w:styleId="KommentarerChar">
    <w:name w:val="Kommentarer Char"/>
    <w:basedOn w:val="Standardstycketypsnitt"/>
    <w:link w:val="Kommentarer"/>
    <w:uiPriority w:val="99"/>
    <w:semiHidden/>
    <w:rsid w:val="004721ED"/>
    <w:rPr>
      <w:rFonts w:ascii="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4721ED"/>
    <w:rPr>
      <w:b/>
      <w:bCs/>
    </w:rPr>
  </w:style>
  <w:style w:type="character" w:customStyle="1" w:styleId="KommentarsmneChar">
    <w:name w:val="Kommentarsämne Char"/>
    <w:basedOn w:val="KommentarerChar"/>
    <w:link w:val="Kommentarsmne"/>
    <w:uiPriority w:val="99"/>
    <w:semiHidden/>
    <w:rsid w:val="004721E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mo.nu"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fsa.europa.eu/en/scdocs/doc/37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5DB5-FBE0-7D4E-AF36-9B2EBE5B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9916</Characters>
  <Application>Microsoft Macintosh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Naturvårdsverket</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Larsson, Kristina</dc:creator>
  <cp:keywords>NV Brev Eng</cp:keywords>
  <dc:description>Office2010 2012-03-28</dc:description>
  <cp:lastModifiedBy>Melanie Josefsson</cp:lastModifiedBy>
  <cp:revision>2</cp:revision>
  <cp:lastPrinted>2016-05-09T09:56:00Z</cp:lastPrinted>
  <dcterms:created xsi:type="dcterms:W3CDTF">2016-05-09T10:32:00Z</dcterms:created>
  <dcterms:modified xsi:type="dcterms:W3CDTF">2016-05-09T10:32:00Z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sNamn">
    <vt:lpwstr>Brev Eng.dotm</vt:lpwstr>
  </property>
</Properties>
</file>