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28F" w:rsidRDefault="000F128F" w:rsidP="000F128F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imes New Roman Bold" w:eastAsia="Times New Roman" w:hAnsi="Times New Roman Bold" w:cs="Times New Roman Bold"/>
          <w:b/>
          <w:caps/>
          <w:sz w:val="24"/>
          <w:szCs w:val="24"/>
          <w:lang w:val="en-US" w:eastAsia="en-CA"/>
        </w:rPr>
      </w:pPr>
      <w:bookmarkStart w:id="0" w:name="_GoBack"/>
      <w:bookmarkEnd w:id="0"/>
      <w:r w:rsidRPr="00D724DF">
        <w:rPr>
          <w:rFonts w:ascii="Times New Roman Bold" w:eastAsia="Times New Roman" w:hAnsi="Times New Roman Bold" w:cs="Times New Roman Bold"/>
          <w:b/>
          <w:caps/>
          <w:sz w:val="24"/>
          <w:szCs w:val="24"/>
          <w:lang w:val="x-none" w:eastAsia="en-CA"/>
        </w:rPr>
        <w:t xml:space="preserve">template for comments </w:t>
      </w:r>
      <w:r w:rsidRPr="00D724DF">
        <w:rPr>
          <w:rFonts w:ascii="Times New Roman Bold" w:eastAsia="Times New Roman" w:hAnsi="Times New Roman Bold" w:cs="Times New Roman Bold"/>
          <w:b/>
          <w:caps/>
          <w:sz w:val="24"/>
          <w:szCs w:val="24"/>
          <w:lang w:val="en-US" w:eastAsia="en-CA"/>
        </w:rPr>
        <w:t>on THE</w:t>
      </w:r>
      <w:r w:rsidR="00DA7BAD">
        <w:rPr>
          <w:rFonts w:ascii="Times New Roman Bold" w:eastAsia="Times New Roman" w:hAnsi="Times New Roman Bold" w:cs="Times New Roman Bold"/>
          <w:b/>
          <w:caps/>
          <w:sz w:val="24"/>
          <w:szCs w:val="24"/>
          <w:lang w:val="en-US" w:eastAsia="en-CA"/>
        </w:rPr>
        <w:t xml:space="preserve"> </w:t>
      </w:r>
      <w:r w:rsidR="00DA7BAD" w:rsidRPr="00DA7BAD">
        <w:rPr>
          <w:rFonts w:ascii="Times New Roman Bold" w:eastAsia="Times New Roman" w:hAnsi="Times New Roman Bold" w:cs="Times New Roman Bold"/>
          <w:b/>
          <w:caps/>
          <w:sz w:val="24"/>
          <w:szCs w:val="24"/>
          <w:lang w:val="en-US" w:eastAsia="en-CA"/>
        </w:rPr>
        <w:t>draft report of discussions</w:t>
      </w:r>
      <w:r w:rsidR="00DA7BAD">
        <w:rPr>
          <w:rFonts w:ascii="Times New Roman Bold" w:eastAsia="Times New Roman" w:hAnsi="Times New Roman Bold" w:cs="Times New Roman Bold"/>
          <w:b/>
          <w:caps/>
          <w:sz w:val="24"/>
          <w:szCs w:val="24"/>
          <w:lang w:val="en-US" w:eastAsia="en-CA"/>
        </w:rPr>
        <w:t xml:space="preserve"> OF </w:t>
      </w:r>
      <w:r w:rsidR="00DA7BAD" w:rsidRPr="00DA7BAD">
        <w:rPr>
          <w:rFonts w:ascii="Times New Roman Bold" w:eastAsia="Times New Roman" w:hAnsi="Times New Roman Bold" w:cs="Times New Roman Bold"/>
          <w:b/>
          <w:caps/>
          <w:sz w:val="24"/>
          <w:szCs w:val="24"/>
          <w:lang w:val="en-US" w:eastAsia="en-CA"/>
        </w:rPr>
        <w:t xml:space="preserve">the Online Forum on Risk Assessment and Risk Management </w:t>
      </w:r>
    </w:p>
    <w:p w:rsidR="00DA7BAD" w:rsidRPr="00D724DF" w:rsidRDefault="00DA7BAD" w:rsidP="000F128F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imes New Roman Bold" w:eastAsia="Times New Roman" w:hAnsi="Times New Roman Bold" w:cs="Times New Roman Bold"/>
          <w:b/>
          <w:caps/>
          <w:sz w:val="24"/>
          <w:szCs w:val="24"/>
          <w:lang w:val="en-US" w:eastAsia="en-CA"/>
        </w:rPr>
      </w:pPr>
      <w:r>
        <w:rPr>
          <w:rFonts w:ascii="Times New Roman Bold" w:eastAsia="Times New Roman" w:hAnsi="Times New Roman Bold" w:cs="Times New Roman Bold"/>
          <w:b/>
          <w:caps/>
          <w:sz w:val="24"/>
          <w:szCs w:val="24"/>
          <w:lang w:val="en-US" w:eastAsia="en-CA"/>
        </w:rPr>
        <w:t>(</w:t>
      </w:r>
      <w:r w:rsidRPr="00DA7BAD">
        <w:rPr>
          <w:rFonts w:ascii="Times New Roman Bold" w:eastAsia="Times New Roman" w:hAnsi="Times New Roman Bold" w:cs="Times New Roman Bold"/>
          <w:b/>
          <w:caps/>
          <w:sz w:val="24"/>
          <w:szCs w:val="24"/>
          <w:lang w:val="en-US" w:eastAsia="en-CA"/>
        </w:rPr>
        <w:t>29 January-12 February 2018</w:t>
      </w:r>
      <w:r>
        <w:rPr>
          <w:rFonts w:ascii="Times New Roman Bold" w:eastAsia="Times New Roman" w:hAnsi="Times New Roman Bold" w:cs="Times New Roman Bold"/>
          <w:b/>
          <w:caps/>
          <w:sz w:val="24"/>
          <w:szCs w:val="24"/>
          <w:lang w:val="en-US" w:eastAsia="en-CA"/>
        </w:rPr>
        <w:t>)</w:t>
      </w:r>
    </w:p>
    <w:p w:rsidR="000F128F" w:rsidRPr="00D724DF" w:rsidRDefault="000F128F" w:rsidP="00DD0BC8">
      <w:pPr>
        <w:tabs>
          <w:tab w:val="left" w:pos="0"/>
          <w:tab w:val="left" w:pos="6480"/>
        </w:tabs>
        <w:snapToGrid w:val="0"/>
        <w:spacing w:after="0" w:line="240" w:lineRule="auto"/>
        <w:rPr>
          <w:rFonts w:ascii="Times New Roman" w:eastAsia="Times New Roman" w:hAnsi="Times New Roman" w:cs="Times New Roman"/>
          <w:lang w:eastAsia="en-CA"/>
        </w:rPr>
      </w:pPr>
    </w:p>
    <w:tbl>
      <w:tblPr>
        <w:tblStyle w:val="TableGrid"/>
        <w:tblW w:w="10278" w:type="dxa"/>
        <w:tblLook w:val="04A0" w:firstRow="1" w:lastRow="0" w:firstColumn="1" w:lastColumn="0" w:noHBand="0" w:noVBand="1"/>
      </w:tblPr>
      <w:tblGrid>
        <w:gridCol w:w="1728"/>
        <w:gridCol w:w="3330"/>
        <w:gridCol w:w="5220"/>
      </w:tblGrid>
      <w:tr w:rsidR="00D87B6B" w:rsidTr="00D724DF">
        <w:tc>
          <w:tcPr>
            <w:tcW w:w="1728" w:type="dxa"/>
          </w:tcPr>
          <w:p w:rsidR="00D87B6B" w:rsidRPr="00D724DF" w:rsidRDefault="00D87B6B" w:rsidP="00DD0BC8">
            <w:pPr>
              <w:tabs>
                <w:tab w:val="left" w:pos="0"/>
                <w:tab w:val="left" w:pos="6480"/>
              </w:tabs>
              <w:snapToGrid w:val="0"/>
              <w:rPr>
                <w:rFonts w:ascii="Times New Roman" w:eastAsia="Times New Roman" w:hAnsi="Times New Roman" w:cs="Times New Roman"/>
                <w:sz w:val="20"/>
                <w:lang w:eastAsia="en-CA"/>
              </w:rPr>
            </w:pPr>
            <w:r w:rsidRPr="00D724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  <w:t>Paragraph ID #</w:t>
            </w:r>
          </w:p>
        </w:tc>
        <w:tc>
          <w:tcPr>
            <w:tcW w:w="3330" w:type="dxa"/>
          </w:tcPr>
          <w:p w:rsidR="00D87B6B" w:rsidRPr="00D724DF" w:rsidRDefault="00D87B6B" w:rsidP="00DD0BC8">
            <w:pPr>
              <w:tabs>
                <w:tab w:val="left" w:pos="0"/>
                <w:tab w:val="left" w:pos="6480"/>
              </w:tabs>
              <w:snapToGrid w:val="0"/>
              <w:rPr>
                <w:rFonts w:ascii="Times New Roman" w:eastAsia="Times New Roman" w:hAnsi="Times New Roman" w:cs="Times New Roman"/>
                <w:sz w:val="20"/>
                <w:lang w:eastAsia="en-CA"/>
              </w:rPr>
            </w:pPr>
            <w:r w:rsidRPr="00D724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  <w:t>Suggested change</w:t>
            </w:r>
            <w:r w:rsidRPr="00D724DF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val="en-GB" w:eastAsia="en-CA"/>
              </w:rPr>
              <w:t>1</w:t>
            </w:r>
          </w:p>
        </w:tc>
        <w:tc>
          <w:tcPr>
            <w:tcW w:w="5220" w:type="dxa"/>
          </w:tcPr>
          <w:p w:rsidR="00D87B6B" w:rsidRPr="00D724DF" w:rsidRDefault="00D87B6B" w:rsidP="00DD0BC8">
            <w:pPr>
              <w:tabs>
                <w:tab w:val="left" w:pos="0"/>
                <w:tab w:val="left" w:pos="6480"/>
              </w:tabs>
              <w:snapToGrid w:val="0"/>
              <w:rPr>
                <w:rFonts w:ascii="Times New Roman" w:eastAsia="Times New Roman" w:hAnsi="Times New Roman" w:cs="Times New Roman"/>
                <w:sz w:val="20"/>
                <w:lang w:eastAsia="en-CA"/>
              </w:rPr>
            </w:pPr>
            <w:r w:rsidRPr="00D724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  <w:t>Explanation</w:t>
            </w:r>
          </w:p>
        </w:tc>
      </w:tr>
      <w:tr w:rsidR="00D87B6B" w:rsidTr="006961B9">
        <w:tc>
          <w:tcPr>
            <w:tcW w:w="1728" w:type="dxa"/>
          </w:tcPr>
          <w:p w:rsidR="00D87B6B" w:rsidRPr="00F95743" w:rsidRDefault="00F95743" w:rsidP="00DD0BC8">
            <w:pPr>
              <w:tabs>
                <w:tab w:val="left" w:pos="0"/>
                <w:tab w:val="left" w:pos="6480"/>
              </w:tabs>
              <w:snapToGrid w:val="0"/>
              <w:rPr>
                <w:rFonts w:ascii="Times New Roman" w:eastAsia="Times New Roman" w:hAnsi="Times New Roman" w:cs="Times New Roman"/>
                <w:sz w:val="20"/>
                <w:lang w:eastAsia="en-CA"/>
              </w:rPr>
            </w:pPr>
            <w:r w:rsidRPr="00F95743">
              <w:rPr>
                <w:rFonts w:ascii="Times New Roman" w:eastAsia="Times New Roman" w:hAnsi="Times New Roman" w:cs="Times New Roman"/>
                <w:sz w:val="20"/>
                <w:lang w:eastAsia="en-CA"/>
              </w:rPr>
              <w:t>21 second sentence</w:t>
            </w:r>
          </w:p>
        </w:tc>
        <w:tc>
          <w:tcPr>
            <w:tcW w:w="3330" w:type="dxa"/>
          </w:tcPr>
          <w:p w:rsidR="00D87B6B" w:rsidRPr="00F95743" w:rsidRDefault="00F95743" w:rsidP="00DD0BC8">
            <w:pPr>
              <w:tabs>
                <w:tab w:val="left" w:pos="0"/>
                <w:tab w:val="left" w:pos="6480"/>
              </w:tabs>
              <w:snapToGrid w:val="0"/>
              <w:rPr>
                <w:rFonts w:ascii="Times New Roman" w:eastAsia="Times New Roman" w:hAnsi="Times New Roman" w:cs="Times New Roman"/>
                <w:sz w:val="20"/>
                <w:lang w:eastAsia="en-CA"/>
              </w:rPr>
            </w:pPr>
            <w:r w:rsidRPr="00F95743">
              <w:rPr>
                <w:rFonts w:ascii="Times New Roman" w:eastAsia="Times New Roman" w:hAnsi="Times New Roman" w:cs="Times New Roman"/>
                <w:sz w:val="20"/>
                <w:lang w:eastAsia="en-CA"/>
              </w:rPr>
              <w:t>Remove the word “quasi” in the term “quasi-</w:t>
            </w:r>
            <w:r w:rsidR="006961B9">
              <w:rPr>
                <w:rFonts w:ascii="Times New Roman" w:eastAsia="Times New Roman" w:hAnsi="Times New Roman" w:cs="Times New Roman"/>
                <w:sz w:val="20"/>
                <w:lang w:eastAsia="en-CA"/>
              </w:rPr>
              <w:t>‘</w:t>
            </w:r>
            <w:r w:rsidRPr="00F95743">
              <w:rPr>
                <w:rFonts w:ascii="Times New Roman" w:eastAsia="Times New Roman" w:hAnsi="Times New Roman" w:cs="Times New Roman"/>
                <w:sz w:val="20"/>
                <w:lang w:eastAsia="en-CA"/>
              </w:rPr>
              <w:t>agreement</w:t>
            </w:r>
            <w:r w:rsidR="006961B9">
              <w:rPr>
                <w:rFonts w:ascii="Times New Roman" w:eastAsia="Times New Roman" w:hAnsi="Times New Roman" w:cs="Times New Roman"/>
                <w:sz w:val="20"/>
                <w:lang w:eastAsia="en-CA"/>
              </w:rPr>
              <w:t>’</w:t>
            </w:r>
            <w:r w:rsidRPr="00F95743">
              <w:rPr>
                <w:rFonts w:ascii="Times New Roman" w:eastAsia="Times New Roman" w:hAnsi="Times New Roman" w:cs="Times New Roman"/>
                <w:sz w:val="20"/>
                <w:lang w:eastAsia="en-CA"/>
              </w:rPr>
              <w:t>.</w:t>
            </w:r>
          </w:p>
        </w:tc>
        <w:tc>
          <w:tcPr>
            <w:tcW w:w="5220" w:type="dxa"/>
            <w:shd w:val="clear" w:color="auto" w:fill="auto"/>
          </w:tcPr>
          <w:p w:rsidR="00D87B6B" w:rsidRDefault="00F95743" w:rsidP="00DD0BC8">
            <w:pPr>
              <w:tabs>
                <w:tab w:val="left" w:pos="0"/>
                <w:tab w:val="left" w:pos="6480"/>
              </w:tabs>
              <w:snapToGrid w:val="0"/>
              <w:rPr>
                <w:rFonts w:ascii="Times New Roman" w:eastAsia="Times New Roman" w:hAnsi="Times New Roman" w:cs="Times New Roman"/>
                <w:sz w:val="20"/>
                <w:highlight w:val="yellow"/>
                <w:lang w:eastAsia="en-CA"/>
              </w:rPr>
            </w:pPr>
            <w:r w:rsidRPr="006961B9">
              <w:rPr>
                <w:rFonts w:ascii="Times New Roman" w:eastAsia="Times New Roman" w:hAnsi="Times New Roman" w:cs="Times New Roman"/>
                <w:sz w:val="20"/>
                <w:lang w:eastAsia="en-CA"/>
              </w:rPr>
              <w:t>Yes, a submitter did indeed use this term</w:t>
            </w:r>
            <w:r w:rsidR="006961B9" w:rsidRPr="006961B9">
              <w:rPr>
                <w:rFonts w:ascii="Times New Roman" w:eastAsia="Times New Roman" w:hAnsi="Times New Roman" w:cs="Times New Roman"/>
                <w:sz w:val="20"/>
                <w:lang w:eastAsia="en-CA"/>
              </w:rPr>
              <w:t>, but I do not believe this should be carried on further</w:t>
            </w:r>
            <w:r w:rsidRPr="006961B9">
              <w:rPr>
                <w:rFonts w:ascii="Times New Roman" w:eastAsia="Times New Roman" w:hAnsi="Times New Roman" w:cs="Times New Roman"/>
                <w:sz w:val="20"/>
                <w:lang w:eastAsia="en-CA"/>
              </w:rPr>
              <w:t>. I as a part</w:t>
            </w:r>
            <w:r w:rsidR="006961B9" w:rsidRPr="006961B9">
              <w:rPr>
                <w:rFonts w:ascii="Times New Roman" w:eastAsia="Times New Roman" w:hAnsi="Times New Roman" w:cs="Times New Roman"/>
                <w:sz w:val="20"/>
                <w:lang w:eastAsia="en-CA"/>
              </w:rPr>
              <w:t xml:space="preserve">icipant </w:t>
            </w:r>
            <w:r w:rsidR="002E3181">
              <w:rPr>
                <w:rFonts w:ascii="Times New Roman" w:eastAsia="Times New Roman" w:hAnsi="Times New Roman" w:cs="Times New Roman"/>
                <w:sz w:val="20"/>
                <w:lang w:eastAsia="en-CA"/>
              </w:rPr>
              <w:t>in</w:t>
            </w:r>
            <w:r w:rsidR="006961B9" w:rsidRPr="006961B9">
              <w:rPr>
                <w:rFonts w:ascii="Times New Roman" w:eastAsia="Times New Roman" w:hAnsi="Times New Roman" w:cs="Times New Roman"/>
                <w:sz w:val="20"/>
                <w:lang w:eastAsia="en-CA"/>
              </w:rPr>
              <w:t xml:space="preserve"> the online forum took</w:t>
            </w:r>
            <w:r w:rsidRPr="006961B9">
              <w:rPr>
                <w:rFonts w:ascii="Times New Roman" w:eastAsia="Times New Roman" w:hAnsi="Times New Roman" w:cs="Times New Roman"/>
                <w:sz w:val="20"/>
                <w:lang w:eastAsia="en-CA"/>
              </w:rPr>
              <w:t xml:space="preserve"> exception to this term,</w:t>
            </w:r>
            <w:r w:rsidR="006961B9" w:rsidRPr="006961B9">
              <w:rPr>
                <w:rFonts w:ascii="Times New Roman" w:eastAsia="Times New Roman" w:hAnsi="Times New Roman" w:cs="Times New Roman"/>
                <w:sz w:val="20"/>
                <w:lang w:eastAsia="en-CA"/>
              </w:rPr>
              <w:t xml:space="preserve"> even</w:t>
            </w:r>
            <w:r w:rsidR="006961B9">
              <w:rPr>
                <w:rFonts w:ascii="Times New Roman" w:eastAsia="Times New Roman" w:hAnsi="Times New Roman" w:cs="Times New Roman"/>
                <w:sz w:val="20"/>
                <w:lang w:eastAsia="en-CA"/>
              </w:rPr>
              <w:t xml:space="preserve"> if I did not verbally protest,</w:t>
            </w:r>
            <w:r w:rsidRPr="006961B9">
              <w:rPr>
                <w:rFonts w:ascii="Times New Roman" w:eastAsia="Times New Roman" w:hAnsi="Times New Roman" w:cs="Times New Roman"/>
                <w:sz w:val="20"/>
                <w:lang w:eastAsia="en-CA"/>
              </w:rPr>
              <w:t xml:space="preserve"> as we indeed have several COP-MOP decisions tasking the AHTEG on risk assessment to develop the guidance. I would hardly call this a “quasi-agreement”. In the</w:t>
            </w:r>
            <w:r w:rsidR="006961B9">
              <w:rPr>
                <w:rFonts w:ascii="Times New Roman" w:eastAsia="Times New Roman" w:hAnsi="Times New Roman" w:cs="Times New Roman"/>
                <w:sz w:val="20"/>
                <w:lang w:eastAsia="en-CA"/>
              </w:rPr>
              <w:t xml:space="preserve"> interest of holding a civil</w:t>
            </w:r>
            <w:r w:rsidRPr="006961B9">
              <w:rPr>
                <w:rFonts w:ascii="Times New Roman" w:eastAsia="Times New Roman" w:hAnsi="Times New Roman" w:cs="Times New Roman"/>
                <w:sz w:val="20"/>
                <w:lang w:eastAsia="en-CA"/>
              </w:rPr>
              <w:t xml:space="preserve"> </w:t>
            </w:r>
            <w:r w:rsidR="006961B9" w:rsidRPr="006961B9">
              <w:rPr>
                <w:rFonts w:ascii="Times New Roman" w:eastAsia="Times New Roman" w:hAnsi="Times New Roman" w:cs="Times New Roman"/>
                <w:sz w:val="20"/>
                <w:lang w:eastAsia="en-CA"/>
              </w:rPr>
              <w:t xml:space="preserve">and professional </w:t>
            </w:r>
            <w:r w:rsidRPr="006961B9">
              <w:rPr>
                <w:rFonts w:ascii="Times New Roman" w:eastAsia="Times New Roman" w:hAnsi="Times New Roman" w:cs="Times New Roman"/>
                <w:sz w:val="20"/>
                <w:lang w:eastAsia="en-CA"/>
              </w:rPr>
              <w:t>tone to the coming discussions</w:t>
            </w:r>
            <w:r w:rsidR="006961B9" w:rsidRPr="006961B9">
              <w:rPr>
                <w:rFonts w:ascii="Times New Roman" w:eastAsia="Times New Roman" w:hAnsi="Times New Roman" w:cs="Times New Roman"/>
                <w:sz w:val="20"/>
                <w:lang w:eastAsia="en-CA"/>
              </w:rPr>
              <w:t xml:space="preserve"> at SBSTTA I request either deleting this somewhat inflammatory term or </w:t>
            </w:r>
            <w:r w:rsidR="002E3181">
              <w:rPr>
                <w:rFonts w:ascii="Times New Roman" w:eastAsia="Times New Roman" w:hAnsi="Times New Roman" w:cs="Times New Roman"/>
                <w:sz w:val="20"/>
                <w:lang w:eastAsia="en-CA"/>
              </w:rPr>
              <w:t>add an explanation</w:t>
            </w:r>
            <w:r w:rsidR="006961B9" w:rsidRPr="006961B9">
              <w:rPr>
                <w:rFonts w:ascii="Times New Roman" w:eastAsia="Times New Roman" w:hAnsi="Times New Roman" w:cs="Times New Roman"/>
                <w:sz w:val="20"/>
                <w:lang w:eastAsia="en-CA"/>
              </w:rPr>
              <w:t xml:space="preserve"> that there are COP-MOP decisions tasking </w:t>
            </w:r>
            <w:r w:rsidR="002E3181">
              <w:rPr>
                <w:rFonts w:ascii="Times New Roman" w:eastAsia="Times New Roman" w:hAnsi="Times New Roman" w:cs="Times New Roman"/>
                <w:sz w:val="20"/>
                <w:lang w:eastAsia="en-CA"/>
              </w:rPr>
              <w:t>development of the guidance to the AHTEG. A COP-MOP decision</w:t>
            </w:r>
            <w:r w:rsidR="006961B9" w:rsidRPr="006961B9">
              <w:rPr>
                <w:rFonts w:ascii="Times New Roman" w:eastAsia="Times New Roman" w:hAnsi="Times New Roman" w:cs="Times New Roman"/>
                <w:sz w:val="20"/>
                <w:lang w:eastAsia="en-CA"/>
              </w:rPr>
              <w:t xml:space="preserve"> is an international agreement in the full meaning of the term. </w:t>
            </w:r>
          </w:p>
        </w:tc>
      </w:tr>
      <w:tr w:rsidR="00D87B6B" w:rsidTr="00D724DF">
        <w:tc>
          <w:tcPr>
            <w:tcW w:w="1728" w:type="dxa"/>
          </w:tcPr>
          <w:p w:rsidR="00D87B6B" w:rsidRDefault="006961B9" w:rsidP="00DD0BC8">
            <w:pPr>
              <w:tabs>
                <w:tab w:val="left" w:pos="0"/>
                <w:tab w:val="left" w:pos="6480"/>
              </w:tabs>
              <w:snapToGrid w:val="0"/>
              <w:rPr>
                <w:rFonts w:ascii="Times New Roman" w:eastAsia="Times New Roman" w:hAnsi="Times New Roman" w:cs="Times New Roman"/>
                <w:sz w:val="20"/>
                <w:highlight w:val="yellow"/>
                <w:lang w:eastAsia="en-CA"/>
              </w:rPr>
            </w:pPr>
            <w:r w:rsidRPr="006961B9">
              <w:rPr>
                <w:rFonts w:ascii="Times New Roman" w:eastAsia="Times New Roman" w:hAnsi="Times New Roman" w:cs="Times New Roman"/>
                <w:sz w:val="20"/>
                <w:lang w:eastAsia="en-CA"/>
              </w:rPr>
              <w:t>21 third sentence</w:t>
            </w:r>
          </w:p>
        </w:tc>
        <w:tc>
          <w:tcPr>
            <w:tcW w:w="3330" w:type="dxa"/>
          </w:tcPr>
          <w:p w:rsidR="00D87B6B" w:rsidRDefault="00EC2E78" w:rsidP="00DD0BC8">
            <w:pPr>
              <w:tabs>
                <w:tab w:val="left" w:pos="0"/>
                <w:tab w:val="left" w:pos="6480"/>
              </w:tabs>
              <w:snapToGrid w:val="0"/>
              <w:rPr>
                <w:rFonts w:ascii="Times New Roman" w:eastAsia="Times New Roman" w:hAnsi="Times New Roman" w:cs="Times New Roman"/>
                <w:sz w:val="20"/>
                <w:highlight w:val="yellow"/>
                <w:lang w:eastAsia="en-CA"/>
              </w:rPr>
            </w:pPr>
            <w:r w:rsidRPr="00EC2E78">
              <w:rPr>
                <w:rFonts w:ascii="Times New Roman" w:eastAsia="Times New Roman" w:hAnsi="Times New Roman" w:cs="Times New Roman"/>
                <w:sz w:val="20"/>
                <w:lang w:eastAsia="en-CA"/>
              </w:rPr>
              <w:t>Rephrase the sentence</w:t>
            </w:r>
            <w:r w:rsidR="00BB4EE6">
              <w:rPr>
                <w:rFonts w:ascii="Times New Roman" w:eastAsia="Times New Roman" w:hAnsi="Times New Roman" w:cs="Times New Roman"/>
                <w:sz w:val="20"/>
                <w:lang w:eastAsia="en-CA"/>
              </w:rPr>
              <w:t xml:space="preserve"> to;</w:t>
            </w:r>
            <w:r w:rsidRPr="00EC2E78">
              <w:rPr>
                <w:rFonts w:ascii="Times New Roman" w:eastAsia="Times New Roman" w:hAnsi="Times New Roman" w:cs="Times New Roman"/>
                <w:sz w:val="20"/>
                <w:lang w:eastAsia="en-CA"/>
              </w:rPr>
              <w:t xml:space="preserve"> </w:t>
            </w:r>
            <w:r w:rsidR="006961B9" w:rsidRPr="00EC2E78">
              <w:rPr>
                <w:rFonts w:ascii="Times New Roman" w:eastAsia="Times New Roman" w:hAnsi="Times New Roman" w:cs="Times New Roman"/>
                <w:sz w:val="20"/>
                <w:lang w:eastAsia="en-CA"/>
              </w:rPr>
              <w:t xml:space="preserve"> “In a similar vein, some participants welcomed the guidance produced by the RARM AHTEG and have found it </w:t>
            </w:r>
            <w:r w:rsidRPr="00EC2E78">
              <w:rPr>
                <w:rFonts w:ascii="Times New Roman" w:eastAsia="Times New Roman" w:hAnsi="Times New Roman" w:cs="Times New Roman"/>
                <w:sz w:val="20"/>
                <w:lang w:eastAsia="en-CA"/>
              </w:rPr>
              <w:t>‘</w:t>
            </w:r>
            <w:r w:rsidR="006961B9" w:rsidRPr="00EC2E78">
              <w:rPr>
                <w:rFonts w:ascii="Times New Roman" w:eastAsia="Times New Roman" w:hAnsi="Times New Roman" w:cs="Times New Roman"/>
                <w:sz w:val="20"/>
                <w:lang w:eastAsia="en-CA"/>
              </w:rPr>
              <w:t>useful</w:t>
            </w:r>
            <w:r w:rsidRPr="00EC2E78">
              <w:rPr>
                <w:rFonts w:ascii="Times New Roman" w:eastAsia="Times New Roman" w:hAnsi="Times New Roman" w:cs="Times New Roman"/>
                <w:sz w:val="20"/>
                <w:lang w:eastAsia="en-CA"/>
              </w:rPr>
              <w:t>’</w:t>
            </w:r>
            <w:r w:rsidR="006961B9" w:rsidRPr="00EC2E78">
              <w:rPr>
                <w:rFonts w:ascii="Times New Roman" w:eastAsia="Times New Roman" w:hAnsi="Times New Roman" w:cs="Times New Roman"/>
                <w:sz w:val="20"/>
                <w:lang w:eastAsia="en-CA"/>
              </w:rPr>
              <w:t xml:space="preserve">, others have found it </w:t>
            </w:r>
            <w:r w:rsidRPr="00EC2E78">
              <w:rPr>
                <w:rFonts w:ascii="Times New Roman" w:eastAsia="Times New Roman" w:hAnsi="Times New Roman" w:cs="Times New Roman"/>
                <w:sz w:val="20"/>
                <w:lang w:eastAsia="en-CA"/>
              </w:rPr>
              <w:t>‘</w:t>
            </w:r>
            <w:r w:rsidR="006961B9" w:rsidRPr="00EC2E78">
              <w:rPr>
                <w:rFonts w:ascii="Times New Roman" w:eastAsia="Times New Roman" w:hAnsi="Times New Roman" w:cs="Times New Roman"/>
                <w:sz w:val="20"/>
                <w:lang w:eastAsia="en-CA"/>
              </w:rPr>
              <w:t>adequate</w:t>
            </w:r>
            <w:r w:rsidRPr="00EC2E78">
              <w:rPr>
                <w:rFonts w:ascii="Times New Roman" w:eastAsia="Times New Roman" w:hAnsi="Times New Roman" w:cs="Times New Roman"/>
                <w:sz w:val="20"/>
                <w:lang w:eastAsia="en-CA"/>
              </w:rPr>
              <w:t>’</w:t>
            </w:r>
            <w:r w:rsidR="006961B9" w:rsidRPr="00EC2E78">
              <w:rPr>
                <w:rFonts w:ascii="Times New Roman" w:eastAsia="Times New Roman" w:hAnsi="Times New Roman" w:cs="Times New Roman"/>
                <w:sz w:val="20"/>
                <w:lang w:eastAsia="en-CA"/>
              </w:rPr>
              <w:t>, and others disagree as to the value of the guidance.</w:t>
            </w:r>
          </w:p>
        </w:tc>
        <w:tc>
          <w:tcPr>
            <w:tcW w:w="5220" w:type="dxa"/>
          </w:tcPr>
          <w:p w:rsidR="00D87B6B" w:rsidRDefault="00AD7755" w:rsidP="00DD0BC8">
            <w:pPr>
              <w:tabs>
                <w:tab w:val="left" w:pos="0"/>
                <w:tab w:val="left" w:pos="6480"/>
              </w:tabs>
              <w:snapToGrid w:val="0"/>
              <w:rPr>
                <w:rFonts w:ascii="Times New Roman" w:eastAsia="Times New Roman" w:hAnsi="Times New Roman" w:cs="Times New Roman"/>
                <w:sz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en-CA"/>
              </w:rPr>
              <w:t xml:space="preserve">The present sentence is too negative and does not reflect the full range of comments made in the online forum. </w:t>
            </w:r>
            <w:r w:rsidR="006961B9" w:rsidRPr="00EC2E78">
              <w:rPr>
                <w:rFonts w:ascii="Times New Roman" w:eastAsia="Times New Roman" w:hAnsi="Times New Roman" w:cs="Times New Roman"/>
                <w:sz w:val="20"/>
                <w:lang w:eastAsia="en-CA"/>
              </w:rPr>
              <w:t xml:space="preserve">Rephrase the sentence to reflect the full range of comments on the usefulness of the guidance on risk assessment. See </w:t>
            </w:r>
            <w:r w:rsidR="00BB4EE6">
              <w:rPr>
                <w:rFonts w:ascii="Times New Roman" w:eastAsia="Times New Roman" w:hAnsi="Times New Roman" w:cs="Times New Roman"/>
                <w:sz w:val="20"/>
                <w:lang w:eastAsia="en-CA"/>
              </w:rPr>
              <w:t xml:space="preserve">comments </w:t>
            </w:r>
            <w:r w:rsidR="00CF55C7">
              <w:rPr>
                <w:rFonts w:ascii="Times New Roman" w:eastAsia="Times New Roman" w:hAnsi="Times New Roman" w:cs="Times New Roman"/>
                <w:sz w:val="20"/>
                <w:lang w:eastAsia="en-CA"/>
              </w:rPr>
              <w:t>#8919,</w:t>
            </w:r>
            <w:r>
              <w:rPr>
                <w:rFonts w:ascii="Times New Roman" w:eastAsia="Times New Roman" w:hAnsi="Times New Roman" w:cs="Times New Roman"/>
                <w:sz w:val="20"/>
                <w:lang w:eastAsia="en-CA"/>
              </w:rPr>
              <w:t xml:space="preserve"> </w:t>
            </w:r>
            <w:r w:rsidR="00CF55C7">
              <w:rPr>
                <w:rFonts w:ascii="Times New Roman" w:eastAsia="Times New Roman" w:hAnsi="Times New Roman" w:cs="Times New Roman"/>
                <w:sz w:val="20"/>
                <w:lang w:eastAsia="en-CA"/>
              </w:rPr>
              <w:t>8918,</w:t>
            </w:r>
            <w:r w:rsidR="00C84E6A">
              <w:rPr>
                <w:rFonts w:ascii="Times New Roman" w:eastAsia="Times New Roman" w:hAnsi="Times New Roman" w:cs="Times New Roman"/>
                <w:sz w:val="20"/>
                <w:lang w:eastAsia="en-CA"/>
              </w:rPr>
              <w:t xml:space="preserve"> </w:t>
            </w:r>
            <w:r w:rsidR="00CF55C7">
              <w:rPr>
                <w:rFonts w:ascii="Times New Roman" w:eastAsia="Times New Roman" w:hAnsi="Times New Roman" w:cs="Times New Roman"/>
                <w:sz w:val="20"/>
                <w:lang w:eastAsia="en-CA"/>
              </w:rPr>
              <w:t>8891</w:t>
            </w:r>
            <w:r>
              <w:rPr>
                <w:rFonts w:ascii="Times New Roman" w:eastAsia="Times New Roman" w:hAnsi="Times New Roman" w:cs="Times New Roman"/>
                <w:sz w:val="20"/>
                <w:lang w:eastAsia="en-CA"/>
              </w:rPr>
              <w:t xml:space="preserve"> etc.</w:t>
            </w:r>
            <w:r w:rsidR="00CF55C7">
              <w:rPr>
                <w:rFonts w:ascii="Times New Roman" w:eastAsia="Times New Roman" w:hAnsi="Times New Roman" w:cs="Times New Roman"/>
                <w:sz w:val="20"/>
                <w:lang w:eastAsia="en-CA"/>
              </w:rPr>
              <w:t xml:space="preserve"> </w:t>
            </w:r>
          </w:p>
          <w:p w:rsidR="00CF55C7" w:rsidRDefault="00CF55C7" w:rsidP="00DD0BC8">
            <w:pPr>
              <w:tabs>
                <w:tab w:val="left" w:pos="0"/>
                <w:tab w:val="left" w:pos="6480"/>
              </w:tabs>
              <w:snapToGrid w:val="0"/>
              <w:rPr>
                <w:rFonts w:ascii="Times New Roman" w:eastAsia="Times New Roman" w:hAnsi="Times New Roman" w:cs="Times New Roman"/>
                <w:sz w:val="20"/>
                <w:highlight w:val="yellow"/>
                <w:lang w:eastAsia="en-CA"/>
              </w:rPr>
            </w:pPr>
          </w:p>
        </w:tc>
      </w:tr>
      <w:tr w:rsidR="00D87B6B" w:rsidTr="00D724DF">
        <w:tc>
          <w:tcPr>
            <w:tcW w:w="1728" w:type="dxa"/>
          </w:tcPr>
          <w:p w:rsidR="00D87B6B" w:rsidRPr="00BB4EE6" w:rsidRDefault="00BB4EE6" w:rsidP="00DD0BC8">
            <w:pPr>
              <w:tabs>
                <w:tab w:val="left" w:pos="0"/>
                <w:tab w:val="left" w:pos="6480"/>
              </w:tabs>
              <w:snapToGrid w:val="0"/>
              <w:rPr>
                <w:rFonts w:ascii="Times New Roman" w:eastAsia="Times New Roman" w:hAnsi="Times New Roman" w:cs="Times New Roman"/>
                <w:sz w:val="20"/>
                <w:lang w:eastAsia="en-CA"/>
              </w:rPr>
            </w:pPr>
            <w:r w:rsidRPr="00BB4EE6">
              <w:rPr>
                <w:rFonts w:ascii="Times New Roman" w:eastAsia="Times New Roman" w:hAnsi="Times New Roman" w:cs="Times New Roman"/>
                <w:sz w:val="20"/>
                <w:lang w:eastAsia="en-CA"/>
              </w:rPr>
              <w:t>22 first sentence</w:t>
            </w:r>
          </w:p>
        </w:tc>
        <w:tc>
          <w:tcPr>
            <w:tcW w:w="3330" w:type="dxa"/>
          </w:tcPr>
          <w:p w:rsidR="00D87B6B" w:rsidRPr="00BB4EE6" w:rsidRDefault="00BB4EE6" w:rsidP="00DD0BC8">
            <w:pPr>
              <w:tabs>
                <w:tab w:val="left" w:pos="0"/>
                <w:tab w:val="left" w:pos="6480"/>
              </w:tabs>
              <w:snapToGrid w:val="0"/>
              <w:rPr>
                <w:rFonts w:ascii="Times New Roman" w:eastAsia="Times New Roman" w:hAnsi="Times New Roman" w:cs="Times New Roman"/>
                <w:sz w:val="20"/>
                <w:lang w:eastAsia="en-CA"/>
              </w:rPr>
            </w:pPr>
            <w:r w:rsidRPr="00BB4EE6">
              <w:rPr>
                <w:rFonts w:ascii="Times New Roman" w:eastAsia="Times New Roman" w:hAnsi="Times New Roman" w:cs="Times New Roman"/>
                <w:sz w:val="20"/>
                <w:lang w:eastAsia="en-CA"/>
              </w:rPr>
              <w:t>Change “</w:t>
            </w:r>
            <w:r w:rsidRPr="00BB4EE6">
              <w:rPr>
                <w:rFonts w:ascii="Times New Roman" w:eastAsia="Times New Roman" w:hAnsi="Times New Roman" w:cs="Times New Roman"/>
                <w:b/>
                <w:sz w:val="20"/>
                <w:lang w:eastAsia="en-CA"/>
              </w:rPr>
              <w:t>One</w:t>
            </w:r>
            <w:r w:rsidRPr="00BB4EE6">
              <w:rPr>
                <w:rFonts w:ascii="Times New Roman" w:eastAsia="Times New Roman" w:hAnsi="Times New Roman" w:cs="Times New Roman"/>
                <w:sz w:val="20"/>
                <w:lang w:eastAsia="en-CA"/>
              </w:rPr>
              <w:t xml:space="preserve"> intervention…” to “</w:t>
            </w:r>
            <w:r w:rsidRPr="00BB4EE6">
              <w:rPr>
                <w:rFonts w:ascii="Times New Roman" w:eastAsia="Times New Roman" w:hAnsi="Times New Roman" w:cs="Times New Roman"/>
                <w:b/>
                <w:sz w:val="20"/>
                <w:lang w:eastAsia="en-CA"/>
              </w:rPr>
              <w:t>Several</w:t>
            </w:r>
            <w:r w:rsidRPr="00BB4EE6">
              <w:rPr>
                <w:rFonts w:ascii="Times New Roman" w:eastAsia="Times New Roman" w:hAnsi="Times New Roman" w:cs="Times New Roman"/>
                <w:sz w:val="20"/>
                <w:lang w:eastAsia="en-CA"/>
              </w:rPr>
              <w:t xml:space="preserve"> interventions…”</w:t>
            </w:r>
          </w:p>
        </w:tc>
        <w:tc>
          <w:tcPr>
            <w:tcW w:w="5220" w:type="dxa"/>
          </w:tcPr>
          <w:p w:rsidR="00D87B6B" w:rsidRPr="00BB4EE6" w:rsidRDefault="00BB4EE6" w:rsidP="00DD0BC8">
            <w:pPr>
              <w:tabs>
                <w:tab w:val="left" w:pos="0"/>
                <w:tab w:val="left" w:pos="6480"/>
              </w:tabs>
              <w:snapToGrid w:val="0"/>
              <w:rPr>
                <w:rFonts w:ascii="Times New Roman" w:eastAsia="Times New Roman" w:hAnsi="Times New Roman" w:cs="Times New Roman"/>
                <w:sz w:val="20"/>
                <w:lang w:eastAsia="en-CA"/>
              </w:rPr>
            </w:pPr>
            <w:r w:rsidRPr="00BB4EE6">
              <w:rPr>
                <w:rFonts w:ascii="Times New Roman" w:eastAsia="Times New Roman" w:hAnsi="Times New Roman" w:cs="Times New Roman"/>
                <w:sz w:val="20"/>
                <w:lang w:eastAsia="en-CA"/>
              </w:rPr>
              <w:t>See also comments in #8859</w:t>
            </w:r>
            <w:r w:rsidR="0072457E">
              <w:rPr>
                <w:rFonts w:ascii="Times New Roman" w:eastAsia="Times New Roman" w:hAnsi="Times New Roman" w:cs="Times New Roman"/>
                <w:sz w:val="20"/>
                <w:lang w:eastAsia="en-CA"/>
              </w:rPr>
              <w:t>, 8875</w:t>
            </w:r>
            <w:r w:rsidRPr="00BB4EE6">
              <w:rPr>
                <w:rFonts w:ascii="Times New Roman" w:eastAsia="Times New Roman" w:hAnsi="Times New Roman" w:cs="Times New Roman"/>
                <w:sz w:val="20"/>
                <w:lang w:eastAsia="en-CA"/>
              </w:rPr>
              <w:t xml:space="preserve"> among others</w:t>
            </w:r>
          </w:p>
        </w:tc>
      </w:tr>
      <w:tr w:rsidR="00BB4EE6" w:rsidTr="00D724DF">
        <w:tc>
          <w:tcPr>
            <w:tcW w:w="1728" w:type="dxa"/>
          </w:tcPr>
          <w:p w:rsidR="00BB4EE6" w:rsidRPr="00BD5963" w:rsidRDefault="00BB4EE6" w:rsidP="00DD0BC8">
            <w:pPr>
              <w:tabs>
                <w:tab w:val="left" w:pos="0"/>
                <w:tab w:val="left" w:pos="6480"/>
              </w:tabs>
              <w:snapToGrid w:val="0"/>
              <w:rPr>
                <w:rFonts w:ascii="Times New Roman" w:eastAsia="Times New Roman" w:hAnsi="Times New Roman" w:cs="Times New Roman"/>
                <w:sz w:val="20"/>
                <w:lang w:eastAsia="en-CA"/>
              </w:rPr>
            </w:pPr>
            <w:r w:rsidRPr="00BD5963">
              <w:rPr>
                <w:rFonts w:ascii="Times New Roman" w:eastAsia="Times New Roman" w:hAnsi="Times New Roman" w:cs="Times New Roman"/>
                <w:sz w:val="20"/>
                <w:lang w:eastAsia="en-CA"/>
              </w:rPr>
              <w:t>43 heading and paragraph</w:t>
            </w:r>
          </w:p>
        </w:tc>
        <w:tc>
          <w:tcPr>
            <w:tcW w:w="3330" w:type="dxa"/>
          </w:tcPr>
          <w:p w:rsidR="00BB4EE6" w:rsidRPr="00BD5963" w:rsidRDefault="00BB4EE6" w:rsidP="00DD0BC8">
            <w:pPr>
              <w:tabs>
                <w:tab w:val="left" w:pos="0"/>
                <w:tab w:val="left" w:pos="6480"/>
              </w:tabs>
              <w:snapToGrid w:val="0"/>
              <w:rPr>
                <w:rFonts w:ascii="Times New Roman" w:eastAsia="Times New Roman" w:hAnsi="Times New Roman" w:cs="Times New Roman"/>
                <w:sz w:val="20"/>
                <w:lang w:eastAsia="en-CA"/>
              </w:rPr>
            </w:pPr>
            <w:r w:rsidRPr="00BD5963">
              <w:rPr>
                <w:rFonts w:ascii="Times New Roman" w:eastAsia="Times New Roman" w:hAnsi="Times New Roman" w:cs="Times New Roman"/>
                <w:sz w:val="20"/>
                <w:lang w:eastAsia="en-CA"/>
              </w:rPr>
              <w:t xml:space="preserve">Move </w:t>
            </w:r>
            <w:r w:rsidR="00BD5963" w:rsidRPr="00BD5963">
              <w:rPr>
                <w:rFonts w:ascii="Times New Roman" w:eastAsia="Times New Roman" w:hAnsi="Times New Roman" w:cs="Times New Roman"/>
                <w:sz w:val="20"/>
                <w:lang w:eastAsia="en-CA"/>
              </w:rPr>
              <w:t xml:space="preserve">the heading and </w:t>
            </w:r>
            <w:r w:rsidRPr="00BD5963">
              <w:rPr>
                <w:rFonts w:ascii="Times New Roman" w:eastAsia="Times New Roman" w:hAnsi="Times New Roman" w:cs="Times New Roman"/>
                <w:sz w:val="20"/>
                <w:lang w:eastAsia="en-CA"/>
              </w:rPr>
              <w:t>paragraph 43 to Section 3, as it is here the topic of identifying the need for additio</w:t>
            </w:r>
            <w:r w:rsidR="00211D49">
              <w:rPr>
                <w:rFonts w:ascii="Times New Roman" w:eastAsia="Times New Roman" w:hAnsi="Times New Roman" w:cs="Times New Roman"/>
                <w:sz w:val="20"/>
                <w:lang w:eastAsia="en-CA"/>
              </w:rPr>
              <w:t>nal guidance on specific topics is presented</w:t>
            </w:r>
          </w:p>
        </w:tc>
        <w:tc>
          <w:tcPr>
            <w:tcW w:w="5220" w:type="dxa"/>
          </w:tcPr>
          <w:p w:rsidR="00BB4EE6" w:rsidRPr="00BD5963" w:rsidRDefault="00D021EF" w:rsidP="00DD0BC8">
            <w:pPr>
              <w:tabs>
                <w:tab w:val="left" w:pos="0"/>
                <w:tab w:val="left" w:pos="6480"/>
              </w:tabs>
              <w:snapToGrid w:val="0"/>
              <w:rPr>
                <w:rFonts w:ascii="Times New Roman" w:eastAsia="Times New Roman" w:hAnsi="Times New Roman" w:cs="Times New Roman"/>
                <w:sz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en-CA"/>
              </w:rPr>
              <w:t xml:space="preserve"># 43 is an “orphan” paragraph. </w:t>
            </w:r>
            <w:r w:rsidR="00BD5963" w:rsidRPr="00BD5963">
              <w:rPr>
                <w:rFonts w:ascii="Times New Roman" w:eastAsia="Times New Roman" w:hAnsi="Times New Roman" w:cs="Times New Roman"/>
                <w:sz w:val="20"/>
                <w:lang w:eastAsia="en-CA"/>
              </w:rPr>
              <w:t xml:space="preserve">The document is more readable if all comments pertaining to a question/topic are combined under the relevant heading. The submission belongs to topic 3 even if it was </w:t>
            </w:r>
            <w:r>
              <w:rPr>
                <w:rFonts w:ascii="Times New Roman" w:eastAsia="Times New Roman" w:hAnsi="Times New Roman" w:cs="Times New Roman"/>
                <w:sz w:val="20"/>
                <w:lang w:eastAsia="en-CA"/>
              </w:rPr>
              <w:t>submitted</w:t>
            </w:r>
            <w:r w:rsidR="00BD5963" w:rsidRPr="00BD5963">
              <w:rPr>
                <w:rFonts w:ascii="Times New Roman" w:eastAsia="Times New Roman" w:hAnsi="Times New Roman" w:cs="Times New Roman"/>
                <w:sz w:val="20"/>
                <w:lang w:eastAsia="en-CA"/>
              </w:rPr>
              <w:t xml:space="preserve"> under topic 2. A combined consideration of the question is only possible if editorial corrections are made to bring submissions to</w:t>
            </w:r>
            <w:r>
              <w:rPr>
                <w:rFonts w:ascii="Times New Roman" w:eastAsia="Times New Roman" w:hAnsi="Times New Roman" w:cs="Times New Roman"/>
                <w:sz w:val="20"/>
                <w:lang w:eastAsia="en-CA"/>
              </w:rPr>
              <w:t>gether in</w:t>
            </w:r>
            <w:r w:rsidR="00BD5963" w:rsidRPr="00BD5963">
              <w:rPr>
                <w:rFonts w:ascii="Times New Roman" w:eastAsia="Times New Roman" w:hAnsi="Times New Roman" w:cs="Times New Roman"/>
                <w:sz w:val="20"/>
                <w:lang w:eastAsia="en-CA"/>
              </w:rPr>
              <w:t xml:space="preserve"> the proper place in the document.</w:t>
            </w:r>
          </w:p>
        </w:tc>
      </w:tr>
      <w:tr w:rsidR="00BB4EE6" w:rsidTr="00D724DF">
        <w:tc>
          <w:tcPr>
            <w:tcW w:w="1728" w:type="dxa"/>
          </w:tcPr>
          <w:p w:rsidR="00BB4EE6" w:rsidRPr="00BD5963" w:rsidRDefault="00BD5963" w:rsidP="00DD0BC8">
            <w:pPr>
              <w:tabs>
                <w:tab w:val="left" w:pos="0"/>
                <w:tab w:val="left" w:pos="6480"/>
              </w:tabs>
              <w:snapToGrid w:val="0"/>
              <w:rPr>
                <w:rFonts w:ascii="Times New Roman" w:eastAsia="Times New Roman" w:hAnsi="Times New Roman" w:cs="Times New Roman"/>
                <w:sz w:val="20"/>
                <w:lang w:eastAsia="en-CA"/>
              </w:rPr>
            </w:pPr>
            <w:r w:rsidRPr="00BD5963">
              <w:rPr>
                <w:rFonts w:ascii="Times New Roman" w:eastAsia="Times New Roman" w:hAnsi="Times New Roman" w:cs="Times New Roman"/>
                <w:sz w:val="20"/>
                <w:lang w:eastAsia="en-CA"/>
              </w:rPr>
              <w:t>44 and heading</w:t>
            </w:r>
          </w:p>
        </w:tc>
        <w:tc>
          <w:tcPr>
            <w:tcW w:w="3330" w:type="dxa"/>
          </w:tcPr>
          <w:p w:rsidR="00BB4EE6" w:rsidRPr="00BD5963" w:rsidRDefault="00BD5963" w:rsidP="00DD0BC8">
            <w:pPr>
              <w:tabs>
                <w:tab w:val="left" w:pos="0"/>
                <w:tab w:val="left" w:pos="6480"/>
              </w:tabs>
              <w:snapToGrid w:val="0"/>
              <w:rPr>
                <w:rFonts w:ascii="Times New Roman" w:eastAsia="Times New Roman" w:hAnsi="Times New Roman" w:cs="Times New Roman"/>
                <w:sz w:val="20"/>
                <w:lang w:eastAsia="en-CA"/>
              </w:rPr>
            </w:pPr>
            <w:r w:rsidRPr="00BD5963">
              <w:rPr>
                <w:rFonts w:ascii="Times New Roman" w:eastAsia="Times New Roman" w:hAnsi="Times New Roman" w:cs="Times New Roman"/>
                <w:sz w:val="20"/>
                <w:lang w:eastAsia="en-CA"/>
              </w:rPr>
              <w:t xml:space="preserve">Editorial move to place </w:t>
            </w:r>
            <w:r w:rsidR="00D021EF">
              <w:rPr>
                <w:rFonts w:ascii="Times New Roman" w:eastAsia="Times New Roman" w:hAnsi="Times New Roman" w:cs="Times New Roman"/>
                <w:sz w:val="20"/>
                <w:lang w:eastAsia="en-CA"/>
              </w:rPr>
              <w:t xml:space="preserve">para 44 and its heading to the </w:t>
            </w:r>
            <w:r w:rsidRPr="00BD5963">
              <w:rPr>
                <w:rFonts w:ascii="Times New Roman" w:eastAsia="Times New Roman" w:hAnsi="Times New Roman" w:cs="Times New Roman"/>
                <w:sz w:val="20"/>
                <w:lang w:eastAsia="en-CA"/>
              </w:rPr>
              <w:t xml:space="preserve">proximity of paragraphs 57- 61 where assessment of benefits is more thoroughly discueed. </w:t>
            </w:r>
          </w:p>
        </w:tc>
        <w:tc>
          <w:tcPr>
            <w:tcW w:w="5220" w:type="dxa"/>
          </w:tcPr>
          <w:p w:rsidR="00BB4EE6" w:rsidRPr="00BD5963" w:rsidRDefault="00BD5963" w:rsidP="00DD0BC8">
            <w:pPr>
              <w:tabs>
                <w:tab w:val="left" w:pos="0"/>
                <w:tab w:val="left" w:pos="6480"/>
              </w:tabs>
              <w:snapToGrid w:val="0"/>
              <w:rPr>
                <w:rFonts w:ascii="Times New Roman" w:eastAsia="Times New Roman" w:hAnsi="Times New Roman" w:cs="Times New Roman"/>
                <w:sz w:val="20"/>
                <w:lang w:eastAsia="en-CA"/>
              </w:rPr>
            </w:pPr>
            <w:r w:rsidRPr="00BD5963">
              <w:rPr>
                <w:rFonts w:ascii="Times New Roman" w:eastAsia="Times New Roman" w:hAnsi="Times New Roman" w:cs="Times New Roman"/>
                <w:sz w:val="20"/>
                <w:lang w:eastAsia="en-CA"/>
              </w:rPr>
              <w:t xml:space="preserve">The document is more readable if all comments pertaining to a question/topic are combined under the relevant heading. The submission belongs to topic 3 even if it was </w:t>
            </w:r>
            <w:r w:rsidR="00D021EF">
              <w:rPr>
                <w:rFonts w:ascii="Times New Roman" w:eastAsia="Times New Roman" w:hAnsi="Times New Roman" w:cs="Times New Roman"/>
                <w:sz w:val="20"/>
                <w:lang w:eastAsia="en-CA"/>
              </w:rPr>
              <w:t>submitted</w:t>
            </w:r>
            <w:r w:rsidRPr="00BD5963">
              <w:rPr>
                <w:rFonts w:ascii="Times New Roman" w:eastAsia="Times New Roman" w:hAnsi="Times New Roman" w:cs="Times New Roman"/>
                <w:sz w:val="20"/>
                <w:lang w:eastAsia="en-CA"/>
              </w:rPr>
              <w:t xml:space="preserve"> under topic 2. A combined consideration of the question is only possible if editorial corrections are made to bring submissions to</w:t>
            </w:r>
            <w:r w:rsidR="00D021EF">
              <w:rPr>
                <w:rFonts w:ascii="Times New Roman" w:eastAsia="Times New Roman" w:hAnsi="Times New Roman" w:cs="Times New Roman"/>
                <w:sz w:val="20"/>
                <w:lang w:eastAsia="en-CA"/>
              </w:rPr>
              <w:t>gether in</w:t>
            </w:r>
            <w:r w:rsidRPr="00BD5963">
              <w:rPr>
                <w:rFonts w:ascii="Times New Roman" w:eastAsia="Times New Roman" w:hAnsi="Times New Roman" w:cs="Times New Roman"/>
                <w:sz w:val="20"/>
                <w:lang w:eastAsia="en-CA"/>
              </w:rPr>
              <w:t xml:space="preserve"> the proper place in the document.</w:t>
            </w:r>
          </w:p>
        </w:tc>
      </w:tr>
      <w:tr w:rsidR="004558C9" w:rsidTr="00D724DF">
        <w:tc>
          <w:tcPr>
            <w:tcW w:w="1728" w:type="dxa"/>
          </w:tcPr>
          <w:p w:rsidR="004558C9" w:rsidRPr="004558C9" w:rsidRDefault="004558C9" w:rsidP="00DD0BC8">
            <w:pPr>
              <w:tabs>
                <w:tab w:val="left" w:pos="0"/>
                <w:tab w:val="left" w:pos="6480"/>
              </w:tabs>
              <w:snapToGrid w:val="0"/>
              <w:rPr>
                <w:rFonts w:ascii="Times New Roman" w:eastAsia="Times New Roman" w:hAnsi="Times New Roman" w:cs="Times New Roman"/>
                <w:sz w:val="20"/>
                <w:lang w:eastAsia="en-CA"/>
              </w:rPr>
            </w:pPr>
            <w:r w:rsidRPr="004558C9">
              <w:rPr>
                <w:rFonts w:ascii="Times New Roman" w:eastAsia="Times New Roman" w:hAnsi="Times New Roman" w:cs="Times New Roman"/>
                <w:sz w:val="20"/>
                <w:lang w:eastAsia="en-CA"/>
              </w:rPr>
              <w:t>Heading above paragraph 47.</w:t>
            </w:r>
          </w:p>
        </w:tc>
        <w:tc>
          <w:tcPr>
            <w:tcW w:w="3330" w:type="dxa"/>
          </w:tcPr>
          <w:p w:rsidR="004558C9" w:rsidRPr="004558C9" w:rsidRDefault="002E3181" w:rsidP="00DD0BC8">
            <w:pPr>
              <w:tabs>
                <w:tab w:val="left" w:pos="0"/>
                <w:tab w:val="left" w:pos="6480"/>
              </w:tabs>
              <w:snapToGrid w:val="0"/>
              <w:rPr>
                <w:rFonts w:ascii="Times New Roman" w:eastAsia="Times New Roman" w:hAnsi="Times New Roman" w:cs="Times New Roman"/>
                <w:sz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en-CA"/>
              </w:rPr>
              <w:t>Change the heading to</w:t>
            </w:r>
            <w:r w:rsidR="004558C9" w:rsidRPr="004558C9">
              <w:rPr>
                <w:rFonts w:ascii="Times New Roman" w:eastAsia="Times New Roman" w:hAnsi="Times New Roman" w:cs="Times New Roman"/>
                <w:sz w:val="20"/>
                <w:lang w:eastAsia="en-CA"/>
              </w:rPr>
              <w:t>,” Perceived shortcomings in the AHTEG Guidance”</w:t>
            </w:r>
          </w:p>
        </w:tc>
        <w:tc>
          <w:tcPr>
            <w:tcW w:w="5220" w:type="dxa"/>
          </w:tcPr>
          <w:p w:rsidR="004558C9" w:rsidRPr="004558C9" w:rsidRDefault="004558C9" w:rsidP="00DD0BC8">
            <w:pPr>
              <w:tabs>
                <w:tab w:val="left" w:pos="0"/>
                <w:tab w:val="left" w:pos="6480"/>
              </w:tabs>
              <w:snapToGrid w:val="0"/>
              <w:rPr>
                <w:rFonts w:ascii="Times New Roman" w:eastAsia="Times New Roman" w:hAnsi="Times New Roman" w:cs="Times New Roman"/>
                <w:sz w:val="20"/>
                <w:lang w:eastAsia="en-CA"/>
              </w:rPr>
            </w:pPr>
            <w:r w:rsidRPr="004558C9">
              <w:rPr>
                <w:rFonts w:ascii="Times New Roman" w:eastAsia="Times New Roman" w:hAnsi="Times New Roman" w:cs="Times New Roman"/>
                <w:sz w:val="20"/>
                <w:lang w:eastAsia="en-CA"/>
              </w:rPr>
              <w:t>Paragraphs 47 – 51 all identify short</w:t>
            </w:r>
            <w:r w:rsidR="00D021EF">
              <w:rPr>
                <w:rFonts w:ascii="Times New Roman" w:eastAsia="Times New Roman" w:hAnsi="Times New Roman" w:cs="Times New Roman"/>
                <w:sz w:val="20"/>
                <w:lang w:eastAsia="en-CA"/>
              </w:rPr>
              <w:t>comings in the present guidance.</w:t>
            </w:r>
            <w:r w:rsidRPr="004558C9">
              <w:rPr>
                <w:rFonts w:ascii="Times New Roman" w:eastAsia="Times New Roman" w:hAnsi="Times New Roman" w:cs="Times New Roman"/>
                <w:sz w:val="20"/>
                <w:lang w:eastAsia="en-CA"/>
              </w:rPr>
              <w:t xml:space="preserve"> There are no paragraphs</w:t>
            </w:r>
            <w:r w:rsidR="00D021EF">
              <w:rPr>
                <w:rFonts w:ascii="Times New Roman" w:eastAsia="Times New Roman" w:hAnsi="Times New Roman" w:cs="Times New Roman"/>
                <w:sz w:val="20"/>
                <w:lang w:eastAsia="en-CA"/>
              </w:rPr>
              <w:t xml:space="preserve"> under this heading</w:t>
            </w:r>
            <w:r w:rsidRPr="004558C9">
              <w:rPr>
                <w:rFonts w:ascii="Times New Roman" w:eastAsia="Times New Roman" w:hAnsi="Times New Roman" w:cs="Times New Roman"/>
                <w:sz w:val="20"/>
                <w:lang w:eastAsia="en-CA"/>
              </w:rPr>
              <w:t xml:space="preserve"> </w:t>
            </w:r>
            <w:r w:rsidR="00D021EF">
              <w:rPr>
                <w:rFonts w:ascii="Times New Roman" w:eastAsia="Times New Roman" w:hAnsi="Times New Roman" w:cs="Times New Roman"/>
                <w:sz w:val="20"/>
                <w:lang w:eastAsia="en-CA"/>
              </w:rPr>
              <w:t>that</w:t>
            </w:r>
            <w:r w:rsidRPr="004558C9">
              <w:rPr>
                <w:rFonts w:ascii="Times New Roman" w:eastAsia="Times New Roman" w:hAnsi="Times New Roman" w:cs="Times New Roman"/>
                <w:sz w:val="20"/>
                <w:lang w:eastAsia="en-CA"/>
              </w:rPr>
              <w:t xml:space="preserve"> identif</w:t>
            </w:r>
            <w:r w:rsidR="00D021EF">
              <w:rPr>
                <w:rFonts w:ascii="Times New Roman" w:eastAsia="Times New Roman" w:hAnsi="Times New Roman" w:cs="Times New Roman"/>
                <w:sz w:val="20"/>
                <w:lang w:eastAsia="en-CA"/>
              </w:rPr>
              <w:t>y perceived gaps in the guidance</w:t>
            </w:r>
            <w:r w:rsidRPr="004558C9">
              <w:rPr>
                <w:rFonts w:ascii="Times New Roman" w:eastAsia="Times New Roman" w:hAnsi="Times New Roman" w:cs="Times New Roman"/>
                <w:sz w:val="20"/>
                <w:lang w:eastAsia="en-CA"/>
              </w:rPr>
              <w:t xml:space="preserve">, for which guidance should be developed. These </w:t>
            </w:r>
            <w:r w:rsidR="002E3181">
              <w:rPr>
                <w:rFonts w:ascii="Times New Roman" w:eastAsia="Times New Roman" w:hAnsi="Times New Roman" w:cs="Times New Roman"/>
                <w:sz w:val="20"/>
                <w:lang w:eastAsia="en-CA"/>
              </w:rPr>
              <w:t xml:space="preserve">gaps are identified and </w:t>
            </w:r>
            <w:r w:rsidRPr="004558C9">
              <w:rPr>
                <w:rFonts w:ascii="Times New Roman" w:eastAsia="Times New Roman" w:hAnsi="Times New Roman" w:cs="Times New Roman"/>
                <w:sz w:val="20"/>
                <w:lang w:eastAsia="en-CA"/>
              </w:rPr>
              <w:t xml:space="preserve">proposals for topics to be developed are in paragraphs 61- 73. </w:t>
            </w:r>
          </w:p>
        </w:tc>
      </w:tr>
      <w:tr w:rsidR="004558C9" w:rsidTr="00D724DF">
        <w:tc>
          <w:tcPr>
            <w:tcW w:w="1728" w:type="dxa"/>
          </w:tcPr>
          <w:p w:rsidR="004558C9" w:rsidRPr="004558C9" w:rsidRDefault="004558C9" w:rsidP="00DD0BC8">
            <w:pPr>
              <w:tabs>
                <w:tab w:val="left" w:pos="0"/>
                <w:tab w:val="left" w:pos="6480"/>
              </w:tabs>
              <w:snapToGrid w:val="0"/>
              <w:rPr>
                <w:rFonts w:ascii="Times New Roman" w:eastAsia="Times New Roman" w:hAnsi="Times New Roman" w:cs="Times New Roman"/>
                <w:sz w:val="20"/>
                <w:lang w:eastAsia="en-CA"/>
              </w:rPr>
            </w:pPr>
            <w:r w:rsidRPr="004558C9">
              <w:rPr>
                <w:rFonts w:ascii="Times New Roman" w:eastAsia="Times New Roman" w:hAnsi="Times New Roman" w:cs="Times New Roman"/>
                <w:sz w:val="20"/>
                <w:lang w:eastAsia="en-CA"/>
              </w:rPr>
              <w:t>Heading above 62</w:t>
            </w:r>
          </w:p>
        </w:tc>
        <w:tc>
          <w:tcPr>
            <w:tcW w:w="3330" w:type="dxa"/>
          </w:tcPr>
          <w:p w:rsidR="004558C9" w:rsidRPr="004558C9" w:rsidRDefault="004558C9" w:rsidP="00DD0BC8">
            <w:pPr>
              <w:tabs>
                <w:tab w:val="left" w:pos="0"/>
                <w:tab w:val="left" w:pos="6480"/>
              </w:tabs>
              <w:snapToGrid w:val="0"/>
              <w:rPr>
                <w:rFonts w:ascii="Times New Roman" w:eastAsia="Times New Roman" w:hAnsi="Times New Roman" w:cs="Times New Roman"/>
                <w:sz w:val="20"/>
                <w:lang w:eastAsia="en-CA"/>
              </w:rPr>
            </w:pPr>
            <w:r w:rsidRPr="004558C9">
              <w:rPr>
                <w:rFonts w:ascii="Times New Roman" w:eastAsia="Times New Roman" w:hAnsi="Times New Roman" w:cs="Times New Roman"/>
                <w:sz w:val="20"/>
                <w:lang w:eastAsia="en-CA"/>
              </w:rPr>
              <w:t>Change heading to “Perceived gaps in guidance on risk assessment of living modified organisms”</w:t>
            </w:r>
          </w:p>
        </w:tc>
        <w:tc>
          <w:tcPr>
            <w:tcW w:w="5220" w:type="dxa"/>
          </w:tcPr>
          <w:p w:rsidR="004558C9" w:rsidRPr="004558C9" w:rsidRDefault="004558C9" w:rsidP="00DD0BC8">
            <w:pPr>
              <w:tabs>
                <w:tab w:val="left" w:pos="0"/>
                <w:tab w:val="left" w:pos="6480"/>
              </w:tabs>
              <w:snapToGrid w:val="0"/>
              <w:rPr>
                <w:rFonts w:ascii="Times New Roman" w:eastAsia="Times New Roman" w:hAnsi="Times New Roman" w:cs="Times New Roman"/>
                <w:sz w:val="20"/>
                <w:lang w:eastAsia="en-CA"/>
              </w:rPr>
            </w:pPr>
            <w:r w:rsidRPr="004558C9">
              <w:rPr>
                <w:rFonts w:ascii="Times New Roman" w:eastAsia="Times New Roman" w:hAnsi="Times New Roman" w:cs="Times New Roman"/>
                <w:sz w:val="20"/>
                <w:lang w:eastAsia="en-CA"/>
              </w:rPr>
              <w:t>The present heading reflects only some of the perceived gaps and need to develop more guidance.  Paragraph 70 &amp; 72 are not</w:t>
            </w:r>
            <w:r w:rsidR="00D021EF">
              <w:rPr>
                <w:rFonts w:ascii="Times New Roman" w:eastAsia="Times New Roman" w:hAnsi="Times New Roman" w:cs="Times New Roman"/>
                <w:sz w:val="20"/>
                <w:lang w:eastAsia="en-CA"/>
              </w:rPr>
              <w:t xml:space="preserve"> about</w:t>
            </w:r>
            <w:r w:rsidRPr="004558C9">
              <w:rPr>
                <w:rFonts w:ascii="Times New Roman" w:eastAsia="Times New Roman" w:hAnsi="Times New Roman" w:cs="Times New Roman"/>
                <w:sz w:val="20"/>
                <w:lang w:eastAsia="en-CA"/>
              </w:rPr>
              <w:t xml:space="preserve"> “specific classes of organisms”.</w:t>
            </w:r>
          </w:p>
        </w:tc>
      </w:tr>
      <w:tr w:rsidR="00BB4EE6" w:rsidTr="00D724DF">
        <w:tc>
          <w:tcPr>
            <w:tcW w:w="1728" w:type="dxa"/>
          </w:tcPr>
          <w:p w:rsidR="00BB4EE6" w:rsidRPr="00C57164" w:rsidRDefault="004558C9" w:rsidP="00DD0BC8">
            <w:pPr>
              <w:tabs>
                <w:tab w:val="left" w:pos="0"/>
                <w:tab w:val="left" w:pos="6480"/>
              </w:tabs>
              <w:snapToGrid w:val="0"/>
              <w:rPr>
                <w:rFonts w:ascii="Times New Roman" w:eastAsia="Times New Roman" w:hAnsi="Times New Roman" w:cs="Times New Roman"/>
                <w:sz w:val="20"/>
                <w:lang w:eastAsia="en-CA"/>
              </w:rPr>
            </w:pPr>
            <w:r w:rsidRPr="00C57164">
              <w:rPr>
                <w:rFonts w:ascii="Times New Roman" w:eastAsia="Times New Roman" w:hAnsi="Times New Roman" w:cs="Times New Roman"/>
                <w:sz w:val="20"/>
                <w:lang w:eastAsia="en-CA"/>
              </w:rPr>
              <w:t>81</w:t>
            </w:r>
            <w:r w:rsidR="00C57164" w:rsidRPr="00C57164">
              <w:rPr>
                <w:rFonts w:ascii="Times New Roman" w:eastAsia="Times New Roman" w:hAnsi="Times New Roman" w:cs="Times New Roman"/>
                <w:sz w:val="20"/>
                <w:lang w:eastAsia="en-CA"/>
              </w:rPr>
              <w:t xml:space="preserve"> second sentence</w:t>
            </w:r>
          </w:p>
        </w:tc>
        <w:tc>
          <w:tcPr>
            <w:tcW w:w="3330" w:type="dxa"/>
          </w:tcPr>
          <w:p w:rsidR="00BB4EE6" w:rsidRPr="00C57164" w:rsidRDefault="00C57164" w:rsidP="00DD0BC8">
            <w:pPr>
              <w:tabs>
                <w:tab w:val="left" w:pos="0"/>
                <w:tab w:val="left" w:pos="6480"/>
              </w:tabs>
              <w:snapToGrid w:val="0"/>
              <w:rPr>
                <w:rFonts w:ascii="Times New Roman" w:eastAsia="Times New Roman" w:hAnsi="Times New Roman" w:cs="Times New Roman"/>
                <w:sz w:val="20"/>
                <w:lang w:eastAsia="en-CA"/>
              </w:rPr>
            </w:pPr>
            <w:r w:rsidRPr="00C57164">
              <w:rPr>
                <w:rFonts w:ascii="Times New Roman" w:eastAsia="Times New Roman" w:hAnsi="Times New Roman" w:cs="Times New Roman"/>
                <w:sz w:val="20"/>
                <w:lang w:eastAsia="en-CA"/>
              </w:rPr>
              <w:t xml:space="preserve">Change the sentence to read; “Two submitters noted that at this stage no specific topics in need of further guidance have yet to be identified at the European level.” Add a sentence to the end of paragraph 81 “However, </w:t>
            </w:r>
            <w:r w:rsidRPr="00C57164">
              <w:rPr>
                <w:rFonts w:ascii="Times New Roman" w:eastAsia="Times New Roman" w:hAnsi="Times New Roman" w:cs="Times New Roman"/>
                <w:sz w:val="20"/>
                <w:lang w:eastAsia="en-CA"/>
              </w:rPr>
              <w:lastRenderedPageBreak/>
              <w:t>as can be seen from the submissions to the online forum as well as responses to a CBD notification, some EU Member States have identified specific needs</w:t>
            </w:r>
            <w:r w:rsidR="00D021EF">
              <w:rPr>
                <w:rFonts w:ascii="Times New Roman" w:eastAsia="Times New Roman" w:hAnsi="Times New Roman" w:cs="Times New Roman"/>
                <w:sz w:val="20"/>
                <w:lang w:eastAsia="en-CA"/>
              </w:rPr>
              <w:t>.</w:t>
            </w:r>
            <w:r w:rsidRPr="00C57164">
              <w:rPr>
                <w:rFonts w:ascii="Times New Roman" w:eastAsia="Times New Roman" w:hAnsi="Times New Roman" w:cs="Times New Roman"/>
                <w:sz w:val="20"/>
                <w:lang w:eastAsia="en-CA"/>
              </w:rPr>
              <w:t>”</w:t>
            </w:r>
          </w:p>
        </w:tc>
        <w:tc>
          <w:tcPr>
            <w:tcW w:w="5220" w:type="dxa"/>
          </w:tcPr>
          <w:p w:rsidR="00BB4EE6" w:rsidRPr="00C57164" w:rsidRDefault="00C57164" w:rsidP="00DD0BC8">
            <w:pPr>
              <w:tabs>
                <w:tab w:val="left" w:pos="0"/>
                <w:tab w:val="left" w:pos="6480"/>
              </w:tabs>
              <w:snapToGrid w:val="0"/>
              <w:rPr>
                <w:rFonts w:ascii="Times New Roman" w:eastAsia="Times New Roman" w:hAnsi="Times New Roman" w:cs="Times New Roman"/>
                <w:sz w:val="20"/>
                <w:lang w:eastAsia="en-CA"/>
              </w:rPr>
            </w:pPr>
            <w:r w:rsidRPr="00C57164">
              <w:rPr>
                <w:rFonts w:ascii="Times New Roman" w:eastAsia="Times New Roman" w:hAnsi="Times New Roman" w:cs="Times New Roman"/>
                <w:sz w:val="20"/>
                <w:lang w:eastAsia="en-CA"/>
              </w:rPr>
              <w:lastRenderedPageBreak/>
              <w:t>This revised wording reflects the actual situation in the EU. The discussion within the EU will most certainly continue in the near future. See also #8874.</w:t>
            </w:r>
          </w:p>
        </w:tc>
      </w:tr>
      <w:tr w:rsidR="00BB4EE6" w:rsidTr="00D724DF">
        <w:tc>
          <w:tcPr>
            <w:tcW w:w="1728" w:type="dxa"/>
          </w:tcPr>
          <w:p w:rsidR="00BB4EE6" w:rsidRPr="004358F0" w:rsidRDefault="004558C9" w:rsidP="00DD0BC8">
            <w:pPr>
              <w:tabs>
                <w:tab w:val="left" w:pos="0"/>
                <w:tab w:val="left" w:pos="6480"/>
              </w:tabs>
              <w:snapToGrid w:val="0"/>
              <w:rPr>
                <w:rFonts w:ascii="Times New Roman" w:eastAsia="Times New Roman" w:hAnsi="Times New Roman" w:cs="Times New Roman"/>
                <w:sz w:val="20"/>
                <w:lang w:eastAsia="en-CA"/>
              </w:rPr>
            </w:pPr>
            <w:r w:rsidRPr="004358F0">
              <w:rPr>
                <w:rFonts w:ascii="Times New Roman" w:eastAsia="Times New Roman" w:hAnsi="Times New Roman" w:cs="Times New Roman"/>
                <w:sz w:val="20"/>
                <w:lang w:eastAsia="en-CA"/>
              </w:rPr>
              <w:lastRenderedPageBreak/>
              <w:t>82</w:t>
            </w:r>
          </w:p>
        </w:tc>
        <w:tc>
          <w:tcPr>
            <w:tcW w:w="3330" w:type="dxa"/>
          </w:tcPr>
          <w:p w:rsidR="00BB4EE6" w:rsidRPr="004358F0" w:rsidRDefault="00C57164" w:rsidP="00DD0BC8">
            <w:pPr>
              <w:tabs>
                <w:tab w:val="left" w:pos="0"/>
                <w:tab w:val="left" w:pos="6480"/>
              </w:tabs>
              <w:snapToGrid w:val="0"/>
              <w:rPr>
                <w:rFonts w:ascii="Times New Roman" w:eastAsia="Times New Roman" w:hAnsi="Times New Roman" w:cs="Times New Roman"/>
                <w:sz w:val="20"/>
                <w:lang w:eastAsia="en-CA"/>
              </w:rPr>
            </w:pPr>
            <w:r w:rsidRPr="004358F0">
              <w:rPr>
                <w:rFonts w:ascii="Times New Roman" w:eastAsia="Times New Roman" w:hAnsi="Times New Roman" w:cs="Times New Roman"/>
                <w:sz w:val="20"/>
                <w:lang w:eastAsia="en-CA"/>
              </w:rPr>
              <w:t>Change heading above paragraph 82: “</w:t>
            </w:r>
            <w:r w:rsidR="00D021EF">
              <w:rPr>
                <w:rFonts w:ascii="Times New Roman" w:eastAsia="Times New Roman" w:hAnsi="Times New Roman" w:cs="Times New Roman"/>
                <w:sz w:val="20"/>
                <w:lang w:eastAsia="en-CA"/>
              </w:rPr>
              <w:t>Views that g</w:t>
            </w:r>
            <w:r w:rsidR="003B5EDF" w:rsidRPr="004358F0">
              <w:rPr>
                <w:rFonts w:ascii="Times New Roman" w:eastAsia="Times New Roman" w:hAnsi="Times New Roman" w:cs="Times New Roman"/>
                <w:sz w:val="20"/>
                <w:lang w:eastAsia="en-CA"/>
              </w:rPr>
              <w:t xml:space="preserve">uidance </w:t>
            </w:r>
            <w:r w:rsidR="00D021EF">
              <w:rPr>
                <w:rFonts w:ascii="Times New Roman" w:eastAsia="Times New Roman" w:hAnsi="Times New Roman" w:cs="Times New Roman"/>
                <w:sz w:val="20"/>
                <w:lang w:eastAsia="en-CA"/>
              </w:rPr>
              <w:t xml:space="preserve">is </w:t>
            </w:r>
            <w:r w:rsidR="003B5EDF" w:rsidRPr="004358F0">
              <w:rPr>
                <w:rFonts w:ascii="Times New Roman" w:eastAsia="Times New Roman" w:hAnsi="Times New Roman" w:cs="Times New Roman"/>
                <w:sz w:val="20"/>
                <w:lang w:eastAsia="en-CA"/>
              </w:rPr>
              <w:t xml:space="preserve">sufficiently covered at present” </w:t>
            </w:r>
          </w:p>
        </w:tc>
        <w:tc>
          <w:tcPr>
            <w:tcW w:w="5220" w:type="dxa"/>
          </w:tcPr>
          <w:p w:rsidR="00BB4EE6" w:rsidRPr="004358F0" w:rsidRDefault="003B5EDF" w:rsidP="00DD0BC8">
            <w:pPr>
              <w:tabs>
                <w:tab w:val="left" w:pos="0"/>
                <w:tab w:val="left" w:pos="6480"/>
              </w:tabs>
              <w:snapToGrid w:val="0"/>
              <w:rPr>
                <w:rFonts w:ascii="Times New Roman" w:eastAsia="Times New Roman" w:hAnsi="Times New Roman" w:cs="Times New Roman"/>
                <w:sz w:val="20"/>
                <w:lang w:eastAsia="en-CA"/>
              </w:rPr>
            </w:pPr>
            <w:r w:rsidRPr="004358F0">
              <w:rPr>
                <w:rFonts w:ascii="Times New Roman" w:eastAsia="Times New Roman" w:hAnsi="Times New Roman" w:cs="Times New Roman"/>
                <w:sz w:val="20"/>
                <w:lang w:eastAsia="en-CA"/>
              </w:rPr>
              <w:t xml:space="preserve">The paragraphs are not just about no gaps identified, but also include many points that should be considered and addressed </w:t>
            </w:r>
            <w:r w:rsidR="004358F0" w:rsidRPr="004358F0">
              <w:rPr>
                <w:rFonts w:ascii="Times New Roman" w:eastAsia="Times New Roman" w:hAnsi="Times New Roman" w:cs="Times New Roman"/>
                <w:sz w:val="20"/>
                <w:lang w:eastAsia="en-CA"/>
              </w:rPr>
              <w:t>when using</w:t>
            </w:r>
            <w:r w:rsidRPr="004358F0">
              <w:rPr>
                <w:rFonts w:ascii="Times New Roman" w:eastAsia="Times New Roman" w:hAnsi="Times New Roman" w:cs="Times New Roman"/>
                <w:sz w:val="20"/>
                <w:lang w:eastAsia="en-CA"/>
              </w:rPr>
              <w:t xml:space="preserve"> guidelines, such as complexities in definitions, methodologies, need to improve search engines in the BCH et. Keep the headings positive to encourage willingness to compromise.</w:t>
            </w:r>
          </w:p>
        </w:tc>
      </w:tr>
      <w:tr w:rsidR="003B5EDF" w:rsidTr="00D724DF">
        <w:tc>
          <w:tcPr>
            <w:tcW w:w="1728" w:type="dxa"/>
          </w:tcPr>
          <w:p w:rsidR="003B5EDF" w:rsidRPr="004358F0" w:rsidRDefault="004358F0" w:rsidP="00DD0BC8">
            <w:pPr>
              <w:tabs>
                <w:tab w:val="left" w:pos="0"/>
                <w:tab w:val="left" w:pos="6480"/>
              </w:tabs>
              <w:snapToGrid w:val="0"/>
              <w:rPr>
                <w:rFonts w:ascii="Times New Roman" w:eastAsia="Times New Roman" w:hAnsi="Times New Roman" w:cs="Times New Roman"/>
                <w:sz w:val="20"/>
                <w:lang w:eastAsia="en-CA"/>
              </w:rPr>
            </w:pPr>
            <w:r w:rsidRPr="004358F0">
              <w:rPr>
                <w:rFonts w:ascii="Times New Roman" w:eastAsia="Times New Roman" w:hAnsi="Times New Roman" w:cs="Times New Roman"/>
                <w:sz w:val="20"/>
                <w:lang w:eastAsia="en-CA"/>
              </w:rPr>
              <w:t>84,</w:t>
            </w:r>
            <w:r w:rsidR="002E3181">
              <w:rPr>
                <w:rFonts w:ascii="Times New Roman" w:eastAsia="Times New Roman" w:hAnsi="Times New Roman" w:cs="Times New Roman"/>
                <w:sz w:val="20"/>
                <w:lang w:eastAsia="en-CA"/>
              </w:rPr>
              <w:t xml:space="preserve"> </w:t>
            </w:r>
            <w:r w:rsidRPr="004358F0">
              <w:rPr>
                <w:rFonts w:ascii="Times New Roman" w:eastAsia="Times New Roman" w:hAnsi="Times New Roman" w:cs="Times New Roman"/>
                <w:sz w:val="20"/>
                <w:lang w:eastAsia="en-CA"/>
              </w:rPr>
              <w:t>88 and 90</w:t>
            </w:r>
          </w:p>
        </w:tc>
        <w:tc>
          <w:tcPr>
            <w:tcW w:w="3330" w:type="dxa"/>
          </w:tcPr>
          <w:p w:rsidR="003B5EDF" w:rsidRPr="004358F0" w:rsidRDefault="004358F0" w:rsidP="00DD0BC8">
            <w:pPr>
              <w:tabs>
                <w:tab w:val="left" w:pos="0"/>
                <w:tab w:val="left" w:pos="6480"/>
              </w:tabs>
              <w:snapToGrid w:val="0"/>
              <w:rPr>
                <w:rFonts w:ascii="Times New Roman" w:eastAsia="Times New Roman" w:hAnsi="Times New Roman" w:cs="Times New Roman"/>
                <w:sz w:val="20"/>
                <w:lang w:eastAsia="en-CA"/>
              </w:rPr>
            </w:pPr>
            <w:r w:rsidRPr="004358F0">
              <w:rPr>
                <w:rFonts w:ascii="Times New Roman" w:eastAsia="Times New Roman" w:hAnsi="Times New Roman" w:cs="Times New Roman"/>
                <w:sz w:val="20"/>
                <w:lang w:eastAsia="en-CA"/>
              </w:rPr>
              <w:t>Regroup these paragraphs to a common section with a heading “Development of methodology, capacity and training”</w:t>
            </w:r>
          </w:p>
        </w:tc>
        <w:tc>
          <w:tcPr>
            <w:tcW w:w="5220" w:type="dxa"/>
          </w:tcPr>
          <w:p w:rsidR="003B5EDF" w:rsidRPr="004358F0" w:rsidRDefault="004358F0" w:rsidP="00DD0BC8">
            <w:pPr>
              <w:tabs>
                <w:tab w:val="left" w:pos="0"/>
                <w:tab w:val="left" w:pos="6480"/>
              </w:tabs>
              <w:snapToGrid w:val="0"/>
              <w:rPr>
                <w:rFonts w:ascii="Times New Roman" w:eastAsia="Times New Roman" w:hAnsi="Times New Roman" w:cs="Times New Roman"/>
                <w:sz w:val="20"/>
                <w:lang w:eastAsia="en-CA"/>
              </w:rPr>
            </w:pPr>
            <w:r w:rsidRPr="004358F0">
              <w:rPr>
                <w:rFonts w:ascii="Times New Roman" w:eastAsia="Times New Roman" w:hAnsi="Times New Roman" w:cs="Times New Roman"/>
                <w:sz w:val="20"/>
                <w:lang w:eastAsia="en-CA"/>
              </w:rPr>
              <w:t>These three paragraphs highlight a common theme, that besides the question of developing guidance, we need to consider the need for further development of risk assessment methodologies (paras 88 &amp; 90), training and developing capacity in conducting and assessing risk assessments (para. 84).</w:t>
            </w:r>
          </w:p>
        </w:tc>
      </w:tr>
    </w:tbl>
    <w:p w:rsidR="00D87B6B" w:rsidRDefault="00D87B6B" w:rsidP="00DD0BC8">
      <w:pPr>
        <w:tabs>
          <w:tab w:val="left" w:pos="0"/>
          <w:tab w:val="left" w:pos="6480"/>
        </w:tabs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highlight w:val="yellow"/>
          <w:lang w:eastAsia="en-CA"/>
        </w:rPr>
      </w:pPr>
    </w:p>
    <w:p w:rsidR="000F128F" w:rsidRPr="000F128F" w:rsidRDefault="000F128F" w:rsidP="00DD0BC8">
      <w:pPr>
        <w:tabs>
          <w:tab w:val="left" w:pos="0"/>
          <w:tab w:val="left" w:pos="6480"/>
        </w:tabs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lang w:eastAsia="en-CA"/>
        </w:rPr>
      </w:pPr>
      <w:r w:rsidRPr="00D724DF">
        <w:rPr>
          <w:rFonts w:ascii="Times New Roman" w:eastAsia="Times New Roman" w:hAnsi="Times New Roman" w:cs="Times New Roman"/>
          <w:sz w:val="20"/>
          <w:lang w:eastAsia="en-CA"/>
        </w:rPr>
        <w:t xml:space="preserve">1 Proposals to add, move or delete text in the draft document may be accompanied by a brief explanation. </w:t>
      </w:r>
    </w:p>
    <w:p w:rsidR="000F128F" w:rsidRPr="000F128F" w:rsidRDefault="000F128F" w:rsidP="000F128F">
      <w:pPr>
        <w:tabs>
          <w:tab w:val="left" w:pos="0"/>
          <w:tab w:val="left" w:pos="6480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en-CA"/>
        </w:rPr>
      </w:pPr>
    </w:p>
    <w:p w:rsidR="000F128F" w:rsidRPr="000F128F" w:rsidRDefault="000F128F" w:rsidP="000F128F">
      <w:pPr>
        <w:tabs>
          <w:tab w:val="left" w:pos="0"/>
          <w:tab w:val="left" w:pos="6480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en-CA"/>
        </w:rPr>
      </w:pPr>
    </w:p>
    <w:p w:rsidR="000F128F" w:rsidRPr="000F128F" w:rsidRDefault="000F128F" w:rsidP="000F128F">
      <w:pPr>
        <w:tabs>
          <w:tab w:val="left" w:pos="0"/>
          <w:tab w:val="left" w:pos="6480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lang w:val="en-GB" w:eastAsia="en-CA"/>
        </w:rPr>
      </w:pPr>
    </w:p>
    <w:p w:rsidR="00590C7F" w:rsidRDefault="00590C7F"/>
    <w:sectPr w:rsidR="00590C7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2020803070505020304"/>
    <w:charset w:val="00"/>
    <w:family w:val="auto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28F"/>
    <w:rsid w:val="000F128F"/>
    <w:rsid w:val="00211D49"/>
    <w:rsid w:val="002E3181"/>
    <w:rsid w:val="003B5EDF"/>
    <w:rsid w:val="004358F0"/>
    <w:rsid w:val="004558C9"/>
    <w:rsid w:val="00590C7F"/>
    <w:rsid w:val="006961B9"/>
    <w:rsid w:val="006D632B"/>
    <w:rsid w:val="0072457E"/>
    <w:rsid w:val="00AD7755"/>
    <w:rsid w:val="00B0698F"/>
    <w:rsid w:val="00BB4EE6"/>
    <w:rsid w:val="00BD5963"/>
    <w:rsid w:val="00C57164"/>
    <w:rsid w:val="00C84E6A"/>
    <w:rsid w:val="00CF55C7"/>
    <w:rsid w:val="00D021EF"/>
    <w:rsid w:val="00D724DF"/>
    <w:rsid w:val="00D86CBB"/>
    <w:rsid w:val="00D87B6B"/>
    <w:rsid w:val="00DA7BAD"/>
    <w:rsid w:val="00DD0BC8"/>
    <w:rsid w:val="00EC2E78"/>
    <w:rsid w:val="00F95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B4EE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87B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7B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7B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7B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7B6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7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7B6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87B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rsid w:val="00BB4EE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B4EE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87B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7B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7B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7B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7B6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7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7B6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87B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rsid w:val="00BB4EE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64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719</Words>
  <Characters>4102</Characters>
  <Application>Microsoft Office Word</Application>
  <DocSecurity>0</DocSecurity>
  <Lines>34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Marianela Araya</dc:creator>
  <cp:lastModifiedBy>Marianela Araya</cp:lastModifiedBy>
  <cp:revision>2</cp:revision>
  <cp:lastPrinted>2018-03-12T15:15:00Z</cp:lastPrinted>
  <dcterms:created xsi:type="dcterms:W3CDTF">2018-03-12T20:21:00Z</dcterms:created>
  <dcterms:modified xsi:type="dcterms:W3CDTF">2018-03-12T20:21:00Z</dcterms:modified>
</cp:coreProperties>
</file>