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B05FF" w14:textId="31F5DFB7" w:rsidR="00C9569A" w:rsidRDefault="00C9569A" w:rsidP="00A030AE">
      <w:pPr>
        <w:jc w:val="center"/>
        <w:rPr>
          <w:rFonts w:ascii="Times New Roman" w:hAnsi="Times New Roman" w:cs="Times New Roman"/>
          <w:b/>
          <w:color w:val="FF0000"/>
        </w:rPr>
      </w:pPr>
      <w:proofErr w:type="spellStart"/>
      <w:r>
        <w:rPr>
          <w:rFonts w:ascii="Times New Roman" w:hAnsi="Times New Roman" w:cs="Times New Roman"/>
          <w:b/>
          <w:color w:val="FF0000"/>
        </w:rPr>
        <w:t>Marja’s</w:t>
      </w:r>
      <w:proofErr w:type="spellEnd"/>
      <w:r>
        <w:rPr>
          <w:rFonts w:ascii="Times New Roman" w:hAnsi="Times New Roman" w:cs="Times New Roman"/>
          <w:b/>
          <w:color w:val="FF0000"/>
        </w:rPr>
        <w:t xml:space="preserve"> comments 12-13 April, 2015</w:t>
      </w:r>
    </w:p>
    <w:p w14:paraId="613B1086" w14:textId="1AB990ED" w:rsidR="00C9569A" w:rsidRPr="00C9569A" w:rsidRDefault="00C9569A" w:rsidP="00A030AE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Included into Fran’s comments</w:t>
      </w:r>
      <w:r w:rsidR="0087715B">
        <w:rPr>
          <w:rFonts w:ascii="Times New Roman" w:hAnsi="Times New Roman" w:cs="Times New Roman"/>
          <w:b/>
          <w:color w:val="FF0000"/>
        </w:rPr>
        <w:t xml:space="preserve"> (red text)</w:t>
      </w:r>
      <w:bookmarkStart w:id="0" w:name="_GoBack"/>
      <w:bookmarkEnd w:id="0"/>
    </w:p>
    <w:p w14:paraId="6691C2E0" w14:textId="77777777" w:rsidR="00A030AE" w:rsidRDefault="00A030AE" w:rsidP="00A030AE">
      <w:pPr>
        <w:jc w:val="center"/>
        <w:rPr>
          <w:rFonts w:ascii="Times New Roman" w:hAnsi="Times New Roman" w:cs="Times New Roman"/>
          <w:b/>
        </w:rPr>
      </w:pPr>
      <w:r w:rsidRPr="00A030AE">
        <w:rPr>
          <w:rFonts w:ascii="Times New Roman" w:hAnsi="Times New Roman" w:cs="Times New Roman"/>
          <w:b/>
        </w:rPr>
        <w:t>PRIORITIZED TOPICS FOR THE DEVELOPMENT OF FURTHER GUIDANCE</w:t>
      </w:r>
    </w:p>
    <w:p w14:paraId="00EE01EA" w14:textId="77777777" w:rsidR="00A030AE" w:rsidRDefault="00A030AE" w:rsidP="00A030AE">
      <w:pPr>
        <w:jc w:val="center"/>
        <w:rPr>
          <w:rFonts w:ascii="Times New Roman" w:hAnsi="Times New Roman" w:cs="Times New Roman"/>
          <w:i/>
        </w:rPr>
      </w:pPr>
      <w:r w:rsidRPr="00A030AE">
        <w:rPr>
          <w:rFonts w:ascii="Times New Roman" w:hAnsi="Times New Roman" w:cs="Times New Roman"/>
          <w:i/>
        </w:rPr>
        <w:t xml:space="preserve">(Excerpt from report of the AHTEG meeting in Bonn, Bonn, </w:t>
      </w:r>
      <w:proofErr w:type="gramStart"/>
      <w:r w:rsidRPr="00A030AE">
        <w:rPr>
          <w:rFonts w:ascii="Times New Roman" w:hAnsi="Times New Roman" w:cs="Times New Roman"/>
          <w:i/>
        </w:rPr>
        <w:t>2</w:t>
      </w:r>
      <w:proofErr w:type="gramEnd"/>
      <w:r w:rsidRPr="00A030AE">
        <w:rPr>
          <w:rFonts w:ascii="Times New Roman" w:hAnsi="Times New Roman" w:cs="Times New Roman"/>
          <w:i/>
        </w:rPr>
        <w:t>-6 June 2014)</w:t>
      </w:r>
    </w:p>
    <w:p w14:paraId="45CC2F1F" w14:textId="77777777" w:rsidR="00A030AE" w:rsidRPr="00A030AE" w:rsidRDefault="00A030AE" w:rsidP="00A030AE">
      <w:pPr>
        <w:jc w:val="center"/>
        <w:rPr>
          <w:rFonts w:ascii="Times New Roman" w:hAnsi="Times New Roman" w:cs="Times New Roman"/>
          <w:i/>
          <w:lang w:val="en-US"/>
        </w:rPr>
      </w:pPr>
    </w:p>
    <w:p w14:paraId="45388C2F" w14:textId="77777777" w:rsidR="00A030AE" w:rsidRPr="00042BEB" w:rsidRDefault="00A030AE" w:rsidP="00A030AE">
      <w:pPr>
        <w:pStyle w:val="Para1"/>
        <w:numPr>
          <w:ilvl w:val="0"/>
          <w:numId w:val="1"/>
        </w:numPr>
        <w:tabs>
          <w:tab w:val="clear" w:pos="360"/>
          <w:tab w:val="num" w:pos="709"/>
          <w:tab w:val="left" w:pos="1440"/>
          <w:tab w:val="right" w:pos="8640"/>
        </w:tabs>
        <w:rPr>
          <w:szCs w:val="22"/>
        </w:rPr>
      </w:pPr>
      <w:r w:rsidRPr="00042BEB">
        <w:rPr>
          <w:szCs w:val="22"/>
        </w:rPr>
        <w:t xml:space="preserve">The AHTEG then prioritized topics for </w:t>
      </w:r>
      <w:r>
        <w:rPr>
          <w:szCs w:val="22"/>
        </w:rPr>
        <w:t xml:space="preserve">the </w:t>
      </w:r>
      <w:r w:rsidRPr="00042BEB">
        <w:rPr>
          <w:szCs w:val="22"/>
        </w:rPr>
        <w:t>development of further guidance on the basis of the priorities and needs indicated by the Parties with the view of moving toward</w:t>
      </w:r>
      <w:r>
        <w:rPr>
          <w:szCs w:val="22"/>
        </w:rPr>
        <w:t>s achieving</w:t>
      </w:r>
      <w:r w:rsidRPr="00042BEB">
        <w:rPr>
          <w:szCs w:val="22"/>
        </w:rPr>
        <w:t xml:space="preserve"> the operational objectives 1.3 and 1.4 of the Strategic Plan and its outcomes</w:t>
      </w:r>
      <w:r>
        <w:rPr>
          <w:szCs w:val="22"/>
        </w:rPr>
        <w:t>, as follows</w:t>
      </w:r>
      <w:r w:rsidRPr="00042BEB">
        <w:rPr>
          <w:szCs w:val="22"/>
        </w:rPr>
        <w:t>:</w:t>
      </w:r>
      <w:r w:rsidRPr="00A030AE">
        <w:rPr>
          <w:rStyle w:val="Alaviitteenviite"/>
          <w:sz w:val="22"/>
          <w:szCs w:val="22"/>
          <w:u w:val="none"/>
          <w:vertAlign w:val="superscript"/>
        </w:rPr>
        <w:footnoteReference w:id="1"/>
      </w:r>
      <w:r w:rsidRPr="00042BEB">
        <w:rPr>
          <w:szCs w:val="22"/>
        </w:rPr>
        <w:t xml:space="preserve"> </w:t>
      </w:r>
    </w:p>
    <w:p w14:paraId="2566B6CD" w14:textId="54898AEB" w:rsidR="00A030AE" w:rsidRPr="00042BEB" w:rsidRDefault="00A030AE" w:rsidP="00A030AE">
      <w:pPr>
        <w:pStyle w:val="Para1"/>
        <w:numPr>
          <w:ilvl w:val="0"/>
          <w:numId w:val="2"/>
        </w:numPr>
        <w:tabs>
          <w:tab w:val="left" w:pos="284"/>
          <w:tab w:val="left" w:pos="426"/>
          <w:tab w:val="right" w:pos="1440"/>
        </w:tabs>
        <w:spacing w:before="60" w:after="60"/>
        <w:ind w:left="0" w:firstLine="720"/>
        <w:rPr>
          <w:iCs/>
          <w:szCs w:val="22"/>
        </w:rPr>
      </w:pPr>
      <w:r w:rsidRPr="00042BEB">
        <w:rPr>
          <w:iCs/>
          <w:szCs w:val="22"/>
        </w:rPr>
        <w:t>Risk assessment of living modified organisms introduced in centres of origin and genetic diversity;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 in the Roadmap</w:t>
      </w:r>
      <w:r w:rsidR="00C9569A">
        <w:rPr>
          <w:iCs/>
          <w:color w:val="FF00FF"/>
          <w:szCs w:val="22"/>
        </w:rPr>
        <w:t xml:space="preserve"> </w:t>
      </w:r>
      <w:r w:rsidR="00C9569A">
        <w:rPr>
          <w:iCs/>
          <w:color w:val="FF0000"/>
          <w:szCs w:val="22"/>
        </w:rPr>
        <w:t>– I agree</w:t>
      </w:r>
    </w:p>
    <w:p w14:paraId="707F9423" w14:textId="77777777" w:rsidR="00A030AE" w:rsidRPr="00042BEB" w:rsidRDefault="00A030AE" w:rsidP="00A030AE">
      <w:pPr>
        <w:pStyle w:val="Para1"/>
        <w:numPr>
          <w:ilvl w:val="0"/>
          <w:numId w:val="2"/>
        </w:numPr>
        <w:tabs>
          <w:tab w:val="left" w:pos="284"/>
          <w:tab w:val="left" w:pos="426"/>
          <w:tab w:val="right" w:pos="1440"/>
        </w:tabs>
        <w:spacing w:before="60" w:after="60"/>
        <w:ind w:left="0" w:firstLine="720"/>
        <w:rPr>
          <w:iCs/>
          <w:szCs w:val="22"/>
        </w:rPr>
      </w:pPr>
      <w:r w:rsidRPr="00042BEB">
        <w:rPr>
          <w:iCs/>
          <w:szCs w:val="22"/>
        </w:rPr>
        <w:t>Risk assessment of living modified microorganisms and viruses;</w:t>
      </w:r>
    </w:p>
    <w:p w14:paraId="6962EF5C" w14:textId="77777777" w:rsidR="00A030AE" w:rsidRPr="00C9569A" w:rsidRDefault="00A030AE" w:rsidP="00A030AE">
      <w:pPr>
        <w:pStyle w:val="Para1"/>
        <w:numPr>
          <w:ilvl w:val="0"/>
          <w:numId w:val="2"/>
        </w:numPr>
        <w:tabs>
          <w:tab w:val="left" w:pos="284"/>
          <w:tab w:val="left" w:pos="426"/>
          <w:tab w:val="right" w:pos="1440"/>
        </w:tabs>
        <w:spacing w:before="60" w:after="60"/>
        <w:ind w:left="0" w:firstLine="720"/>
        <w:rPr>
          <w:iCs/>
          <w:szCs w:val="22"/>
        </w:rPr>
      </w:pPr>
      <w:r w:rsidRPr="00042BEB">
        <w:rPr>
          <w:iCs/>
          <w:szCs w:val="22"/>
        </w:rPr>
        <w:t>Risk assessment of living modified fish</w:t>
      </w:r>
      <w:r w:rsidR="00457422">
        <w:rPr>
          <w:iCs/>
          <w:szCs w:val="22"/>
        </w:rPr>
        <w:t>….</w:t>
      </w:r>
      <w:r w:rsidR="00457422" w:rsidRPr="00457422">
        <w:rPr>
          <w:iCs/>
          <w:color w:val="FF00FF"/>
          <w:szCs w:val="22"/>
        </w:rPr>
        <w:t>emphasis on things that move</w:t>
      </w:r>
    </w:p>
    <w:p w14:paraId="3BA32A5F" w14:textId="498B0D26" w:rsidR="00C9569A" w:rsidRPr="00C9569A" w:rsidRDefault="00C9569A" w:rsidP="00C9569A">
      <w:pPr>
        <w:pStyle w:val="Para1"/>
        <w:tabs>
          <w:tab w:val="left" w:pos="284"/>
          <w:tab w:val="left" w:pos="426"/>
          <w:tab w:val="right" w:pos="1440"/>
        </w:tabs>
        <w:spacing w:before="60" w:after="60"/>
        <w:ind w:left="720"/>
        <w:rPr>
          <w:iCs/>
          <w:color w:val="FF0000"/>
          <w:szCs w:val="22"/>
        </w:rPr>
      </w:pPr>
      <w:r>
        <w:rPr>
          <w:iCs/>
          <w:color w:val="FF0000"/>
          <w:szCs w:val="22"/>
        </w:rPr>
        <w:t xml:space="preserve">It is difficult to think that these two issues would not need some kind of specific guidance. However, some general issues might be included into the Roadmap </w:t>
      </w:r>
    </w:p>
    <w:p w14:paraId="138584F3" w14:textId="77777777" w:rsidR="00A030AE" w:rsidRPr="00042BEB" w:rsidRDefault="00A030AE" w:rsidP="00A030AE">
      <w:pPr>
        <w:pStyle w:val="Para1"/>
        <w:numPr>
          <w:ilvl w:val="0"/>
          <w:numId w:val="1"/>
        </w:numPr>
        <w:tabs>
          <w:tab w:val="clear" w:pos="360"/>
          <w:tab w:val="num" w:pos="709"/>
          <w:tab w:val="left" w:pos="1080"/>
          <w:tab w:val="right" w:pos="8640"/>
        </w:tabs>
        <w:jc w:val="left"/>
        <w:rPr>
          <w:iCs/>
          <w:szCs w:val="22"/>
        </w:rPr>
      </w:pPr>
      <w:r w:rsidRPr="00042BEB">
        <w:rPr>
          <w:iCs/>
          <w:szCs w:val="22"/>
        </w:rPr>
        <w:t>In addition to the three prioritized topics above, the AHTEG also identified the following list of topics for future consideration, if and when appropriate:</w:t>
      </w:r>
      <w:r w:rsidRPr="00A030AE">
        <w:rPr>
          <w:rStyle w:val="Alaviitteenviite"/>
          <w:iCs/>
          <w:sz w:val="22"/>
          <w:szCs w:val="22"/>
          <w:u w:val="none"/>
          <w:vertAlign w:val="superscript"/>
        </w:rPr>
        <w:footnoteReference w:id="2"/>
      </w:r>
    </w:p>
    <w:p w14:paraId="044A20AB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Risk assessment of living modified animals;</w:t>
      </w:r>
    </w:p>
    <w:p w14:paraId="2AD3F10D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Risk assessment of LM insects;</w:t>
      </w:r>
    </w:p>
    <w:p w14:paraId="1FD34AA7" w14:textId="1F38AB9B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 xml:space="preserve">Risk assessment of living modified organisms created through use of dsRNA techniques, engineered to produce dsRNA or exposed to </w:t>
      </w:r>
      <w:proofErr w:type="spellStart"/>
      <w:r w:rsidRPr="008C13DD">
        <w:rPr>
          <w:iCs/>
          <w:szCs w:val="22"/>
        </w:rPr>
        <w:t>dsRNA</w:t>
      </w:r>
      <w:proofErr w:type="spellEnd"/>
      <w:r w:rsidRPr="008C13DD">
        <w:rPr>
          <w:iCs/>
          <w:szCs w:val="22"/>
        </w:rPr>
        <w:t>;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 in the Roadmap</w:t>
      </w:r>
      <w:r w:rsidR="00C9569A">
        <w:rPr>
          <w:iCs/>
          <w:color w:val="FF00FF"/>
          <w:szCs w:val="22"/>
        </w:rPr>
        <w:t xml:space="preserve"> </w:t>
      </w:r>
      <w:r w:rsidR="00C9569A">
        <w:rPr>
          <w:iCs/>
          <w:color w:val="FF0000"/>
          <w:szCs w:val="22"/>
        </w:rPr>
        <w:t>– I agree</w:t>
      </w:r>
    </w:p>
    <w:p w14:paraId="07E3B4B9" w14:textId="200B198C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 xml:space="preserve">Risk assessment of living modified organisms containing </w:t>
      </w:r>
      <w:proofErr w:type="spellStart"/>
      <w:r w:rsidRPr="008C13DD">
        <w:rPr>
          <w:iCs/>
          <w:szCs w:val="22"/>
        </w:rPr>
        <w:t>RNAi</w:t>
      </w:r>
      <w:proofErr w:type="spellEnd"/>
      <w:r w:rsidRPr="008C13DD">
        <w:rPr>
          <w:iCs/>
          <w:szCs w:val="22"/>
        </w:rPr>
        <w:t xml:space="preserve">; 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 in the roadmap</w:t>
      </w:r>
      <w:r w:rsidR="00C9569A">
        <w:rPr>
          <w:iCs/>
          <w:color w:val="FF0000"/>
          <w:szCs w:val="22"/>
        </w:rPr>
        <w:t xml:space="preserve"> – I          agree</w:t>
      </w:r>
    </w:p>
    <w:p w14:paraId="4598DEB2" w14:textId="70141CC3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 xml:space="preserve">Risk assessment of living modified organisms produced through </w:t>
      </w:r>
      <w:proofErr w:type="spellStart"/>
      <w:r w:rsidRPr="008C13DD">
        <w:rPr>
          <w:iCs/>
          <w:szCs w:val="22"/>
        </w:rPr>
        <w:t>cisgenetics</w:t>
      </w:r>
      <w:proofErr w:type="spellEnd"/>
      <w:r w:rsidRPr="008C13DD">
        <w:rPr>
          <w:iCs/>
          <w:szCs w:val="22"/>
        </w:rPr>
        <w:t>;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 in the roadmap</w:t>
      </w:r>
      <w:r w:rsidR="00C9569A">
        <w:rPr>
          <w:iCs/>
          <w:color w:val="FF00FF"/>
          <w:szCs w:val="22"/>
        </w:rPr>
        <w:t xml:space="preserve"> </w:t>
      </w:r>
      <w:r w:rsidR="00C9569A">
        <w:rPr>
          <w:iCs/>
          <w:color w:val="FF0000"/>
          <w:szCs w:val="22"/>
        </w:rPr>
        <w:t>– I agree</w:t>
      </w:r>
    </w:p>
    <w:p w14:paraId="14A42311" w14:textId="38E490B8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Risk assessment of living modified organisms that produce pharmaceutical and industrial products;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 in the roadmap</w:t>
      </w:r>
      <w:r w:rsidR="00C9569A">
        <w:rPr>
          <w:iCs/>
          <w:color w:val="FF0000"/>
          <w:szCs w:val="22"/>
        </w:rPr>
        <w:t xml:space="preserve"> – I agree</w:t>
      </w:r>
    </w:p>
    <w:p w14:paraId="77E1F2D4" w14:textId="3390BDF5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Risk assessment of nutritionally altered living modified plant;</w:t>
      </w:r>
      <w:r w:rsidR="00C9569A">
        <w:rPr>
          <w:iCs/>
          <w:color w:val="FF0000"/>
          <w:szCs w:val="22"/>
        </w:rPr>
        <w:t xml:space="preserve"> In the Roadmap</w:t>
      </w:r>
    </w:p>
    <w:p w14:paraId="322D9CF0" w14:textId="4332D214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Risk assessment of living modified organisms produced through synthetic biology;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 in the roadmap</w:t>
      </w:r>
      <w:r w:rsidR="00C9569A">
        <w:rPr>
          <w:iCs/>
          <w:color w:val="FF0000"/>
          <w:szCs w:val="22"/>
        </w:rPr>
        <w:t xml:space="preserve"> – yes, when using </w:t>
      </w:r>
      <w:proofErr w:type="spellStart"/>
      <w:r w:rsidR="00C9569A">
        <w:rPr>
          <w:iCs/>
          <w:color w:val="FF0000"/>
          <w:szCs w:val="22"/>
        </w:rPr>
        <w:t>SynBio</w:t>
      </w:r>
      <w:proofErr w:type="spellEnd"/>
      <w:r w:rsidR="00C9569A">
        <w:rPr>
          <w:iCs/>
          <w:color w:val="FF0000"/>
          <w:szCs w:val="22"/>
        </w:rPr>
        <w:t xml:space="preserve"> results into an LMO</w:t>
      </w:r>
    </w:p>
    <w:p w14:paraId="1AEA68A6" w14:textId="76709A9C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Risk assessment and management of LMOs intended for introduction into unmanaged ecosystems;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 in the roadmap</w:t>
      </w:r>
      <w:r w:rsidR="00C9569A">
        <w:rPr>
          <w:iCs/>
          <w:color w:val="FF0000"/>
          <w:szCs w:val="22"/>
        </w:rPr>
        <w:t xml:space="preserve"> – I agree</w:t>
      </w:r>
    </w:p>
    <w:p w14:paraId="2DBD6A65" w14:textId="77777777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Co-existence between LMOs and non-LMOs in the context of small scale farming;</w:t>
      </w:r>
    </w:p>
    <w:p w14:paraId="56A7601C" w14:textId="481BFFBC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Guidance on integrating human health into the environmental risk assessment;</w:t>
      </w:r>
      <w:r w:rsidR="00457422">
        <w:rPr>
          <w:iCs/>
          <w:szCs w:val="22"/>
        </w:rPr>
        <w:t xml:space="preserve"> </w:t>
      </w:r>
      <w:r w:rsidR="00457422" w:rsidRPr="00457422">
        <w:rPr>
          <w:iCs/>
          <w:color w:val="FF00FF"/>
          <w:szCs w:val="22"/>
        </w:rPr>
        <w:t>yes in the roadmap</w:t>
      </w:r>
      <w:r w:rsidR="00C9569A">
        <w:rPr>
          <w:iCs/>
          <w:color w:val="FF0000"/>
          <w:szCs w:val="22"/>
        </w:rPr>
        <w:t xml:space="preserve"> – I agree</w:t>
      </w:r>
    </w:p>
    <w:p w14:paraId="6E1EED95" w14:textId="7BA31642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t>Guidance on health impacts of LMOs and herbicides that are part of the technology package that accompanies them;</w:t>
      </w:r>
      <w:r w:rsidR="00C9569A">
        <w:rPr>
          <w:iCs/>
          <w:szCs w:val="22"/>
        </w:rPr>
        <w:t xml:space="preserve"> </w:t>
      </w:r>
      <w:r w:rsidR="00C9569A">
        <w:rPr>
          <w:iCs/>
          <w:color w:val="FF0000"/>
          <w:szCs w:val="22"/>
        </w:rPr>
        <w:t>I have no clear view on this at this point</w:t>
      </w:r>
    </w:p>
    <w:p w14:paraId="338D5E0C" w14:textId="7E479204" w:rsidR="00A030AE" w:rsidRPr="008C13DD" w:rsidRDefault="00A030AE" w:rsidP="00A030AE">
      <w:pPr>
        <w:pStyle w:val="Para1"/>
        <w:numPr>
          <w:ilvl w:val="0"/>
          <w:numId w:val="3"/>
        </w:numPr>
        <w:tabs>
          <w:tab w:val="left" w:pos="284"/>
          <w:tab w:val="left" w:pos="1440"/>
        </w:tabs>
        <w:spacing w:before="60" w:after="60"/>
        <w:ind w:left="0" w:firstLine="720"/>
        <w:rPr>
          <w:iCs/>
          <w:szCs w:val="22"/>
        </w:rPr>
      </w:pPr>
      <w:r w:rsidRPr="008C13DD">
        <w:rPr>
          <w:iCs/>
          <w:szCs w:val="22"/>
        </w:rPr>
        <w:lastRenderedPageBreak/>
        <w:t xml:space="preserve">Guidance on the synergistic impacts of different herbicides that are part of the technology package that accompanies certain LMOs. </w:t>
      </w:r>
      <w:r w:rsidR="0087715B">
        <w:rPr>
          <w:iCs/>
          <w:color w:val="FF0000"/>
          <w:szCs w:val="22"/>
        </w:rPr>
        <w:t>Possibly into the Roadmap?</w:t>
      </w:r>
    </w:p>
    <w:p w14:paraId="515DC202" w14:textId="77777777" w:rsidR="00D10DE2" w:rsidRPr="00A030AE" w:rsidRDefault="00D10DE2">
      <w:pPr>
        <w:rPr>
          <w:lang w:val="en-GB"/>
        </w:rPr>
      </w:pPr>
    </w:p>
    <w:sectPr w:rsidR="00D10DE2" w:rsidRPr="00A030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DE252" w14:textId="77777777" w:rsidR="005B1956" w:rsidRDefault="005B1956" w:rsidP="00A030AE">
      <w:pPr>
        <w:spacing w:after="0" w:line="240" w:lineRule="auto"/>
      </w:pPr>
      <w:r>
        <w:separator/>
      </w:r>
    </w:p>
  </w:endnote>
  <w:endnote w:type="continuationSeparator" w:id="0">
    <w:p w14:paraId="55832FE8" w14:textId="77777777" w:rsidR="005B1956" w:rsidRDefault="005B1956" w:rsidP="00A0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15391" w14:textId="77777777" w:rsidR="005B1956" w:rsidRDefault="005B1956" w:rsidP="00A030AE">
      <w:pPr>
        <w:spacing w:after="0" w:line="240" w:lineRule="auto"/>
      </w:pPr>
      <w:r>
        <w:separator/>
      </w:r>
    </w:p>
  </w:footnote>
  <w:footnote w:type="continuationSeparator" w:id="0">
    <w:p w14:paraId="35DE34A7" w14:textId="77777777" w:rsidR="005B1956" w:rsidRDefault="005B1956" w:rsidP="00A030AE">
      <w:pPr>
        <w:spacing w:after="0" w:line="240" w:lineRule="auto"/>
      </w:pPr>
      <w:r>
        <w:continuationSeparator/>
      </w:r>
    </w:p>
  </w:footnote>
  <w:footnote w:id="1">
    <w:p w14:paraId="24F12C12" w14:textId="77777777" w:rsidR="00A030AE" w:rsidRPr="00D043DA" w:rsidRDefault="00A030AE" w:rsidP="00A030AE">
      <w:pPr>
        <w:pStyle w:val="Alaviitteenteksti"/>
        <w:ind w:firstLine="0"/>
        <w:rPr>
          <w:lang w:val="en-CA"/>
        </w:rPr>
      </w:pPr>
      <w:r w:rsidRPr="00A030AE">
        <w:rPr>
          <w:rStyle w:val="Alaviitteenviite"/>
          <w:sz w:val="22"/>
          <w:szCs w:val="22"/>
          <w:u w:val="none"/>
          <w:vertAlign w:val="superscript"/>
        </w:rPr>
        <w:footnoteRef/>
      </w:r>
      <w:r w:rsidRPr="00A030AE">
        <w:rPr>
          <w:sz w:val="22"/>
          <w:szCs w:val="22"/>
        </w:rPr>
        <w:t xml:space="preserve"> </w:t>
      </w:r>
      <w:r>
        <w:tab/>
      </w:r>
      <w:r>
        <w:rPr>
          <w:lang w:val="en-CA"/>
        </w:rPr>
        <w:t>The topics listed are not ranked in any particular order.</w:t>
      </w:r>
    </w:p>
  </w:footnote>
  <w:footnote w:id="2">
    <w:p w14:paraId="53347C50" w14:textId="77777777" w:rsidR="00A030AE" w:rsidRPr="00C15E64" w:rsidRDefault="00A030AE" w:rsidP="00A030AE">
      <w:pPr>
        <w:pStyle w:val="Alaviitteenteksti"/>
        <w:ind w:firstLine="0"/>
        <w:rPr>
          <w:lang w:val="en-CA"/>
        </w:rPr>
      </w:pPr>
      <w:r w:rsidRPr="00A030AE">
        <w:rPr>
          <w:rStyle w:val="Alaviitteenviite"/>
          <w:sz w:val="22"/>
          <w:szCs w:val="22"/>
          <w:u w:val="none"/>
          <w:vertAlign w:val="superscript"/>
        </w:rPr>
        <w:footnoteRef/>
      </w:r>
      <w:r w:rsidRPr="00A030AE">
        <w:rPr>
          <w:sz w:val="22"/>
          <w:szCs w:val="22"/>
        </w:rPr>
        <w:t xml:space="preserve"> </w:t>
      </w:r>
      <w:r>
        <w:tab/>
      </w:r>
      <w:r>
        <w:rPr>
          <w:lang w:val="en-CA"/>
        </w:rPr>
        <w:t xml:space="preserve">The topics listed are not ranked in any particular order and include topics that were originally in documents </w:t>
      </w:r>
      <w:r w:rsidRPr="00750214">
        <w:t>UNEP/CBD/BS/AHTEG-RA&amp;RM/</w:t>
      </w:r>
      <w:r>
        <w:t>5</w:t>
      </w:r>
      <w:r w:rsidRPr="00750214">
        <w:t>/1/Add.1</w:t>
      </w:r>
      <w:r>
        <w:rPr>
          <w:lang w:val="en-CA"/>
        </w:rPr>
        <w:t xml:space="preserve"> and </w:t>
      </w:r>
      <w:r w:rsidRPr="004D759F">
        <w:t>UNEP/CBD/BS/AHTEG-RA&amp;RM/5/</w:t>
      </w:r>
      <w:r>
        <w:t>5</w:t>
      </w:r>
      <w:r>
        <w:rPr>
          <w:lang w:val="en-CA"/>
        </w:rPr>
        <w:t>, noting that some topics were removed from the original lists as they are already being addressed by other fora under the Protocol.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F7B"/>
    <w:multiLevelType w:val="hybridMultilevel"/>
    <w:tmpl w:val="A8E6ECC0"/>
    <w:lvl w:ilvl="0" w:tplc="BB8A30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74639"/>
    <w:multiLevelType w:val="hybridMultilevel"/>
    <w:tmpl w:val="2FB4570C"/>
    <w:lvl w:ilvl="0" w:tplc="D13C94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23244"/>
    <w:multiLevelType w:val="multilevel"/>
    <w:tmpl w:val="E63AD39C"/>
    <w:lvl w:ilvl="0">
      <w:start w:val="37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2"/>
      </w:rPr>
    </w:lvl>
    <w:lvl w:ilvl="1">
      <w:start w:val="1"/>
      <w:numFmt w:val="lowerRoman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AE"/>
    <w:rsid w:val="001C30E1"/>
    <w:rsid w:val="00457422"/>
    <w:rsid w:val="005B1956"/>
    <w:rsid w:val="0071478F"/>
    <w:rsid w:val="0087715B"/>
    <w:rsid w:val="00A030AE"/>
    <w:rsid w:val="00BD4E1E"/>
    <w:rsid w:val="00C9569A"/>
    <w:rsid w:val="00D10DE2"/>
    <w:rsid w:val="00E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43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1">
    <w:name w:val="Para1"/>
    <w:basedOn w:val="Normaali"/>
    <w:rsid w:val="00A030A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Cs w:val="18"/>
      <w:lang w:val="en-GB"/>
    </w:rPr>
  </w:style>
  <w:style w:type="paragraph" w:styleId="Alaviitteenteksti">
    <w:name w:val="footnote text"/>
    <w:basedOn w:val="Normaali"/>
    <w:link w:val="AlaviitteentekstiChar"/>
    <w:uiPriority w:val="99"/>
    <w:rsid w:val="00A030AE"/>
    <w:pPr>
      <w:keepLines/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18"/>
      <w:szCs w:val="24"/>
      <w:lang w:val="en-GB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A030AE"/>
    <w:rPr>
      <w:rFonts w:ascii="Times New Roman" w:eastAsia="Times New Roman" w:hAnsi="Times New Roman" w:cs="Times New Roman"/>
      <w:sz w:val="18"/>
      <w:szCs w:val="24"/>
      <w:lang w:val="en-GB"/>
    </w:rPr>
  </w:style>
  <w:style w:type="character" w:styleId="Alaviitteenviite">
    <w:name w:val="footnote reference"/>
    <w:uiPriority w:val="99"/>
    <w:rsid w:val="00A030AE"/>
    <w:rPr>
      <w:sz w:val="18"/>
      <w:u w:val="singl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1">
    <w:name w:val="Para1"/>
    <w:basedOn w:val="Normaali"/>
    <w:rsid w:val="00A030A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Cs w:val="18"/>
      <w:lang w:val="en-GB"/>
    </w:rPr>
  </w:style>
  <w:style w:type="paragraph" w:styleId="Alaviitteenteksti">
    <w:name w:val="footnote text"/>
    <w:basedOn w:val="Normaali"/>
    <w:link w:val="AlaviitteentekstiChar"/>
    <w:uiPriority w:val="99"/>
    <w:rsid w:val="00A030AE"/>
    <w:pPr>
      <w:keepLines/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18"/>
      <w:szCs w:val="24"/>
      <w:lang w:val="en-GB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A030AE"/>
    <w:rPr>
      <w:rFonts w:ascii="Times New Roman" w:eastAsia="Times New Roman" w:hAnsi="Times New Roman" w:cs="Times New Roman"/>
      <w:sz w:val="18"/>
      <w:szCs w:val="24"/>
      <w:lang w:val="en-GB"/>
    </w:rPr>
  </w:style>
  <w:style w:type="character" w:styleId="Alaviitteenviite">
    <w:name w:val="footnote reference"/>
    <w:uiPriority w:val="99"/>
    <w:rsid w:val="00A030AE"/>
    <w:rPr>
      <w:sz w:val="18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2205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Manoela</dc:creator>
  <cp:lastModifiedBy>Anonymous</cp:lastModifiedBy>
  <cp:revision>2</cp:revision>
  <dcterms:created xsi:type="dcterms:W3CDTF">2015-04-12T22:22:00Z</dcterms:created>
  <dcterms:modified xsi:type="dcterms:W3CDTF">2015-04-12T22:22:00Z</dcterms:modified>
</cp:coreProperties>
</file>