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BC" w:rsidRPr="004C20BC" w:rsidRDefault="004C20BC" w:rsidP="004C20BC">
      <w:pPr>
        <w:spacing w:before="120"/>
        <w:rPr>
          <w:sz w:val="28"/>
          <w:szCs w:val="28"/>
        </w:rPr>
      </w:pPr>
      <w:r w:rsidRPr="004C20BC">
        <w:rPr>
          <w:sz w:val="28"/>
          <w:szCs w:val="28"/>
        </w:rPr>
        <w:t xml:space="preserve">Sub-category: Audience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Tr="004D11BF">
        <w:tc>
          <w:tcPr>
            <w:tcW w:w="3192" w:type="dxa"/>
          </w:tcPr>
          <w:p w:rsidR="004C20BC" w:rsidRDefault="004C20BC">
            <w:r>
              <w:t>Identified challenges</w:t>
            </w:r>
          </w:p>
        </w:tc>
        <w:tc>
          <w:tcPr>
            <w:tcW w:w="3192" w:type="dxa"/>
          </w:tcPr>
          <w:p w:rsidR="004C20BC" w:rsidRDefault="004C20BC">
            <w:r>
              <w:t>Possible way forward</w:t>
            </w:r>
          </w:p>
        </w:tc>
        <w:tc>
          <w:tcPr>
            <w:tcW w:w="3192" w:type="dxa"/>
          </w:tcPr>
          <w:p w:rsidR="004C20BC" w:rsidRDefault="004C20BC">
            <w:r>
              <w:t>Notes (if needed)</w:t>
            </w:r>
          </w:p>
        </w:tc>
      </w:tr>
      <w:tr w:rsidR="004C20BC" w:rsidTr="004D11BF">
        <w:tc>
          <w:tcPr>
            <w:tcW w:w="3192" w:type="dxa"/>
          </w:tcPr>
          <w:p w:rsidR="00311E94" w:rsidRPr="0052571C" w:rsidRDefault="00311E94" w:rsidP="00696B0A">
            <w:pPr>
              <w:rPr>
                <w:b/>
                <w:lang w:val="en-US"/>
              </w:rPr>
            </w:pPr>
            <w:r w:rsidRPr="0052571C">
              <w:rPr>
                <w:b/>
                <w:lang w:val="en-US"/>
              </w:rPr>
              <w:t>Roadmap:</w:t>
            </w:r>
          </w:p>
          <w:p w:rsidR="00311E94" w:rsidRPr="00360F7E" w:rsidRDefault="00696B0A" w:rsidP="00696B0A">
            <w:pPr>
              <w:rPr>
                <w:lang w:val="en-US"/>
              </w:rPr>
            </w:pPr>
            <w:r w:rsidRPr="00360F7E">
              <w:rPr>
                <w:lang w:val="en-US"/>
              </w:rPr>
              <w:t>ID 197</w:t>
            </w:r>
            <w:r w:rsidR="000A08CE" w:rsidRPr="00360F7E">
              <w:rPr>
                <w:lang w:val="en-US"/>
              </w:rPr>
              <w:t xml:space="preserve"> </w:t>
            </w:r>
            <w:r w:rsidR="00311E94" w:rsidRPr="00360F7E">
              <w:rPr>
                <w:lang w:val="en-US"/>
              </w:rPr>
              <w:t>(</w:t>
            </w:r>
            <w:r w:rsidR="000A08CE" w:rsidRPr="00360F7E">
              <w:rPr>
                <w:lang w:val="en-US"/>
              </w:rPr>
              <w:t>RM</w:t>
            </w:r>
            <w:r w:rsidR="00311E94" w:rsidRPr="00360F7E">
              <w:rPr>
                <w:lang w:val="en-US"/>
              </w:rPr>
              <w:t>)</w:t>
            </w:r>
            <w:r w:rsidR="000A08CE" w:rsidRPr="00360F7E">
              <w:rPr>
                <w:lang w:val="en-US"/>
              </w:rPr>
              <w:t xml:space="preserve"> </w:t>
            </w:r>
            <w:r w:rsidR="00311E94" w:rsidRPr="00360F7E">
              <w:rPr>
                <w:lang w:val="en-US"/>
              </w:rPr>
              <w:t>and ID 49 (General</w:t>
            </w:r>
            <w:r w:rsidR="00360F7E" w:rsidRPr="00360F7E">
              <w:rPr>
                <w:lang w:val="en-US"/>
              </w:rPr>
              <w:t xml:space="preserve"> comments</w:t>
            </w:r>
            <w:r w:rsidR="00311E94" w:rsidRPr="00360F7E">
              <w:rPr>
                <w:lang w:val="en-US"/>
              </w:rPr>
              <w:t>)</w:t>
            </w:r>
            <w:r w:rsidR="00360F7E" w:rsidRPr="00360F7E">
              <w:rPr>
                <w:lang w:val="en-US"/>
              </w:rPr>
              <w:t xml:space="preserve">: </w:t>
            </w:r>
            <w:r w:rsidR="00311E94" w:rsidRPr="00360F7E">
              <w:rPr>
                <w:lang w:val="en-US"/>
              </w:rPr>
              <w:t>Both comments ask for clarification of the audience</w:t>
            </w:r>
            <w:r w:rsidR="00360F7E" w:rsidRPr="00360F7E">
              <w:rPr>
                <w:lang w:val="en-US"/>
              </w:rPr>
              <w:t xml:space="preserve">; </w:t>
            </w:r>
            <w:r w:rsidR="00360F7E">
              <w:rPr>
                <w:lang w:val="en-US"/>
              </w:rPr>
              <w:t xml:space="preserve">and discuss </w:t>
            </w:r>
            <w:r w:rsidR="00360F7E" w:rsidRPr="00360F7E">
              <w:rPr>
                <w:lang w:val="en-US"/>
              </w:rPr>
              <w:t>experienced vs novice risk assessors.</w:t>
            </w:r>
          </w:p>
          <w:p w:rsidR="00360F7E" w:rsidRPr="00360F7E" w:rsidRDefault="00360F7E" w:rsidP="00696B0A">
            <w:pPr>
              <w:rPr>
                <w:lang w:val="en-US"/>
              </w:rPr>
            </w:pPr>
            <w:r w:rsidRPr="00360F7E">
              <w:rPr>
                <w:lang w:val="en-US"/>
              </w:rPr>
              <w:t>(Also ID 39 – Abiotic and ID 17 -LM trees refer to novice-unexperienced risk assessors).</w:t>
            </w:r>
          </w:p>
          <w:p w:rsidR="00311E94" w:rsidRPr="00360F7E" w:rsidRDefault="00311E94" w:rsidP="00696B0A">
            <w:pPr>
              <w:rPr>
                <w:lang w:val="en-US"/>
              </w:rPr>
            </w:pPr>
          </w:p>
          <w:p w:rsidR="00696B0A" w:rsidRPr="00696B0A" w:rsidRDefault="00696B0A">
            <w:pPr>
              <w:rPr>
                <w:lang w:val="en-US"/>
              </w:rPr>
            </w:pPr>
          </w:p>
          <w:p w:rsidR="004C20BC" w:rsidRDefault="004C20BC"/>
          <w:p w:rsidR="004C20BC" w:rsidRDefault="004C20BC"/>
          <w:p w:rsidR="004C20BC" w:rsidRDefault="004C20BC"/>
          <w:p w:rsidR="004C20BC" w:rsidRDefault="004C20BC"/>
          <w:p w:rsidR="004C20BC" w:rsidRDefault="004C20BC"/>
          <w:p w:rsidR="004C20BC" w:rsidRDefault="004C20BC"/>
          <w:p w:rsidR="004C20BC" w:rsidRDefault="004C20BC"/>
          <w:p w:rsidR="004C20BC" w:rsidRDefault="004C20BC"/>
          <w:p w:rsidR="004C20BC" w:rsidRDefault="004C20BC"/>
        </w:tc>
        <w:tc>
          <w:tcPr>
            <w:tcW w:w="3192" w:type="dxa"/>
          </w:tcPr>
          <w:p w:rsidR="00C7361F" w:rsidRPr="004D11BF" w:rsidRDefault="004D11BF" w:rsidP="00445B71">
            <w:pPr>
              <w:rPr>
                <w:lang w:val="en-US"/>
              </w:rPr>
            </w:pPr>
            <w:r>
              <w:rPr>
                <w:lang w:val="en-US"/>
              </w:rPr>
              <w:t xml:space="preserve">The RM is a guidance document and should be used together with the background material, not only as a stand-alone document. </w:t>
            </w:r>
            <w:r w:rsidR="00360F7E">
              <w:rPr>
                <w:lang w:val="en-US"/>
              </w:rPr>
              <w:t xml:space="preserve">We could make reference to the training manual </w:t>
            </w:r>
            <w:r>
              <w:rPr>
                <w:lang w:val="en-US"/>
              </w:rPr>
              <w:t xml:space="preserve">and its use in training situations. </w:t>
            </w:r>
            <w:r w:rsidR="00BE46F5">
              <w:rPr>
                <w:lang w:val="en-US"/>
              </w:rPr>
              <w:t xml:space="preserve">If necessary, we could add something about the importance of </w:t>
            </w:r>
            <w:proofErr w:type="gramStart"/>
            <w:r w:rsidR="00BE46F5">
              <w:rPr>
                <w:lang w:val="en-US"/>
              </w:rPr>
              <w:t>training,</w:t>
            </w:r>
            <w:proofErr w:type="gramEnd"/>
            <w:r w:rsidR="00BE46F5">
              <w:rPr>
                <w:lang w:val="en-US"/>
              </w:rPr>
              <w:t xml:space="preserve"> emphasize team-work and usefulness of different disciplines when performing RA, doing RA is a complex task that one needs to study (that is the purpose of the background material). </w:t>
            </w:r>
          </w:p>
        </w:tc>
        <w:tc>
          <w:tcPr>
            <w:tcW w:w="3192" w:type="dxa"/>
          </w:tcPr>
          <w:p w:rsidR="004C20BC" w:rsidRPr="00BE46F5" w:rsidRDefault="00360F7E">
            <w:pPr>
              <w:rPr>
                <w:lang w:val="en-US"/>
              </w:rPr>
            </w:pPr>
            <w:r w:rsidRPr="00BE46F5">
              <w:rPr>
                <w:lang w:val="en-US"/>
              </w:rPr>
              <w:t>See preface and background (paragraph</w:t>
            </w:r>
            <w:r w:rsidR="004D11BF" w:rsidRPr="00BE46F5">
              <w:rPr>
                <w:lang w:val="en-US"/>
              </w:rPr>
              <w:t xml:space="preserve"> 1)</w:t>
            </w:r>
          </w:p>
        </w:tc>
      </w:tr>
    </w:tbl>
    <w:p w:rsidR="004C20BC" w:rsidRDefault="004C20BC">
      <w:pPr>
        <w:rPr>
          <w:sz w:val="28"/>
          <w:szCs w:val="28"/>
        </w:rPr>
      </w:pPr>
    </w:p>
    <w:p w:rsidR="004C20BC" w:rsidRPr="004C20BC" w:rsidRDefault="004C20BC">
      <w:pPr>
        <w:rPr>
          <w:sz w:val="28"/>
          <w:szCs w:val="28"/>
        </w:rPr>
      </w:pPr>
      <w:r w:rsidRPr="004C20BC">
        <w:rPr>
          <w:sz w:val="28"/>
          <w:szCs w:val="28"/>
        </w:rPr>
        <w:t>Sub-category: Scope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Tr="007C4D71">
        <w:tc>
          <w:tcPr>
            <w:tcW w:w="3192" w:type="dxa"/>
          </w:tcPr>
          <w:p w:rsidR="004C20BC" w:rsidRDefault="004C20BC" w:rsidP="007C4D71">
            <w:r>
              <w:t>Identified challenges</w:t>
            </w:r>
          </w:p>
        </w:tc>
        <w:tc>
          <w:tcPr>
            <w:tcW w:w="3192" w:type="dxa"/>
          </w:tcPr>
          <w:p w:rsidR="004C20BC" w:rsidRDefault="004C20BC" w:rsidP="007C4D71">
            <w:r>
              <w:t>Possible way forward</w:t>
            </w:r>
          </w:p>
        </w:tc>
        <w:tc>
          <w:tcPr>
            <w:tcW w:w="3192" w:type="dxa"/>
          </w:tcPr>
          <w:p w:rsidR="004C20BC" w:rsidRDefault="004C20BC" w:rsidP="007C4D71">
            <w:r>
              <w:t>Notes (if needed)</w:t>
            </w:r>
          </w:p>
        </w:tc>
      </w:tr>
      <w:tr w:rsidR="004C20BC" w:rsidTr="007C4D71">
        <w:tc>
          <w:tcPr>
            <w:tcW w:w="3192" w:type="dxa"/>
          </w:tcPr>
          <w:p w:rsidR="004C20BC" w:rsidRPr="007B349E" w:rsidRDefault="0052571C" w:rsidP="007C4D71">
            <w:pPr>
              <w:rPr>
                <w:lang w:val="en-US"/>
              </w:rPr>
            </w:pPr>
            <w:proofErr w:type="spellStart"/>
            <w:proofErr w:type="gramStart"/>
            <w:r w:rsidRPr="0052571C">
              <w:rPr>
                <w:b/>
              </w:rPr>
              <w:t>Roadmap</w:t>
            </w:r>
            <w:proofErr w:type="spellEnd"/>
            <w:r w:rsidRPr="0052571C">
              <w:rPr>
                <w:b/>
              </w:rPr>
              <w:t>:</w:t>
            </w:r>
            <w:r>
              <w:t xml:space="preserve"> </w:t>
            </w:r>
            <w:r w:rsidR="000A08CE" w:rsidRPr="007B349E">
              <w:rPr>
                <w:lang w:val="en-US"/>
              </w:rPr>
              <w:t xml:space="preserve"> </w:t>
            </w:r>
            <w:r w:rsidR="008D1C18" w:rsidRPr="007B349E">
              <w:rPr>
                <w:lang w:val="en-US"/>
              </w:rPr>
              <w:t>ID</w:t>
            </w:r>
            <w:proofErr w:type="gramEnd"/>
            <w:r w:rsidR="008D1C18" w:rsidRPr="007B349E">
              <w:rPr>
                <w:lang w:val="en-US"/>
              </w:rPr>
              <w:t xml:space="preserve"> 185</w:t>
            </w:r>
            <w:r w:rsidR="000A08CE" w:rsidRPr="007B349E">
              <w:rPr>
                <w:lang w:val="en-US"/>
              </w:rPr>
              <w:t>,</w:t>
            </w:r>
            <w:r w:rsidR="008D1C18" w:rsidRPr="007B349E">
              <w:rPr>
                <w:lang w:val="en-US"/>
              </w:rPr>
              <w:t xml:space="preserve"> 219</w:t>
            </w:r>
            <w:r w:rsidR="000A08CE" w:rsidRPr="007B349E">
              <w:rPr>
                <w:lang w:val="en-US"/>
              </w:rPr>
              <w:t xml:space="preserve">, </w:t>
            </w:r>
            <w:r w:rsidR="00DB5202">
              <w:rPr>
                <w:lang w:val="en-US"/>
              </w:rPr>
              <w:t xml:space="preserve">237, </w:t>
            </w:r>
            <w:r w:rsidR="008D1C18" w:rsidRPr="007B349E">
              <w:rPr>
                <w:lang w:val="en-US"/>
              </w:rPr>
              <w:t>300</w:t>
            </w:r>
            <w:r w:rsidR="000A08CE" w:rsidRPr="007B349E">
              <w:rPr>
                <w:lang w:val="en-US"/>
              </w:rPr>
              <w:t>,</w:t>
            </w:r>
            <w:r w:rsidR="008D1C18" w:rsidRPr="007B349E">
              <w:rPr>
                <w:lang w:val="en-US"/>
              </w:rPr>
              <w:t xml:space="preserve"> 341</w:t>
            </w:r>
            <w:r w:rsidR="000A08CE" w:rsidRPr="007B349E">
              <w:rPr>
                <w:lang w:val="en-US"/>
              </w:rPr>
              <w:t xml:space="preserve">, </w:t>
            </w:r>
            <w:r w:rsidR="008D1C18" w:rsidRPr="007B349E">
              <w:rPr>
                <w:lang w:val="en-US"/>
              </w:rPr>
              <w:t>483</w:t>
            </w:r>
            <w:r w:rsidR="000A08CE" w:rsidRPr="007B349E">
              <w:rPr>
                <w:lang w:val="en-US"/>
              </w:rPr>
              <w:t xml:space="preserve">, </w:t>
            </w:r>
            <w:r w:rsidR="008D1C18" w:rsidRPr="007B349E">
              <w:rPr>
                <w:lang w:val="en-US"/>
              </w:rPr>
              <w:t xml:space="preserve">487  </w:t>
            </w:r>
          </w:p>
          <w:p w:rsidR="002A43AE" w:rsidRPr="007B349E" w:rsidRDefault="00136462" w:rsidP="002A43AE">
            <w:pPr>
              <w:rPr>
                <w:lang w:val="en-US"/>
              </w:rPr>
            </w:pPr>
            <w:r>
              <w:rPr>
                <w:lang w:val="en-US"/>
              </w:rPr>
              <w:t>There is a need to clarify the importance of sc</w:t>
            </w:r>
            <w:r w:rsidR="00FB023C">
              <w:rPr>
                <w:lang w:val="en-US"/>
              </w:rPr>
              <w:t>ale and duration of a release; T</w:t>
            </w:r>
            <w:r>
              <w:rPr>
                <w:lang w:val="en-US"/>
              </w:rPr>
              <w:t xml:space="preserve">he difference of field trials </w:t>
            </w:r>
            <w:r w:rsidR="000A08CE" w:rsidRPr="007B349E">
              <w:rPr>
                <w:lang w:val="en-US"/>
              </w:rPr>
              <w:t xml:space="preserve">vs </w:t>
            </w:r>
            <w:r w:rsidR="00DB5202">
              <w:rPr>
                <w:lang w:val="en-US"/>
              </w:rPr>
              <w:t>F&amp;F import only vs cultivation</w:t>
            </w:r>
            <w:r w:rsidR="000A08CE" w:rsidRPr="007B349E">
              <w:rPr>
                <w:lang w:val="en-US"/>
              </w:rPr>
              <w:t xml:space="preserve"> (see step 1 in particular)</w:t>
            </w:r>
            <w:r w:rsidR="00FB023C">
              <w:rPr>
                <w:lang w:val="en-US"/>
              </w:rPr>
              <w:t>; T</w:t>
            </w:r>
            <w:r>
              <w:rPr>
                <w:lang w:val="en-US"/>
              </w:rPr>
              <w:t>he relevance of c</w:t>
            </w:r>
            <w:r w:rsidR="000A08CE" w:rsidRPr="007B349E">
              <w:rPr>
                <w:lang w:val="en-US"/>
              </w:rPr>
              <w:t>onfined vs unconfined</w:t>
            </w:r>
            <w:r w:rsidR="00FB023C">
              <w:rPr>
                <w:lang w:val="en-US"/>
              </w:rPr>
              <w:t>; D</w:t>
            </w:r>
            <w:r w:rsidR="000A08CE" w:rsidRPr="007B349E">
              <w:rPr>
                <w:lang w:val="en-US"/>
              </w:rPr>
              <w:t>ifference in data requirements</w:t>
            </w:r>
            <w:r>
              <w:rPr>
                <w:lang w:val="en-US"/>
              </w:rPr>
              <w:t xml:space="preserve"> of field trials vs c</w:t>
            </w:r>
            <w:r w:rsidR="008D192E">
              <w:rPr>
                <w:lang w:val="en-US"/>
              </w:rPr>
              <w:t>ultivation</w:t>
            </w:r>
            <w:r w:rsidR="002A43AE">
              <w:rPr>
                <w:lang w:val="en-US"/>
              </w:rPr>
              <w:t xml:space="preserve">; </w:t>
            </w:r>
            <w:r w:rsidR="00FB023C">
              <w:rPr>
                <w:lang w:val="en-US"/>
              </w:rPr>
              <w:t>L</w:t>
            </w:r>
            <w:r w:rsidR="002A43AE" w:rsidRPr="007B349E">
              <w:rPr>
                <w:lang w:val="en-US"/>
              </w:rPr>
              <w:t xml:space="preserve">ikelihood </w:t>
            </w:r>
            <w:r w:rsidR="00DB5202">
              <w:rPr>
                <w:lang w:val="en-US"/>
              </w:rPr>
              <w:t xml:space="preserve">estimation </w:t>
            </w:r>
            <w:r w:rsidR="008D192E">
              <w:rPr>
                <w:lang w:val="en-US"/>
              </w:rPr>
              <w:t>in field trials vs cultivation</w:t>
            </w:r>
            <w:r w:rsidR="002A43AE">
              <w:rPr>
                <w:lang w:val="en-US"/>
              </w:rPr>
              <w:t xml:space="preserve"> (see step 3)</w:t>
            </w:r>
            <w:r w:rsidR="008D192E">
              <w:rPr>
                <w:lang w:val="en-US"/>
              </w:rPr>
              <w:t xml:space="preserve">; </w:t>
            </w:r>
            <w:r w:rsidR="002A43AE" w:rsidRPr="00FB023C">
              <w:rPr>
                <w:i/>
                <w:lang w:val="en-US"/>
              </w:rPr>
              <w:t>Spillage during handling and transport</w:t>
            </w:r>
            <w:r w:rsidR="00DB5202" w:rsidRPr="00FB023C">
              <w:rPr>
                <w:i/>
                <w:lang w:val="en-US"/>
              </w:rPr>
              <w:t xml:space="preserve"> not </w:t>
            </w:r>
            <w:r w:rsidR="008D192E" w:rsidRPr="00FB023C">
              <w:rPr>
                <w:i/>
                <w:lang w:val="en-US"/>
              </w:rPr>
              <w:t>addressed</w:t>
            </w:r>
            <w:r w:rsidR="002A43AE" w:rsidRPr="00FB023C">
              <w:rPr>
                <w:i/>
                <w:lang w:val="en-US"/>
              </w:rPr>
              <w:t>.</w:t>
            </w:r>
          </w:p>
          <w:p w:rsidR="000A08CE" w:rsidRPr="007B349E" w:rsidRDefault="000A08CE" w:rsidP="007C4D71">
            <w:pPr>
              <w:rPr>
                <w:lang w:val="en-US"/>
              </w:rPr>
            </w:pPr>
          </w:p>
          <w:p w:rsidR="00136462" w:rsidRDefault="0052571C" w:rsidP="007C4D71">
            <w:pPr>
              <w:rPr>
                <w:lang w:val="en-US"/>
              </w:rPr>
            </w:pPr>
            <w:r w:rsidRPr="0052571C">
              <w:rPr>
                <w:b/>
                <w:lang w:val="en-US"/>
              </w:rPr>
              <w:t>Roadmap</w:t>
            </w:r>
            <w:r w:rsidR="00136462">
              <w:rPr>
                <w:lang w:val="en-US"/>
              </w:rPr>
              <w:t xml:space="preserve">: </w:t>
            </w:r>
            <w:r w:rsidR="008D192E">
              <w:rPr>
                <w:lang w:val="en-US"/>
              </w:rPr>
              <w:t>ID 390 and ID 391</w:t>
            </w:r>
          </w:p>
          <w:p w:rsidR="00D93EA0" w:rsidRPr="007B349E" w:rsidRDefault="00E46F15" w:rsidP="007C4D71">
            <w:pPr>
              <w:rPr>
                <w:lang w:val="en-US"/>
              </w:rPr>
            </w:pPr>
            <w:r>
              <w:rPr>
                <w:lang w:val="en-US"/>
              </w:rPr>
              <w:t>Restricted to GM-plants.</w:t>
            </w:r>
          </w:p>
          <w:p w:rsidR="000A08CE" w:rsidRDefault="000A08CE" w:rsidP="007C4D71"/>
          <w:p w:rsidR="004C20BC" w:rsidRDefault="004C20BC" w:rsidP="007C4D71"/>
        </w:tc>
        <w:tc>
          <w:tcPr>
            <w:tcW w:w="3192" w:type="dxa"/>
          </w:tcPr>
          <w:p w:rsidR="004C20BC" w:rsidRDefault="002A43AE" w:rsidP="008D192E">
            <w:pPr>
              <w:rPr>
                <w:lang w:val="en-US"/>
              </w:rPr>
            </w:pPr>
            <w:r w:rsidRPr="002A43AE">
              <w:rPr>
                <w:lang w:val="en-US"/>
              </w:rPr>
              <w:lastRenderedPageBreak/>
              <w:t>We need to make sure that there is a clear understanding of differences between field trials</w:t>
            </w:r>
            <w:r w:rsidR="008D192E">
              <w:rPr>
                <w:lang w:val="en-US"/>
              </w:rPr>
              <w:t>, F&amp;F import only</w:t>
            </w:r>
            <w:r w:rsidRPr="002A43AE">
              <w:rPr>
                <w:lang w:val="en-US"/>
              </w:rPr>
              <w:t xml:space="preserve"> and c</w:t>
            </w:r>
            <w:r w:rsidR="008D192E">
              <w:rPr>
                <w:lang w:val="en-US"/>
              </w:rPr>
              <w:t xml:space="preserve">ultivation </w:t>
            </w:r>
            <w:r w:rsidRPr="002A43AE">
              <w:rPr>
                <w:lang w:val="en-US"/>
              </w:rPr>
              <w:t xml:space="preserve">(scale, duration, </w:t>
            </w:r>
            <w:r w:rsidR="0052571C">
              <w:rPr>
                <w:lang w:val="en-US"/>
              </w:rPr>
              <w:t xml:space="preserve">confinement, </w:t>
            </w:r>
            <w:r w:rsidRPr="002A43AE">
              <w:rPr>
                <w:lang w:val="en-US"/>
              </w:rPr>
              <w:t>data requirements, pu</w:t>
            </w:r>
            <w:r>
              <w:rPr>
                <w:lang w:val="en-US"/>
              </w:rPr>
              <w:t>rpose,</w:t>
            </w:r>
            <w:r w:rsidR="00EC1073">
              <w:rPr>
                <w:lang w:val="en-US"/>
              </w:rPr>
              <w:t xml:space="preserve"> </w:t>
            </w:r>
            <w:proofErr w:type="gramStart"/>
            <w:r w:rsidR="00EC1073">
              <w:rPr>
                <w:lang w:val="en-US"/>
              </w:rPr>
              <w:t>estimation</w:t>
            </w:r>
            <w:proofErr w:type="gramEnd"/>
            <w:r w:rsidRPr="002A43AE">
              <w:rPr>
                <w:lang w:val="en-US"/>
              </w:rPr>
              <w:t xml:space="preserve"> of likelihood). This is pointed out in several parts of the RM. </w:t>
            </w:r>
            <w:r w:rsidR="00DB5202">
              <w:rPr>
                <w:lang w:val="en-US"/>
              </w:rPr>
              <w:t>Let’s see if and how this can be further clarified.</w:t>
            </w:r>
          </w:p>
          <w:p w:rsidR="00E46F15" w:rsidRDefault="00E46F15" w:rsidP="008D192E">
            <w:pPr>
              <w:rPr>
                <w:lang w:val="en-US"/>
              </w:rPr>
            </w:pPr>
          </w:p>
          <w:p w:rsidR="00E46F15" w:rsidRDefault="00E46F15" w:rsidP="008D192E">
            <w:pPr>
              <w:rPr>
                <w:lang w:val="en-US"/>
              </w:rPr>
            </w:pPr>
          </w:p>
          <w:p w:rsidR="00E46F15" w:rsidRDefault="00E46F15" w:rsidP="008D192E">
            <w:pPr>
              <w:rPr>
                <w:lang w:val="en-US"/>
              </w:rPr>
            </w:pPr>
          </w:p>
          <w:p w:rsidR="00E46F15" w:rsidRDefault="00E46F15" w:rsidP="008D192E">
            <w:pPr>
              <w:rPr>
                <w:lang w:val="en-US"/>
              </w:rPr>
            </w:pPr>
          </w:p>
          <w:p w:rsidR="00E46F15" w:rsidRDefault="00E46F15" w:rsidP="008D192E">
            <w:pPr>
              <w:rPr>
                <w:lang w:val="en-US"/>
              </w:rPr>
            </w:pPr>
          </w:p>
          <w:p w:rsidR="00E46F15" w:rsidRDefault="00E46F15" w:rsidP="008D192E">
            <w:pPr>
              <w:rPr>
                <w:lang w:val="en-US"/>
              </w:rPr>
            </w:pPr>
          </w:p>
          <w:p w:rsidR="00E46F15" w:rsidRDefault="00E46F15" w:rsidP="008D192E">
            <w:pPr>
              <w:rPr>
                <w:lang w:val="en-US"/>
              </w:rPr>
            </w:pPr>
          </w:p>
          <w:p w:rsidR="00E46F15" w:rsidRDefault="00E46F15" w:rsidP="008D192E">
            <w:pPr>
              <w:rPr>
                <w:lang w:val="en-US"/>
              </w:rPr>
            </w:pPr>
            <w:r>
              <w:rPr>
                <w:lang w:val="en-US"/>
              </w:rPr>
              <w:t xml:space="preserve">It is stated that the guidance is </w:t>
            </w:r>
            <w:r>
              <w:rPr>
                <w:lang w:val="en-US"/>
              </w:rPr>
              <w:lastRenderedPageBreak/>
              <w:t>for all GMOs but we have most experience in GM plants.</w:t>
            </w:r>
          </w:p>
          <w:p w:rsidR="00C7361F" w:rsidRDefault="00FE2AEB" w:rsidP="008D192E">
            <w:pPr>
              <w:rPr>
                <w:lang w:val="en-US"/>
              </w:rPr>
            </w:pPr>
            <w:r>
              <w:rPr>
                <w:lang w:val="en-US"/>
              </w:rPr>
              <w:t>Let’s try to further clarify this.</w:t>
            </w:r>
          </w:p>
          <w:p w:rsidR="00C7361F" w:rsidRDefault="00C7361F" w:rsidP="008D192E">
            <w:pPr>
              <w:rPr>
                <w:lang w:val="en-US"/>
              </w:rPr>
            </w:pPr>
          </w:p>
          <w:p w:rsidR="00C7361F" w:rsidRPr="002A43AE" w:rsidRDefault="00C7361F" w:rsidP="008D192E">
            <w:pPr>
              <w:rPr>
                <w:lang w:val="en-US"/>
              </w:rPr>
            </w:pPr>
          </w:p>
        </w:tc>
        <w:tc>
          <w:tcPr>
            <w:tcW w:w="3192" w:type="dxa"/>
          </w:tcPr>
          <w:p w:rsidR="004C20BC" w:rsidRDefault="00E46F15" w:rsidP="00E46F1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This has been pointed out in several parts of the RM – see for instance page 9, paragraph 3; </w:t>
            </w:r>
            <w:r w:rsidR="002A43AE" w:rsidRPr="00DB5202">
              <w:rPr>
                <w:lang w:val="en-US"/>
              </w:rPr>
              <w:t>page 11, first paragraph (field trials); page 12, third bullet point (scale, durati</w:t>
            </w:r>
            <w:r w:rsidR="00DB5202">
              <w:rPr>
                <w:lang w:val="en-US"/>
              </w:rPr>
              <w:t xml:space="preserve">on; F&amp;F import only; </w:t>
            </w:r>
            <w:r w:rsidR="002A43AE" w:rsidRPr="00DB5202">
              <w:rPr>
                <w:lang w:val="en-US"/>
              </w:rPr>
              <w:t xml:space="preserve">field trials); </w:t>
            </w:r>
            <w:r w:rsidR="00DB5202" w:rsidRPr="00DB5202">
              <w:rPr>
                <w:lang w:val="en-US"/>
              </w:rPr>
              <w:t>page 15, point (h) (scale, duration and level of confinement)</w:t>
            </w:r>
            <w:r>
              <w:rPr>
                <w:lang w:val="en-US"/>
              </w:rPr>
              <w:t xml:space="preserve"> </w:t>
            </w:r>
          </w:p>
          <w:p w:rsidR="00E46F15" w:rsidRDefault="00E46F15" w:rsidP="00E46F15">
            <w:pPr>
              <w:rPr>
                <w:lang w:val="en-US"/>
              </w:rPr>
            </w:pPr>
          </w:p>
          <w:p w:rsidR="00E46F15" w:rsidRDefault="00E46F15" w:rsidP="00E46F15">
            <w:pPr>
              <w:rPr>
                <w:lang w:val="en-US"/>
              </w:rPr>
            </w:pPr>
          </w:p>
          <w:p w:rsidR="00E46F15" w:rsidRDefault="00E46F15" w:rsidP="00E46F15">
            <w:pPr>
              <w:rPr>
                <w:lang w:val="en-US"/>
              </w:rPr>
            </w:pPr>
          </w:p>
          <w:p w:rsidR="00E46F15" w:rsidRDefault="00E46F15" w:rsidP="00E46F15">
            <w:pPr>
              <w:rPr>
                <w:lang w:val="en-US"/>
              </w:rPr>
            </w:pPr>
          </w:p>
          <w:p w:rsidR="00E46F15" w:rsidRDefault="00E46F15" w:rsidP="00E46F15">
            <w:pPr>
              <w:rPr>
                <w:lang w:val="en-US"/>
              </w:rPr>
            </w:pPr>
          </w:p>
          <w:p w:rsidR="00E46F15" w:rsidRDefault="00E46F15" w:rsidP="00E46F15">
            <w:pPr>
              <w:rPr>
                <w:lang w:val="en-US"/>
              </w:rPr>
            </w:pPr>
          </w:p>
          <w:p w:rsidR="00E46F15" w:rsidRDefault="00E46F15" w:rsidP="00E46F15">
            <w:pPr>
              <w:rPr>
                <w:lang w:val="en-US"/>
              </w:rPr>
            </w:pPr>
          </w:p>
          <w:p w:rsidR="00E46F15" w:rsidRDefault="00E46F15" w:rsidP="00E46F15">
            <w:pPr>
              <w:rPr>
                <w:lang w:val="en-US"/>
              </w:rPr>
            </w:pPr>
          </w:p>
          <w:p w:rsidR="00E46F15" w:rsidRDefault="00E46F15" w:rsidP="00E46F15">
            <w:pPr>
              <w:rPr>
                <w:lang w:val="en-US"/>
              </w:rPr>
            </w:pPr>
          </w:p>
          <w:p w:rsidR="00E46F15" w:rsidRPr="00DB5202" w:rsidRDefault="00E46F15" w:rsidP="00E46F1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See page 9, background, paragraph 2</w:t>
            </w:r>
          </w:p>
        </w:tc>
      </w:tr>
    </w:tbl>
    <w:p w:rsidR="004C20BC" w:rsidRDefault="004C20BC">
      <w:pPr>
        <w:rPr>
          <w:sz w:val="28"/>
          <w:szCs w:val="28"/>
        </w:rPr>
      </w:pPr>
    </w:p>
    <w:p w:rsidR="004C20BC" w:rsidRPr="004C20BC" w:rsidRDefault="004C20BC">
      <w:pPr>
        <w:rPr>
          <w:sz w:val="28"/>
          <w:szCs w:val="28"/>
        </w:rPr>
      </w:pPr>
      <w:r w:rsidRPr="004C20BC">
        <w:rPr>
          <w:sz w:val="28"/>
          <w:szCs w:val="28"/>
        </w:rPr>
        <w:t>Sub-category: Relevancy of points to consider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Tr="007C4D71">
        <w:tc>
          <w:tcPr>
            <w:tcW w:w="3192" w:type="dxa"/>
          </w:tcPr>
          <w:p w:rsidR="004C20BC" w:rsidRDefault="004C20BC" w:rsidP="007C4D71">
            <w:r>
              <w:t>Identified challenges</w:t>
            </w:r>
          </w:p>
        </w:tc>
        <w:tc>
          <w:tcPr>
            <w:tcW w:w="3192" w:type="dxa"/>
          </w:tcPr>
          <w:p w:rsidR="004C20BC" w:rsidRDefault="004C20BC" w:rsidP="007C4D71">
            <w:r>
              <w:t>Possible way forward</w:t>
            </w:r>
          </w:p>
        </w:tc>
        <w:tc>
          <w:tcPr>
            <w:tcW w:w="3192" w:type="dxa"/>
          </w:tcPr>
          <w:p w:rsidR="004C20BC" w:rsidRDefault="004C20BC" w:rsidP="007C4D71">
            <w:r>
              <w:t>Notes (if needed)</w:t>
            </w:r>
          </w:p>
        </w:tc>
      </w:tr>
      <w:tr w:rsidR="004C20BC" w:rsidTr="007C4D71">
        <w:tc>
          <w:tcPr>
            <w:tcW w:w="3192" w:type="dxa"/>
          </w:tcPr>
          <w:p w:rsidR="00FB023C" w:rsidRDefault="0052571C" w:rsidP="007C4D71">
            <w:proofErr w:type="spellStart"/>
            <w:r w:rsidRPr="0052571C">
              <w:rPr>
                <w:b/>
              </w:rPr>
              <w:t>Roadmap</w:t>
            </w:r>
            <w:proofErr w:type="spellEnd"/>
            <w:r>
              <w:t xml:space="preserve">: </w:t>
            </w:r>
          </w:p>
          <w:p w:rsidR="00FB023C" w:rsidRDefault="00FB023C" w:rsidP="007C4D71"/>
          <w:p w:rsidR="00FB023C" w:rsidRPr="00CF5DF6" w:rsidRDefault="00FB023C" w:rsidP="007C4D71">
            <w:pPr>
              <w:rPr>
                <w:lang w:val="en-US"/>
              </w:rPr>
            </w:pPr>
          </w:p>
          <w:p w:rsidR="00CF5DF6" w:rsidRPr="00CF5DF6" w:rsidRDefault="00CF5DF6" w:rsidP="007C4D71">
            <w:pPr>
              <w:rPr>
                <w:lang w:val="en-US"/>
              </w:rPr>
            </w:pPr>
          </w:p>
          <w:p w:rsidR="006D243C" w:rsidRDefault="006D243C" w:rsidP="007C4D71">
            <w:pPr>
              <w:rPr>
                <w:lang w:val="en-US"/>
              </w:rPr>
            </w:pPr>
          </w:p>
          <w:p w:rsidR="00CF5DF6" w:rsidRDefault="00CF5DF6" w:rsidP="007C4D71">
            <w:pPr>
              <w:rPr>
                <w:lang w:val="en-US"/>
              </w:rPr>
            </w:pPr>
            <w:r w:rsidRPr="00CF5DF6">
              <w:rPr>
                <w:lang w:val="en-US"/>
              </w:rPr>
              <w:t>ID 126</w:t>
            </w:r>
            <w:r w:rsidR="0034721B">
              <w:rPr>
                <w:lang w:val="en-US"/>
              </w:rPr>
              <w:t xml:space="preserve">, </w:t>
            </w:r>
            <w:r>
              <w:rPr>
                <w:lang w:val="en-US"/>
              </w:rPr>
              <w:t>217</w:t>
            </w:r>
            <w:r w:rsidR="0034721B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="0034721B">
              <w:rPr>
                <w:lang w:val="en-US"/>
              </w:rPr>
              <w:t xml:space="preserve">309; </w:t>
            </w:r>
            <w:r w:rsidRPr="00CF5DF6">
              <w:rPr>
                <w:lang w:val="en-US"/>
              </w:rPr>
              <w:t>How to use available information and points to consider to ask the relevant questions (problem formulation</w:t>
            </w:r>
            <w:r>
              <w:rPr>
                <w:lang w:val="en-US"/>
              </w:rPr>
              <w:t xml:space="preserve">); Add problem formulation </w:t>
            </w:r>
            <w:r w:rsidRPr="00CF5DF6">
              <w:rPr>
                <w:lang w:val="en-US"/>
              </w:rPr>
              <w:t>section</w:t>
            </w:r>
            <w:r w:rsidR="0034721B">
              <w:rPr>
                <w:lang w:val="en-US"/>
              </w:rPr>
              <w:t>; outline protection goals, assessment endpoints, measurement endpoints,</w:t>
            </w:r>
          </w:p>
          <w:p w:rsidR="009D681E" w:rsidRDefault="009D681E" w:rsidP="007C4D71">
            <w:pPr>
              <w:rPr>
                <w:lang w:val="en-US"/>
              </w:rPr>
            </w:pPr>
          </w:p>
          <w:p w:rsidR="009D681E" w:rsidRDefault="009D681E" w:rsidP="007C4D71">
            <w:pPr>
              <w:rPr>
                <w:lang w:val="en-US"/>
              </w:rPr>
            </w:pPr>
          </w:p>
          <w:p w:rsidR="009D681E" w:rsidRDefault="009D681E" w:rsidP="007C4D71">
            <w:pPr>
              <w:rPr>
                <w:lang w:val="en-US"/>
              </w:rPr>
            </w:pPr>
          </w:p>
          <w:p w:rsidR="009D681E" w:rsidRDefault="009D681E" w:rsidP="007C4D71">
            <w:pPr>
              <w:rPr>
                <w:lang w:val="en-US"/>
              </w:rPr>
            </w:pPr>
          </w:p>
          <w:p w:rsidR="009D681E" w:rsidRDefault="009D681E" w:rsidP="007C4D71">
            <w:pPr>
              <w:rPr>
                <w:lang w:val="en-US"/>
              </w:rPr>
            </w:pPr>
          </w:p>
          <w:p w:rsidR="009D681E" w:rsidRDefault="009D681E" w:rsidP="007C4D71">
            <w:pPr>
              <w:rPr>
                <w:lang w:val="en-US"/>
              </w:rPr>
            </w:pPr>
          </w:p>
          <w:p w:rsidR="009D681E" w:rsidRPr="00CF5DF6" w:rsidRDefault="009D681E" w:rsidP="007C4D71">
            <w:pPr>
              <w:rPr>
                <w:lang w:val="en-US"/>
              </w:rPr>
            </w:pPr>
          </w:p>
          <w:p w:rsidR="00CF5DF6" w:rsidRPr="00CF5DF6" w:rsidRDefault="00CF5DF6" w:rsidP="007C4D71">
            <w:pPr>
              <w:rPr>
                <w:lang w:val="en-US"/>
              </w:rPr>
            </w:pPr>
          </w:p>
          <w:p w:rsidR="0052571C" w:rsidRPr="00CF5DF6" w:rsidRDefault="0052571C" w:rsidP="007C4D71">
            <w:pPr>
              <w:rPr>
                <w:lang w:val="en-US"/>
              </w:rPr>
            </w:pPr>
          </w:p>
          <w:p w:rsidR="004C20BC" w:rsidRPr="00CF5DF6" w:rsidRDefault="004C20BC" w:rsidP="007C4D71">
            <w:pPr>
              <w:rPr>
                <w:lang w:val="en-US"/>
              </w:rPr>
            </w:pPr>
          </w:p>
          <w:p w:rsidR="004C20BC" w:rsidRPr="00CF5DF6" w:rsidRDefault="004C20BC" w:rsidP="007C4D71">
            <w:pPr>
              <w:rPr>
                <w:lang w:val="en-US"/>
              </w:rPr>
            </w:pPr>
          </w:p>
          <w:p w:rsidR="004C20BC" w:rsidRPr="00CF5DF6" w:rsidRDefault="004C20BC" w:rsidP="007C4D71">
            <w:pPr>
              <w:rPr>
                <w:lang w:val="en-US"/>
              </w:rPr>
            </w:pPr>
          </w:p>
          <w:p w:rsidR="004C20BC" w:rsidRPr="00CF5DF6" w:rsidRDefault="004C20BC" w:rsidP="007C4D71">
            <w:pPr>
              <w:rPr>
                <w:lang w:val="en-US"/>
              </w:rPr>
            </w:pPr>
          </w:p>
          <w:p w:rsidR="004C20BC" w:rsidRPr="00CF5DF6" w:rsidRDefault="004C20BC" w:rsidP="007C4D71">
            <w:pPr>
              <w:rPr>
                <w:lang w:val="en-US"/>
              </w:rPr>
            </w:pPr>
          </w:p>
          <w:p w:rsidR="004C20BC" w:rsidRPr="00CF5DF6" w:rsidRDefault="004C20BC" w:rsidP="007C4D71">
            <w:pPr>
              <w:rPr>
                <w:lang w:val="en-US"/>
              </w:rPr>
            </w:pPr>
          </w:p>
          <w:p w:rsidR="004C20BC" w:rsidRPr="00CF5DF6" w:rsidRDefault="004C20BC" w:rsidP="007C4D71">
            <w:pPr>
              <w:rPr>
                <w:lang w:val="en-US"/>
              </w:rPr>
            </w:pPr>
          </w:p>
          <w:p w:rsidR="004C20BC" w:rsidRPr="00CF5DF6" w:rsidRDefault="004C20BC" w:rsidP="007C4D71">
            <w:pPr>
              <w:rPr>
                <w:lang w:val="en-US"/>
              </w:rPr>
            </w:pPr>
          </w:p>
          <w:p w:rsidR="004C20BC" w:rsidRPr="00CF5DF6" w:rsidRDefault="004C20BC" w:rsidP="007C4D71">
            <w:pPr>
              <w:rPr>
                <w:lang w:val="en-US"/>
              </w:rPr>
            </w:pPr>
          </w:p>
          <w:p w:rsidR="004C20BC" w:rsidRDefault="004C20BC" w:rsidP="007C4D71"/>
        </w:tc>
        <w:tc>
          <w:tcPr>
            <w:tcW w:w="3192" w:type="dxa"/>
          </w:tcPr>
          <w:p w:rsidR="004C20BC" w:rsidRDefault="00FB023C" w:rsidP="007C4D71">
            <w:pPr>
              <w:rPr>
                <w:lang w:val="en-US"/>
              </w:rPr>
            </w:pPr>
            <w:r w:rsidRPr="006D243C">
              <w:rPr>
                <w:lang w:val="en-US"/>
              </w:rPr>
              <w:t>ID 105</w:t>
            </w:r>
            <w:r w:rsidR="0034721B">
              <w:rPr>
                <w:lang w:val="en-US"/>
              </w:rPr>
              <w:t xml:space="preserve">, </w:t>
            </w:r>
            <w:r w:rsidR="00CF5DF6" w:rsidRPr="006D243C">
              <w:rPr>
                <w:lang w:val="en-US"/>
              </w:rPr>
              <w:t>236</w:t>
            </w:r>
            <w:r w:rsidR="0034721B">
              <w:rPr>
                <w:lang w:val="en-US"/>
              </w:rPr>
              <w:t>, 237</w:t>
            </w:r>
            <w:r w:rsidR="00EC1073">
              <w:rPr>
                <w:lang w:val="en-US"/>
              </w:rPr>
              <w:t>, 392</w:t>
            </w:r>
            <w:r w:rsidRPr="006D243C">
              <w:rPr>
                <w:lang w:val="en-US"/>
              </w:rPr>
              <w:t>; clarify that points to consider are considered case by case, and not relevant to all cases</w:t>
            </w:r>
          </w:p>
          <w:p w:rsidR="006D243C" w:rsidRPr="006D243C" w:rsidRDefault="006D243C" w:rsidP="007C4D71">
            <w:pPr>
              <w:rPr>
                <w:lang w:val="en-US"/>
              </w:rPr>
            </w:pPr>
          </w:p>
          <w:p w:rsidR="00FB023C" w:rsidRDefault="00FB023C" w:rsidP="007C4D71">
            <w:pPr>
              <w:rPr>
                <w:lang w:val="en-US"/>
              </w:rPr>
            </w:pPr>
            <w:r w:rsidRPr="006D243C">
              <w:rPr>
                <w:lang w:val="en-US"/>
              </w:rPr>
              <w:t xml:space="preserve">ID </w:t>
            </w:r>
            <w:r w:rsidR="00CF5DF6" w:rsidRPr="006D243C">
              <w:rPr>
                <w:lang w:val="en-US"/>
              </w:rPr>
              <w:t>126</w:t>
            </w:r>
            <w:r w:rsidR="0034721B">
              <w:rPr>
                <w:lang w:val="en-US"/>
              </w:rPr>
              <w:t xml:space="preserve">, </w:t>
            </w:r>
            <w:r w:rsidR="00CF5DF6" w:rsidRPr="006D243C">
              <w:rPr>
                <w:lang w:val="en-US"/>
              </w:rPr>
              <w:t>217</w:t>
            </w:r>
            <w:r w:rsidR="0034721B">
              <w:rPr>
                <w:lang w:val="en-US"/>
              </w:rPr>
              <w:t>, 309</w:t>
            </w:r>
            <w:r w:rsidR="00CF5DF6" w:rsidRPr="006D243C">
              <w:rPr>
                <w:lang w:val="en-US"/>
              </w:rPr>
              <w:t xml:space="preserve">; problem formulation (PF) is </w:t>
            </w:r>
            <w:r w:rsidR="006D243C" w:rsidRPr="006D243C">
              <w:rPr>
                <w:lang w:val="en-US"/>
              </w:rPr>
              <w:t xml:space="preserve">one way to structure the RA (the phase in which the goals of the assessment are defined and the methods specified). PF approach commonly includes integrating available information, </w:t>
            </w:r>
            <w:r w:rsidR="00B43138">
              <w:rPr>
                <w:lang w:val="en-US"/>
              </w:rPr>
              <w:t>identification of hazards, defining assessment endpoints</w:t>
            </w:r>
            <w:r w:rsidR="006D243C">
              <w:rPr>
                <w:lang w:val="en-US"/>
              </w:rPr>
              <w:t xml:space="preserve">, </w:t>
            </w:r>
            <w:r w:rsidR="00B43138">
              <w:rPr>
                <w:lang w:val="en-US"/>
              </w:rPr>
              <w:t xml:space="preserve">conceptual models (plausible scenarios and risk hypotheses) and </w:t>
            </w:r>
            <w:r w:rsidR="009D681E">
              <w:rPr>
                <w:lang w:val="en-US"/>
              </w:rPr>
              <w:t xml:space="preserve">an </w:t>
            </w:r>
            <w:r w:rsidR="00B43138">
              <w:rPr>
                <w:lang w:val="en-US"/>
              </w:rPr>
              <w:t>analysis plan</w:t>
            </w:r>
            <w:r w:rsidR="009D681E">
              <w:rPr>
                <w:lang w:val="en-US"/>
              </w:rPr>
              <w:t>.</w:t>
            </w:r>
          </w:p>
          <w:p w:rsidR="009D681E" w:rsidRPr="00BC626F" w:rsidRDefault="009D681E" w:rsidP="007C4D71">
            <w:pPr>
              <w:rPr>
                <w:lang w:val="en-US"/>
              </w:rPr>
            </w:pPr>
            <w:r>
              <w:rPr>
                <w:lang w:val="en-US"/>
              </w:rPr>
              <w:t>I suggest that we</w:t>
            </w:r>
            <w:r w:rsidR="0034721B">
              <w:rPr>
                <w:lang w:val="en-US"/>
              </w:rPr>
              <w:t xml:space="preserve"> “</w:t>
            </w:r>
            <w:r>
              <w:rPr>
                <w:lang w:val="en-US"/>
              </w:rPr>
              <w:t>introduce</w:t>
            </w:r>
            <w:r w:rsidR="0034721B">
              <w:rPr>
                <w:lang w:val="en-US"/>
              </w:rPr>
              <w:t>”</w:t>
            </w:r>
            <w:r>
              <w:rPr>
                <w:lang w:val="en-US"/>
              </w:rPr>
              <w:t xml:space="preserve"> PF as one approach</w:t>
            </w:r>
            <w:r w:rsidR="0034721B">
              <w:rPr>
                <w:lang w:val="en-US"/>
              </w:rPr>
              <w:t>/tool</w:t>
            </w:r>
            <w:r>
              <w:rPr>
                <w:lang w:val="en-US"/>
              </w:rPr>
              <w:t xml:space="preserve"> in RA. In </w:t>
            </w:r>
            <w:r w:rsidRPr="00BC626F">
              <w:rPr>
                <w:lang w:val="en-US"/>
              </w:rPr>
              <w:t>RM the approach has</w:t>
            </w:r>
            <w:r w:rsidR="0034721B" w:rsidRPr="00BC626F">
              <w:rPr>
                <w:lang w:val="en-US"/>
              </w:rPr>
              <w:t xml:space="preserve"> been to have a separate step on</w:t>
            </w:r>
            <w:r w:rsidRPr="00BC626F">
              <w:rPr>
                <w:lang w:val="en-US"/>
              </w:rPr>
              <w:t xml:space="preserve"> context and scope</w:t>
            </w:r>
            <w:r w:rsidR="007F5BD7" w:rsidRPr="00BC626F">
              <w:rPr>
                <w:lang w:val="en-US"/>
              </w:rPr>
              <w:t xml:space="preserve">. We could make a comparison chart/bullet points/provide text of different approaches to structure RA (e.g. </w:t>
            </w:r>
            <w:r w:rsidR="00B35DBB">
              <w:rPr>
                <w:lang w:val="en-US"/>
              </w:rPr>
              <w:t xml:space="preserve">GW </w:t>
            </w:r>
            <w:proofErr w:type="spellStart"/>
            <w:r w:rsidR="007F5BD7" w:rsidRPr="00BC626F">
              <w:rPr>
                <w:lang w:val="en-US"/>
              </w:rPr>
              <w:t>Suter</w:t>
            </w:r>
            <w:proofErr w:type="spellEnd"/>
            <w:r w:rsidR="007F5BD7" w:rsidRPr="00BC626F">
              <w:rPr>
                <w:lang w:val="en-US"/>
              </w:rPr>
              <w:t xml:space="preserve"> II 2007)</w:t>
            </w:r>
            <w:r w:rsidR="0034721B" w:rsidRPr="00BC626F">
              <w:rPr>
                <w:lang w:val="en-US"/>
              </w:rPr>
              <w:t>.</w:t>
            </w:r>
          </w:p>
          <w:p w:rsidR="00FB023C" w:rsidRPr="00BC626F" w:rsidRDefault="00FB023C" w:rsidP="007C4D71">
            <w:pPr>
              <w:rPr>
                <w:lang w:val="en-US"/>
              </w:rPr>
            </w:pPr>
          </w:p>
          <w:p w:rsidR="00EC1073" w:rsidRPr="00BC626F" w:rsidRDefault="00EC1073" w:rsidP="007C4D71">
            <w:pPr>
              <w:rPr>
                <w:lang w:val="en-US"/>
              </w:rPr>
            </w:pPr>
            <w:r w:rsidRPr="00BC626F">
              <w:rPr>
                <w:lang w:val="en-US"/>
              </w:rPr>
              <w:t>ID 137</w:t>
            </w:r>
            <w:r w:rsidR="00BC626F" w:rsidRPr="00BC626F">
              <w:rPr>
                <w:lang w:val="en-US"/>
              </w:rPr>
              <w:t>: Needs clarification. These points to consider relate to characterization of the LMO</w:t>
            </w:r>
            <w:r w:rsidR="006047CD">
              <w:rPr>
                <w:lang w:val="en-US"/>
              </w:rPr>
              <w:t>.</w:t>
            </w:r>
          </w:p>
          <w:p w:rsidR="00C7361F" w:rsidRDefault="00EC1073" w:rsidP="007C4D71">
            <w:pPr>
              <w:rPr>
                <w:lang w:val="en-US"/>
              </w:rPr>
            </w:pPr>
            <w:r w:rsidRPr="00BC626F">
              <w:rPr>
                <w:lang w:val="en-US"/>
              </w:rPr>
              <w:t>ID 191</w:t>
            </w:r>
            <w:r w:rsidR="00BC626F" w:rsidRPr="00BC626F">
              <w:rPr>
                <w:lang w:val="en-US"/>
              </w:rPr>
              <w:t>: Add explanatory text</w:t>
            </w:r>
            <w:r w:rsidR="006047CD">
              <w:rPr>
                <w:lang w:val="en-US"/>
              </w:rPr>
              <w:t>. Clarify text.</w:t>
            </w:r>
          </w:p>
          <w:p w:rsidR="00C7361F" w:rsidRDefault="00C7361F" w:rsidP="007C4D71">
            <w:pPr>
              <w:rPr>
                <w:lang w:val="en-US"/>
              </w:rPr>
            </w:pPr>
          </w:p>
          <w:p w:rsidR="00C7361F" w:rsidRDefault="00C7361F" w:rsidP="007C4D71">
            <w:pPr>
              <w:rPr>
                <w:lang w:val="en-US"/>
              </w:rPr>
            </w:pPr>
          </w:p>
          <w:p w:rsidR="00C7361F" w:rsidRDefault="00C7361F" w:rsidP="007C4D71">
            <w:pPr>
              <w:rPr>
                <w:lang w:val="en-US"/>
              </w:rPr>
            </w:pPr>
          </w:p>
          <w:p w:rsidR="00C7361F" w:rsidRDefault="00C7361F" w:rsidP="007C4D71"/>
        </w:tc>
        <w:tc>
          <w:tcPr>
            <w:tcW w:w="3192" w:type="dxa"/>
          </w:tcPr>
          <w:p w:rsidR="004C20BC" w:rsidRPr="00B35DBB" w:rsidRDefault="00B35DBB" w:rsidP="007C4D71">
            <w:pPr>
              <w:rPr>
                <w:lang w:val="en-US"/>
              </w:rPr>
            </w:pPr>
            <w:r w:rsidRPr="00B35DBB">
              <w:rPr>
                <w:lang w:val="en-US"/>
              </w:rPr>
              <w:t>See page 14, first full paragraph.</w:t>
            </w:r>
          </w:p>
          <w:p w:rsidR="009D681E" w:rsidRPr="00B35DBB" w:rsidRDefault="009D681E" w:rsidP="007C4D71">
            <w:pPr>
              <w:rPr>
                <w:lang w:val="en-US"/>
              </w:rPr>
            </w:pPr>
          </w:p>
          <w:p w:rsidR="009D681E" w:rsidRPr="00B35DBB" w:rsidRDefault="009D681E" w:rsidP="007C4D71">
            <w:pPr>
              <w:rPr>
                <w:lang w:val="en-US"/>
              </w:rPr>
            </w:pPr>
          </w:p>
          <w:p w:rsidR="009D681E" w:rsidRPr="00B35DBB" w:rsidRDefault="009D681E" w:rsidP="007C4D71">
            <w:pPr>
              <w:rPr>
                <w:lang w:val="en-US"/>
              </w:rPr>
            </w:pPr>
          </w:p>
          <w:p w:rsidR="009D681E" w:rsidRPr="00B35DBB" w:rsidRDefault="009D681E" w:rsidP="007C4D71">
            <w:pPr>
              <w:rPr>
                <w:lang w:val="en-US"/>
              </w:rPr>
            </w:pPr>
          </w:p>
          <w:p w:rsidR="009D681E" w:rsidRPr="00EC1073" w:rsidRDefault="009D681E" w:rsidP="007F5BD7">
            <w:pPr>
              <w:rPr>
                <w:lang w:val="en-US"/>
              </w:rPr>
            </w:pPr>
            <w:r w:rsidRPr="00B35DBB">
              <w:rPr>
                <w:lang w:val="en-US"/>
              </w:rPr>
              <w:t>PF is mentioned on pages 13 (paragraph 2) and 14 (paragraph 2 under rationale</w:t>
            </w:r>
            <w:r w:rsidRPr="00EC1073">
              <w:rPr>
                <w:lang w:val="en-US"/>
              </w:rPr>
              <w:t>.</w:t>
            </w:r>
            <w:r w:rsidR="007F5BD7" w:rsidRPr="00EC1073">
              <w:rPr>
                <w:lang w:val="en-US"/>
              </w:rPr>
              <w:t xml:space="preserve"> Protection goals, </w:t>
            </w:r>
            <w:r w:rsidRPr="00EC1073">
              <w:rPr>
                <w:lang w:val="en-US"/>
              </w:rPr>
              <w:t>assessment endpoints</w:t>
            </w:r>
            <w:r w:rsidR="007F5BD7" w:rsidRPr="00EC1073">
              <w:rPr>
                <w:lang w:val="en-US"/>
              </w:rPr>
              <w:t>, plausible scenarios and risk hypotheses</w:t>
            </w:r>
            <w:r w:rsidRPr="00EC1073">
              <w:rPr>
                <w:lang w:val="en-US"/>
              </w:rPr>
              <w:t xml:space="preserve"> are mentioned </w:t>
            </w:r>
            <w:r w:rsidR="007F5BD7" w:rsidRPr="00EC1073">
              <w:rPr>
                <w:lang w:val="en-US"/>
              </w:rPr>
              <w:t xml:space="preserve">e.g. </w:t>
            </w:r>
            <w:r w:rsidRPr="00EC1073">
              <w:rPr>
                <w:lang w:val="en-US"/>
              </w:rPr>
              <w:t>on page 9 (</w:t>
            </w:r>
            <w:r w:rsidR="007F5BD7" w:rsidRPr="00EC1073">
              <w:rPr>
                <w:lang w:val="en-US"/>
              </w:rPr>
              <w:t>Intro, paragraphs 2 and 3), page 12 (Establishing the context and scope, paragraph 1) and page 14 (paragraph 2 from bottom up).</w:t>
            </w:r>
          </w:p>
          <w:p w:rsidR="0034721B" w:rsidRDefault="0034721B" w:rsidP="007F5BD7">
            <w:r w:rsidRPr="00EC1073">
              <w:rPr>
                <w:lang w:val="en-US"/>
              </w:rPr>
              <w:t>Also, the RM clearly states that asking for additional information shall contribute to better evaluations (page 11, paragraph 2 from bottom up)</w:t>
            </w:r>
          </w:p>
        </w:tc>
      </w:tr>
    </w:tbl>
    <w:p w:rsidR="004C20BC" w:rsidRPr="004C20BC" w:rsidRDefault="004C20BC">
      <w:pPr>
        <w:rPr>
          <w:sz w:val="28"/>
          <w:szCs w:val="28"/>
        </w:rPr>
      </w:pPr>
      <w:r w:rsidRPr="004C20BC">
        <w:rPr>
          <w:sz w:val="28"/>
          <w:szCs w:val="28"/>
        </w:rPr>
        <w:lastRenderedPageBreak/>
        <w:t xml:space="preserve">Sub-category: Link between steps </w:t>
      </w:r>
      <w:r>
        <w:rPr>
          <w:sz w:val="28"/>
          <w:szCs w:val="28"/>
        </w:rPr>
        <w:t>or</w:t>
      </w:r>
      <w:r w:rsidRPr="004C20BC">
        <w:rPr>
          <w:sz w:val="28"/>
          <w:szCs w:val="28"/>
        </w:rPr>
        <w:t xml:space="preserve"> sections</w:t>
      </w:r>
      <w:r>
        <w:rPr>
          <w:sz w:val="28"/>
          <w:szCs w:val="28"/>
        </w:rPr>
        <w:t xml:space="preserve"> of the Guidance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Tr="007C4D71">
        <w:tc>
          <w:tcPr>
            <w:tcW w:w="3192" w:type="dxa"/>
          </w:tcPr>
          <w:p w:rsidR="004C20BC" w:rsidRDefault="004C20BC" w:rsidP="007C4D71">
            <w:r>
              <w:t>Identified challenges</w:t>
            </w:r>
          </w:p>
        </w:tc>
        <w:tc>
          <w:tcPr>
            <w:tcW w:w="3192" w:type="dxa"/>
          </w:tcPr>
          <w:p w:rsidR="004C20BC" w:rsidRDefault="004C20BC" w:rsidP="007C4D71">
            <w:r>
              <w:t>Possible way forward</w:t>
            </w:r>
          </w:p>
        </w:tc>
        <w:tc>
          <w:tcPr>
            <w:tcW w:w="3192" w:type="dxa"/>
          </w:tcPr>
          <w:p w:rsidR="004C20BC" w:rsidRDefault="004C20BC" w:rsidP="007C4D71">
            <w:r>
              <w:t>Notes (if needed)</w:t>
            </w:r>
          </w:p>
        </w:tc>
      </w:tr>
      <w:tr w:rsidR="004C20BC" w:rsidTr="007C4D71">
        <w:tc>
          <w:tcPr>
            <w:tcW w:w="3192" w:type="dxa"/>
          </w:tcPr>
          <w:p w:rsidR="00EE66BE" w:rsidRPr="00EE66BE" w:rsidRDefault="00EE66BE" w:rsidP="00C7361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Roadmap:</w:t>
            </w:r>
          </w:p>
          <w:p w:rsidR="00C7361F" w:rsidRPr="006047CD" w:rsidRDefault="00C7361F" w:rsidP="00C7361F">
            <w:pPr>
              <w:rPr>
                <w:lang w:val="en-US"/>
              </w:rPr>
            </w:pPr>
            <w:r w:rsidRPr="006047CD">
              <w:rPr>
                <w:lang w:val="en-US"/>
              </w:rPr>
              <w:t>ID 22</w:t>
            </w:r>
            <w:r w:rsidR="000A395E">
              <w:rPr>
                <w:lang w:val="en-US"/>
              </w:rPr>
              <w:t>, 126</w:t>
            </w:r>
            <w:r w:rsidR="00C63B64">
              <w:rPr>
                <w:lang w:val="en-US"/>
              </w:rPr>
              <w:t>, 484</w:t>
            </w:r>
            <w:r w:rsidRPr="006047CD">
              <w:rPr>
                <w:lang w:val="en-US"/>
              </w:rPr>
              <w:t>: H</w:t>
            </w:r>
            <w:r w:rsidRPr="006047CD">
              <w:rPr>
                <w:lang w:val="en-US"/>
              </w:rPr>
              <w:t xml:space="preserve">ow to </w:t>
            </w:r>
            <w:r w:rsidR="00C63B64">
              <w:rPr>
                <w:lang w:val="en-US"/>
              </w:rPr>
              <w:t>link</w:t>
            </w:r>
            <w:r w:rsidRPr="006047CD">
              <w:rPr>
                <w:lang w:val="en-US"/>
              </w:rPr>
              <w:t xml:space="preserve"> different steps</w:t>
            </w:r>
            <w:r w:rsidR="00C63B64">
              <w:rPr>
                <w:lang w:val="en-US"/>
              </w:rPr>
              <w:t xml:space="preserve"> (1-5)</w:t>
            </w:r>
            <w:r w:rsidRPr="006047CD">
              <w:rPr>
                <w:lang w:val="en-US"/>
              </w:rPr>
              <w:t>?</w:t>
            </w:r>
          </w:p>
          <w:p w:rsidR="000A395E" w:rsidRDefault="00C7361F" w:rsidP="00C7361F">
            <w:pPr>
              <w:rPr>
                <w:lang w:val="en-US"/>
              </w:rPr>
            </w:pPr>
            <w:r w:rsidRPr="006047CD">
              <w:rPr>
                <w:lang w:val="en-US"/>
              </w:rPr>
              <w:t>ID 126</w:t>
            </w:r>
            <w:r w:rsidR="000A395E">
              <w:rPr>
                <w:lang w:val="en-US"/>
              </w:rPr>
              <w:t>, 391</w:t>
            </w:r>
            <w:r w:rsidRPr="006047CD">
              <w:rPr>
                <w:lang w:val="en-US"/>
              </w:rPr>
              <w:t xml:space="preserve">: Link between sections I and II missing; how to use them consequently? </w:t>
            </w:r>
          </w:p>
          <w:p w:rsidR="00C63B64" w:rsidRDefault="00EE66BE" w:rsidP="00C7361F">
            <w:pPr>
              <w:rPr>
                <w:lang w:val="en-US"/>
              </w:rPr>
            </w:pPr>
            <w:r>
              <w:rPr>
                <w:lang w:val="en-US"/>
              </w:rPr>
              <w:t xml:space="preserve">ID 197, 217, 220: </w:t>
            </w:r>
            <w:r w:rsidR="00C63B64">
              <w:rPr>
                <w:lang w:val="en-US"/>
              </w:rPr>
              <w:t>How to formulate the problem, how to link it to assessment endpoints, how to link</w:t>
            </w:r>
            <w:r>
              <w:rPr>
                <w:lang w:val="en-US"/>
              </w:rPr>
              <w:t xml:space="preserve"> points to consider to steps 1-5.</w:t>
            </w:r>
          </w:p>
          <w:p w:rsidR="006047CD" w:rsidRDefault="00EA5039" w:rsidP="00C7361F">
            <w:pPr>
              <w:rPr>
                <w:lang w:val="en-US"/>
              </w:rPr>
            </w:pPr>
            <w:r>
              <w:rPr>
                <w:lang w:val="en-US"/>
              </w:rPr>
              <w:t>ID 223</w:t>
            </w:r>
            <w:r w:rsidR="00C63B64">
              <w:rPr>
                <w:lang w:val="en-US"/>
              </w:rPr>
              <w:t>, 309</w:t>
            </w:r>
            <w:r>
              <w:rPr>
                <w:lang w:val="en-US"/>
              </w:rPr>
              <w:t xml:space="preserve">: </w:t>
            </w:r>
            <w:r w:rsidR="00D068FA">
              <w:rPr>
                <w:lang w:val="en-US"/>
              </w:rPr>
              <w:t>I</w:t>
            </w:r>
            <w:r w:rsidR="00C63B64">
              <w:rPr>
                <w:lang w:val="en-US"/>
              </w:rPr>
              <w:t>terative</w:t>
            </w:r>
            <w:r w:rsidR="00D068FA">
              <w:rPr>
                <w:lang w:val="en-US"/>
              </w:rPr>
              <w:t xml:space="preserve"> seen as an ambiguity, </w:t>
            </w:r>
            <w:r w:rsidR="00EE66BE">
              <w:rPr>
                <w:lang w:val="en-US"/>
              </w:rPr>
              <w:t xml:space="preserve">outline and clearly define </w:t>
            </w:r>
            <w:r w:rsidR="00C63B64">
              <w:rPr>
                <w:lang w:val="en-US"/>
              </w:rPr>
              <w:t>p</w:t>
            </w:r>
            <w:r w:rsidR="006047CD">
              <w:rPr>
                <w:lang w:val="en-US"/>
              </w:rPr>
              <w:t>rotection goals</w:t>
            </w:r>
            <w:r w:rsidR="00EE66BE">
              <w:rPr>
                <w:lang w:val="en-US"/>
              </w:rPr>
              <w:t>,</w:t>
            </w:r>
            <w:r w:rsidR="006047CD">
              <w:rPr>
                <w:lang w:val="en-US"/>
              </w:rPr>
              <w:t xml:space="preserve"> assessment endpoints</w:t>
            </w:r>
            <w:r w:rsidR="00EE66BE">
              <w:rPr>
                <w:lang w:val="en-US"/>
              </w:rPr>
              <w:t>, measurement endpoints.  Clarify what information is needed?</w:t>
            </w:r>
          </w:p>
          <w:p w:rsidR="00EA5039" w:rsidRDefault="000A395E" w:rsidP="00C7361F">
            <w:pPr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EA5039">
              <w:rPr>
                <w:lang w:val="en-US"/>
              </w:rPr>
              <w:t>ID 391: See stacked genes in part II</w:t>
            </w:r>
            <w:r>
              <w:rPr>
                <w:lang w:val="en-US"/>
              </w:rPr>
              <w:t>]</w:t>
            </w:r>
          </w:p>
          <w:p w:rsidR="00EA5039" w:rsidRDefault="00EA5039" w:rsidP="00C7361F">
            <w:pPr>
              <w:rPr>
                <w:lang w:val="en-US"/>
              </w:rPr>
            </w:pPr>
            <w:r>
              <w:rPr>
                <w:lang w:val="en-US"/>
              </w:rPr>
              <w:t>ID 417: simplify and re-structure.</w:t>
            </w:r>
          </w:p>
          <w:p w:rsidR="00EA5039" w:rsidRDefault="004D3FDD" w:rsidP="00C7361F">
            <w:pPr>
              <w:rPr>
                <w:lang w:val="en-US"/>
              </w:rPr>
            </w:pPr>
            <w:r>
              <w:rPr>
                <w:lang w:val="en-US"/>
              </w:rPr>
              <w:t>ID 428: clarify that assessment process needs to be carried out for each adverse effect.</w:t>
            </w:r>
          </w:p>
          <w:p w:rsidR="004C20BC" w:rsidRDefault="004D3FDD" w:rsidP="007C4D71">
            <w:r>
              <w:rPr>
                <w:lang w:val="en-US"/>
              </w:rPr>
              <w:t>ID 483: information needs and likelihood assessments of confined releases</w:t>
            </w:r>
            <w:r w:rsidR="00EE66BE">
              <w:rPr>
                <w:lang w:val="en-US"/>
              </w:rPr>
              <w:t xml:space="preserve"> differ from commercial releases</w:t>
            </w:r>
            <w:r>
              <w:rPr>
                <w:lang w:val="en-US"/>
              </w:rPr>
              <w:t>.</w:t>
            </w:r>
          </w:p>
          <w:p w:rsidR="004C20BC" w:rsidRDefault="004C20BC" w:rsidP="007C4D71"/>
          <w:p w:rsidR="004C20BC" w:rsidRDefault="004C20BC" w:rsidP="007C4D71"/>
          <w:p w:rsidR="004C20BC" w:rsidRDefault="004C20BC" w:rsidP="007C4D71"/>
          <w:p w:rsidR="004C20BC" w:rsidRDefault="004C20BC" w:rsidP="007C4D71"/>
        </w:tc>
        <w:tc>
          <w:tcPr>
            <w:tcW w:w="3192" w:type="dxa"/>
          </w:tcPr>
          <w:p w:rsidR="004C20BC" w:rsidRDefault="00EE66BE" w:rsidP="007C4D71">
            <w:pPr>
              <w:rPr>
                <w:lang w:val="en-US"/>
              </w:rPr>
            </w:pPr>
            <w:r w:rsidRPr="00D068FA">
              <w:rPr>
                <w:lang w:val="en-US"/>
              </w:rPr>
              <w:t>All RA frameworks are described as steps</w:t>
            </w:r>
            <w:r w:rsidR="00D068FA" w:rsidRPr="00D068FA">
              <w:rPr>
                <w:lang w:val="en-US"/>
              </w:rPr>
              <w:t xml:space="preserve">. The steps are iterative i.e. if needed the steps can be repeated to improve the assessment. </w:t>
            </w:r>
          </w:p>
          <w:p w:rsidR="00D068FA" w:rsidRDefault="00D068FA" w:rsidP="00BD56A9">
            <w:pPr>
              <w:rPr>
                <w:lang w:val="en-US"/>
              </w:rPr>
            </w:pPr>
            <w:r>
              <w:rPr>
                <w:lang w:val="en-US"/>
              </w:rPr>
              <w:t>The single steps of the RM refer to consequent ste</w:t>
            </w:r>
            <w:r w:rsidR="00BD56A9">
              <w:rPr>
                <w:lang w:val="en-US"/>
              </w:rPr>
              <w:t>ps (see page 14, last paragraph;</w:t>
            </w:r>
            <w:r>
              <w:rPr>
                <w:lang w:val="en-US"/>
              </w:rPr>
              <w:t xml:space="preserve"> page 15 first paragraph</w:t>
            </w:r>
            <w:r w:rsidR="00BD56A9">
              <w:rPr>
                <w:lang w:val="en-US"/>
              </w:rPr>
              <w:t>;</w:t>
            </w:r>
            <w:r>
              <w:rPr>
                <w:lang w:val="en-US"/>
              </w:rPr>
              <w:t xml:space="preserve"> page 17, first </w:t>
            </w:r>
            <w:r w:rsidR="00BD56A9">
              <w:rPr>
                <w:lang w:val="en-US"/>
              </w:rPr>
              <w:t xml:space="preserve">and third </w:t>
            </w:r>
            <w:r>
              <w:rPr>
                <w:lang w:val="en-US"/>
              </w:rPr>
              <w:t>paragraph</w:t>
            </w:r>
            <w:r w:rsidR="00BD56A9">
              <w:rPr>
                <w:lang w:val="en-US"/>
              </w:rPr>
              <w:t>, first paragraph under points to consider; page 18, first and third paragraph under rationale … etc.).</w:t>
            </w:r>
          </w:p>
          <w:p w:rsidR="00BD56A9" w:rsidRDefault="00BD56A9" w:rsidP="00BD56A9">
            <w:pPr>
              <w:rPr>
                <w:lang w:val="en-US"/>
              </w:rPr>
            </w:pPr>
            <w:r>
              <w:rPr>
                <w:lang w:val="en-US"/>
              </w:rPr>
              <w:t>But it is clear that this has to be further clarified. Again I suggest a chart/bullet points/additional text. And possibly reference to other frameworks?</w:t>
            </w:r>
          </w:p>
          <w:p w:rsidR="00445B71" w:rsidRDefault="00445B71" w:rsidP="00BD56A9">
            <w:pPr>
              <w:rPr>
                <w:lang w:val="en-US"/>
              </w:rPr>
            </w:pPr>
          </w:p>
          <w:p w:rsidR="00445B71" w:rsidRPr="00D068FA" w:rsidRDefault="00445B71" w:rsidP="00BD56A9">
            <w:pPr>
              <w:rPr>
                <w:lang w:val="en-US"/>
              </w:rPr>
            </w:pPr>
            <w:r>
              <w:rPr>
                <w:lang w:val="en-US"/>
              </w:rPr>
              <w:t xml:space="preserve">As discussed, concrete examples could </w:t>
            </w:r>
            <w:r w:rsidR="008C02CD">
              <w:rPr>
                <w:lang w:val="en-US"/>
              </w:rPr>
              <w:t>be useful. Refer to</w:t>
            </w:r>
            <w:r>
              <w:rPr>
                <w:lang w:val="en-US"/>
              </w:rPr>
              <w:t>/check the Training Manual.</w:t>
            </w:r>
          </w:p>
        </w:tc>
        <w:tc>
          <w:tcPr>
            <w:tcW w:w="3192" w:type="dxa"/>
          </w:tcPr>
          <w:p w:rsidR="004C20BC" w:rsidRPr="00EE66BE" w:rsidRDefault="00EE66BE" w:rsidP="007C4D71">
            <w:pPr>
              <w:rPr>
                <w:lang w:val="en-US"/>
              </w:rPr>
            </w:pPr>
            <w:r w:rsidRPr="00EE66BE">
              <w:rPr>
                <w:lang w:val="en-US"/>
              </w:rPr>
              <w:t>See notes in relevancy of points to consider.</w:t>
            </w:r>
          </w:p>
        </w:tc>
      </w:tr>
    </w:tbl>
    <w:p w:rsidR="004C20BC" w:rsidRDefault="004C20BC">
      <w:pPr>
        <w:rPr>
          <w:sz w:val="28"/>
          <w:szCs w:val="28"/>
        </w:rPr>
      </w:pPr>
    </w:p>
    <w:p w:rsidR="004C20BC" w:rsidRPr="004C20BC" w:rsidRDefault="004C20BC">
      <w:pPr>
        <w:rPr>
          <w:sz w:val="28"/>
          <w:szCs w:val="28"/>
        </w:rPr>
      </w:pPr>
      <w:r w:rsidRPr="004C20BC">
        <w:rPr>
          <w:sz w:val="28"/>
          <w:szCs w:val="28"/>
        </w:rPr>
        <w:t>Sub-category: Experience w</w:t>
      </w:r>
      <w:r>
        <w:rPr>
          <w:sz w:val="28"/>
          <w:szCs w:val="28"/>
        </w:rPr>
        <w:t>ith</w:t>
      </w:r>
      <w:r w:rsidRPr="004C20BC">
        <w:rPr>
          <w:sz w:val="28"/>
          <w:szCs w:val="28"/>
        </w:rPr>
        <w:t xml:space="preserve"> LMO &amp; conventional practices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Tr="007C4D71">
        <w:tc>
          <w:tcPr>
            <w:tcW w:w="3192" w:type="dxa"/>
          </w:tcPr>
          <w:p w:rsidR="004C20BC" w:rsidRDefault="004C20BC" w:rsidP="007C4D71">
            <w:r>
              <w:t>Identified challenges</w:t>
            </w:r>
          </w:p>
        </w:tc>
        <w:tc>
          <w:tcPr>
            <w:tcW w:w="3192" w:type="dxa"/>
          </w:tcPr>
          <w:p w:rsidR="004C20BC" w:rsidRDefault="004C20BC" w:rsidP="007C4D71">
            <w:r>
              <w:t>Possible way forward</w:t>
            </w:r>
          </w:p>
        </w:tc>
        <w:tc>
          <w:tcPr>
            <w:tcW w:w="3192" w:type="dxa"/>
          </w:tcPr>
          <w:p w:rsidR="004C20BC" w:rsidRDefault="004C20BC" w:rsidP="007C4D71">
            <w:r>
              <w:t>Notes (if needed)</w:t>
            </w:r>
          </w:p>
        </w:tc>
      </w:tr>
      <w:tr w:rsidR="004C20BC" w:rsidTr="007C4D71">
        <w:tc>
          <w:tcPr>
            <w:tcW w:w="3192" w:type="dxa"/>
          </w:tcPr>
          <w:p w:rsidR="00CD2BEB" w:rsidRPr="00741F76" w:rsidRDefault="00CD2BEB" w:rsidP="007C4D71">
            <w:pPr>
              <w:rPr>
                <w:b/>
                <w:lang w:val="en-US"/>
              </w:rPr>
            </w:pPr>
            <w:r w:rsidRPr="00741F76">
              <w:rPr>
                <w:b/>
                <w:lang w:val="en-US"/>
              </w:rPr>
              <w:t>Roadmap:</w:t>
            </w:r>
          </w:p>
          <w:p w:rsidR="00CD2BEB" w:rsidRPr="00741F76" w:rsidRDefault="00B46AB5" w:rsidP="007C4D71">
            <w:pPr>
              <w:rPr>
                <w:lang w:val="en-US"/>
              </w:rPr>
            </w:pPr>
            <w:r w:rsidRPr="00741F76">
              <w:rPr>
                <w:lang w:val="en-US"/>
              </w:rPr>
              <w:t>ID 22</w:t>
            </w:r>
            <w:r w:rsidR="00CD2BEB" w:rsidRPr="00741F76">
              <w:rPr>
                <w:lang w:val="en-US"/>
              </w:rPr>
              <w:t>, 31, 300</w:t>
            </w:r>
            <w:r w:rsidR="009E2395" w:rsidRPr="00741F76">
              <w:rPr>
                <w:lang w:val="en-US"/>
              </w:rPr>
              <w:t>, 459, 481</w:t>
            </w:r>
            <w:r w:rsidR="00741F76" w:rsidRPr="00741F76">
              <w:rPr>
                <w:lang w:val="en-US"/>
              </w:rPr>
              <w:t>, 485</w:t>
            </w:r>
            <w:r w:rsidRPr="00741F76">
              <w:rPr>
                <w:lang w:val="en-US"/>
              </w:rPr>
              <w:t>: compare to common practices of agriculture</w:t>
            </w:r>
            <w:r w:rsidR="00CD2BEB" w:rsidRPr="00741F76">
              <w:rPr>
                <w:lang w:val="en-US"/>
              </w:rPr>
              <w:t xml:space="preserve">; provide information of agricultural practices; use and benefit from experience with non-LMOs; </w:t>
            </w:r>
            <w:r w:rsidR="00741F76" w:rsidRPr="00741F76">
              <w:rPr>
                <w:lang w:val="en-US"/>
              </w:rPr>
              <w:t xml:space="preserve">take note of how pathogens are dealt with in </w:t>
            </w:r>
            <w:r w:rsidR="00741F76" w:rsidRPr="00741F76">
              <w:rPr>
                <w:lang w:val="en-US"/>
              </w:rPr>
              <w:lastRenderedPageBreak/>
              <w:t>conventional practices; take note of conventional breeding experience.</w:t>
            </w:r>
          </w:p>
          <w:p w:rsidR="00CD2BEB" w:rsidRPr="00741F76" w:rsidRDefault="00CD2BEB" w:rsidP="007C4D71">
            <w:pPr>
              <w:rPr>
                <w:lang w:val="en-US"/>
              </w:rPr>
            </w:pPr>
          </w:p>
          <w:p w:rsidR="004C20BC" w:rsidRPr="003074EE" w:rsidRDefault="00CD2BEB" w:rsidP="007C4D71">
            <w:pPr>
              <w:rPr>
                <w:lang w:val="en-US"/>
              </w:rPr>
            </w:pPr>
            <w:r w:rsidRPr="003074EE">
              <w:rPr>
                <w:lang w:val="en-US"/>
              </w:rPr>
              <w:t>ID 401, 412, 414</w:t>
            </w:r>
            <w:r w:rsidR="009E2395" w:rsidRPr="003074EE">
              <w:rPr>
                <w:lang w:val="en-US"/>
              </w:rPr>
              <w:t>, 459</w:t>
            </w:r>
            <w:r w:rsidR="00741F76" w:rsidRPr="003074EE">
              <w:rPr>
                <w:lang w:val="en-US"/>
              </w:rPr>
              <w:t>, (485)</w:t>
            </w:r>
            <w:r w:rsidRPr="003074EE">
              <w:rPr>
                <w:lang w:val="en-US"/>
              </w:rPr>
              <w:t>: Experience with LMOs; 20 years of experience; introduce familiarity concept to the RM</w:t>
            </w:r>
            <w:r w:rsidR="00741F76" w:rsidRPr="003074EE">
              <w:rPr>
                <w:lang w:val="en-US"/>
              </w:rPr>
              <w:t>; experience with LMO RA.</w:t>
            </w:r>
          </w:p>
          <w:p w:rsidR="00741F76" w:rsidRPr="003074EE" w:rsidRDefault="00741F76" w:rsidP="007C4D71">
            <w:pPr>
              <w:rPr>
                <w:lang w:val="en-US"/>
              </w:rPr>
            </w:pPr>
          </w:p>
          <w:p w:rsidR="00741F76" w:rsidRPr="003074EE" w:rsidRDefault="00741F76" w:rsidP="007C4D71">
            <w:pPr>
              <w:rPr>
                <w:lang w:val="en-US"/>
              </w:rPr>
            </w:pPr>
            <w:r w:rsidRPr="003074EE">
              <w:rPr>
                <w:lang w:val="en-US"/>
              </w:rPr>
              <w:t>[ID 485: see stacked genes section]</w:t>
            </w:r>
          </w:p>
          <w:p w:rsidR="004C20BC" w:rsidRPr="003074EE" w:rsidRDefault="004C20BC" w:rsidP="007C4D71">
            <w:pPr>
              <w:rPr>
                <w:lang w:val="en-US"/>
              </w:rPr>
            </w:pPr>
          </w:p>
          <w:p w:rsidR="004C20BC" w:rsidRDefault="004C20BC" w:rsidP="007C4D71"/>
          <w:p w:rsidR="004C20BC" w:rsidRDefault="004C20BC" w:rsidP="007C4D71"/>
          <w:p w:rsidR="004C20BC" w:rsidRDefault="004C20BC" w:rsidP="007C4D71"/>
          <w:p w:rsidR="004C20BC" w:rsidRDefault="004C20BC" w:rsidP="007C4D71"/>
        </w:tc>
        <w:tc>
          <w:tcPr>
            <w:tcW w:w="3192" w:type="dxa"/>
          </w:tcPr>
          <w:p w:rsidR="004C20BC" w:rsidRPr="003074EE" w:rsidRDefault="00950F11" w:rsidP="007C4D71">
            <w:pPr>
              <w:rPr>
                <w:lang w:val="en-US"/>
              </w:rPr>
            </w:pPr>
            <w:r w:rsidRPr="003074EE">
              <w:rPr>
                <w:lang w:val="en-US"/>
              </w:rPr>
              <w:lastRenderedPageBreak/>
              <w:t>I think that this is pointed out in the RM</w:t>
            </w:r>
            <w:r w:rsidR="008F225D" w:rsidRPr="003074EE">
              <w:rPr>
                <w:lang w:val="en-US"/>
              </w:rPr>
              <w:t xml:space="preserve"> very clearly. We need to see how to clarify this further.</w:t>
            </w:r>
          </w:p>
          <w:p w:rsidR="008F225D" w:rsidRPr="003074EE" w:rsidRDefault="008F225D" w:rsidP="007C4D71">
            <w:pPr>
              <w:rPr>
                <w:lang w:val="en-US"/>
              </w:rPr>
            </w:pPr>
            <w:r w:rsidRPr="003074EE">
              <w:rPr>
                <w:lang w:val="en-US"/>
              </w:rPr>
              <w:t>Preface?</w:t>
            </w:r>
          </w:p>
          <w:p w:rsidR="008F225D" w:rsidRPr="003074EE" w:rsidRDefault="008F225D" w:rsidP="007C4D71">
            <w:pPr>
              <w:rPr>
                <w:lang w:val="en-US"/>
              </w:rPr>
            </w:pPr>
          </w:p>
          <w:p w:rsidR="008F225D" w:rsidRPr="003074EE" w:rsidRDefault="008F225D" w:rsidP="007C4D71">
            <w:pPr>
              <w:rPr>
                <w:lang w:val="en-US"/>
              </w:rPr>
            </w:pPr>
          </w:p>
          <w:p w:rsidR="008F225D" w:rsidRPr="003074EE" w:rsidRDefault="008F225D" w:rsidP="007C4D71">
            <w:pPr>
              <w:rPr>
                <w:lang w:val="en-US"/>
              </w:rPr>
            </w:pPr>
          </w:p>
          <w:p w:rsidR="008F225D" w:rsidRPr="003074EE" w:rsidRDefault="008F225D" w:rsidP="007C4D71">
            <w:pPr>
              <w:rPr>
                <w:lang w:val="en-US"/>
              </w:rPr>
            </w:pPr>
          </w:p>
          <w:p w:rsidR="008F225D" w:rsidRPr="003074EE" w:rsidRDefault="008F225D" w:rsidP="007C4D71">
            <w:pPr>
              <w:rPr>
                <w:lang w:val="en-US"/>
              </w:rPr>
            </w:pPr>
          </w:p>
          <w:p w:rsidR="008F225D" w:rsidRPr="003074EE" w:rsidRDefault="008F225D" w:rsidP="007C4D71">
            <w:pPr>
              <w:rPr>
                <w:lang w:val="en-US"/>
              </w:rPr>
            </w:pPr>
          </w:p>
          <w:p w:rsidR="008F225D" w:rsidRPr="003074EE" w:rsidRDefault="008F225D" w:rsidP="007C4D71">
            <w:pPr>
              <w:rPr>
                <w:lang w:val="en-US"/>
              </w:rPr>
            </w:pPr>
          </w:p>
          <w:p w:rsidR="008F225D" w:rsidRPr="003074EE" w:rsidRDefault="008F225D" w:rsidP="007C4D71">
            <w:pPr>
              <w:rPr>
                <w:lang w:val="en-US"/>
              </w:rPr>
            </w:pPr>
          </w:p>
          <w:p w:rsidR="003074EE" w:rsidRDefault="003074EE" w:rsidP="007C4D71">
            <w:r w:rsidRPr="003074EE">
              <w:rPr>
                <w:lang w:val="en-US"/>
              </w:rPr>
              <w:t>This should be clear but we need to clarify this. The importance of background material and RA reports in the BCH must be refer</w:t>
            </w:r>
            <w:r>
              <w:rPr>
                <w:lang w:val="en-US"/>
              </w:rPr>
              <w:t>r</w:t>
            </w:r>
            <w:r w:rsidRPr="003074EE">
              <w:rPr>
                <w:lang w:val="en-US"/>
              </w:rPr>
              <w:t>ed to</w:t>
            </w:r>
            <w:r>
              <w:rPr>
                <w:lang w:val="en-US"/>
              </w:rPr>
              <w:t>. Preface/intro?</w:t>
            </w:r>
            <w:r>
              <w:t xml:space="preserve"> </w:t>
            </w:r>
          </w:p>
        </w:tc>
        <w:tc>
          <w:tcPr>
            <w:tcW w:w="3192" w:type="dxa"/>
          </w:tcPr>
          <w:p w:rsidR="004C20BC" w:rsidRPr="003074EE" w:rsidRDefault="00950F11" w:rsidP="007C4D71">
            <w:pPr>
              <w:rPr>
                <w:lang w:val="en-US"/>
              </w:rPr>
            </w:pPr>
            <w:r w:rsidRPr="003074EE">
              <w:rPr>
                <w:lang w:val="en-US"/>
              </w:rPr>
              <w:lastRenderedPageBreak/>
              <w:t>See page 7, preface, third bullet point; page 10, last para (information)</w:t>
            </w:r>
            <w:r w:rsidR="008F225D" w:rsidRPr="003074EE">
              <w:rPr>
                <w:lang w:val="en-US"/>
              </w:rPr>
              <w:t>; page 12, last bullet point; page 13 – choice of comparators; page 15, first para, point (g); page 18, para 3 under rationale etc.</w:t>
            </w:r>
          </w:p>
          <w:p w:rsidR="003074EE" w:rsidRPr="003074EE" w:rsidRDefault="003074EE" w:rsidP="007C4D71">
            <w:pPr>
              <w:rPr>
                <w:lang w:val="en-US"/>
              </w:rPr>
            </w:pPr>
          </w:p>
          <w:p w:rsidR="003074EE" w:rsidRPr="003074EE" w:rsidRDefault="003074EE" w:rsidP="007C4D71">
            <w:pPr>
              <w:rPr>
                <w:lang w:val="en-US"/>
              </w:rPr>
            </w:pPr>
          </w:p>
          <w:p w:rsidR="003074EE" w:rsidRPr="003074EE" w:rsidRDefault="003074EE" w:rsidP="007C4D71">
            <w:pPr>
              <w:rPr>
                <w:lang w:val="en-US"/>
              </w:rPr>
            </w:pPr>
          </w:p>
          <w:p w:rsidR="003074EE" w:rsidRPr="003074EE" w:rsidRDefault="003074EE" w:rsidP="007C4D71">
            <w:pPr>
              <w:rPr>
                <w:lang w:val="en-US"/>
              </w:rPr>
            </w:pPr>
          </w:p>
          <w:p w:rsidR="003074EE" w:rsidRPr="003074EE" w:rsidRDefault="003074EE" w:rsidP="007C4D71">
            <w:pPr>
              <w:rPr>
                <w:lang w:val="en-US"/>
              </w:rPr>
            </w:pPr>
          </w:p>
          <w:p w:rsidR="003074EE" w:rsidRDefault="003074EE" w:rsidP="007C4D71">
            <w:r w:rsidRPr="003074EE">
              <w:rPr>
                <w:lang w:val="en-US"/>
              </w:rPr>
              <w:t>See page 10, second bullet point under The relevance of information …</w:t>
            </w:r>
            <w:r>
              <w:t xml:space="preserve"> </w:t>
            </w:r>
          </w:p>
        </w:tc>
      </w:tr>
    </w:tbl>
    <w:p w:rsidR="004C20BC" w:rsidRDefault="004C20BC">
      <w:pPr>
        <w:rPr>
          <w:sz w:val="28"/>
          <w:szCs w:val="28"/>
        </w:rPr>
      </w:pPr>
    </w:p>
    <w:p w:rsidR="004C20BC" w:rsidRPr="004C20BC" w:rsidRDefault="004C20BC">
      <w:pPr>
        <w:rPr>
          <w:sz w:val="28"/>
          <w:szCs w:val="28"/>
        </w:rPr>
      </w:pPr>
      <w:r w:rsidRPr="004C20BC">
        <w:rPr>
          <w:sz w:val="28"/>
          <w:szCs w:val="28"/>
        </w:rPr>
        <w:t>Sub-category: Language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Tr="007C4D71">
        <w:tc>
          <w:tcPr>
            <w:tcW w:w="3192" w:type="dxa"/>
          </w:tcPr>
          <w:p w:rsidR="004C20BC" w:rsidRDefault="004C20BC" w:rsidP="007C4D71">
            <w:r>
              <w:t>Identified challenges</w:t>
            </w:r>
          </w:p>
        </w:tc>
        <w:tc>
          <w:tcPr>
            <w:tcW w:w="3192" w:type="dxa"/>
          </w:tcPr>
          <w:p w:rsidR="004C20BC" w:rsidRDefault="004C20BC" w:rsidP="007C4D71">
            <w:r>
              <w:t>Possible way forward</w:t>
            </w:r>
          </w:p>
        </w:tc>
        <w:tc>
          <w:tcPr>
            <w:tcW w:w="3192" w:type="dxa"/>
          </w:tcPr>
          <w:p w:rsidR="004C20BC" w:rsidRDefault="004C20BC" w:rsidP="007C4D71">
            <w:r>
              <w:t>Notes (if needed)</w:t>
            </w:r>
          </w:p>
        </w:tc>
      </w:tr>
      <w:tr w:rsidR="004C20BC" w:rsidTr="007C4D71">
        <w:tc>
          <w:tcPr>
            <w:tcW w:w="3192" w:type="dxa"/>
          </w:tcPr>
          <w:p w:rsidR="00486F2B" w:rsidRPr="00486F2B" w:rsidRDefault="00486F2B" w:rsidP="007C4D71">
            <w:pPr>
              <w:rPr>
                <w:b/>
                <w:lang w:val="en-US"/>
              </w:rPr>
            </w:pPr>
            <w:r w:rsidRPr="00486F2B">
              <w:rPr>
                <w:b/>
                <w:lang w:val="en-US"/>
              </w:rPr>
              <w:t>Roadmap:</w:t>
            </w:r>
          </w:p>
          <w:p w:rsidR="00486F2B" w:rsidRPr="00486F2B" w:rsidRDefault="00486F2B" w:rsidP="007C4D71">
            <w:pPr>
              <w:rPr>
                <w:lang w:val="en-US"/>
              </w:rPr>
            </w:pPr>
            <w:r w:rsidRPr="00486F2B">
              <w:rPr>
                <w:lang w:val="en-US"/>
              </w:rPr>
              <w:t>ID 221, 224, 237, 365, 417, 419, 431, 441:</w:t>
            </w:r>
          </w:p>
          <w:p w:rsidR="004C20BC" w:rsidRPr="00486F2B" w:rsidRDefault="00486F2B" w:rsidP="007C4D71">
            <w:pPr>
              <w:rPr>
                <w:lang w:val="en-US"/>
              </w:rPr>
            </w:pPr>
            <w:r w:rsidRPr="00486F2B">
              <w:rPr>
                <w:lang w:val="en-US"/>
              </w:rPr>
              <w:t>Complicated language (”true linguistics</w:t>
            </w:r>
            <w:proofErr w:type="gramStart"/>
            <w:r w:rsidRPr="00486F2B">
              <w:rPr>
                <w:lang w:val="en-US"/>
              </w:rPr>
              <w:t xml:space="preserve">” </w:t>
            </w:r>
            <w:proofErr w:type="gramEnd"/>
            <w:r w:rsidRPr="00486F2B">
              <w:rPr>
                <w:lang w:val="en-US"/>
              </w:rPr>
              <w:sym w:font="Wingdings" w:char="F04A"/>
            </w:r>
            <w:r w:rsidRPr="00486F2B">
              <w:rPr>
                <w:lang w:val="en-US"/>
              </w:rPr>
              <w:t>) – repetitious and too wordy.</w:t>
            </w:r>
          </w:p>
          <w:p w:rsidR="00486F2B" w:rsidRPr="00486F2B" w:rsidRDefault="00486F2B" w:rsidP="007C4D71">
            <w:pPr>
              <w:rPr>
                <w:lang w:val="en-US"/>
              </w:rPr>
            </w:pPr>
            <w:r w:rsidRPr="00486F2B">
              <w:rPr>
                <w:lang w:val="en-US"/>
              </w:rPr>
              <w:t xml:space="preserve">”Language” as the tone and way of providing information </w:t>
            </w:r>
            <w:r>
              <w:rPr>
                <w:lang w:val="en-US"/>
              </w:rPr>
              <w:t>– comment stating</w:t>
            </w:r>
            <w:proofErr w:type="gramStart"/>
            <w:r>
              <w:rPr>
                <w:lang w:val="en-US"/>
              </w:rPr>
              <w:t>:</w:t>
            </w:r>
            <w:r w:rsidRPr="00486F2B">
              <w:rPr>
                <w:lang w:val="en-US"/>
              </w:rPr>
              <w:t xml:space="preserve"> ”</w:t>
            </w:r>
            <w:proofErr w:type="gramEnd"/>
            <w:r w:rsidRPr="00486F2B">
              <w:rPr>
                <w:lang w:val="en-US"/>
              </w:rPr>
              <w:t>prescriptive tone”.</w:t>
            </w:r>
          </w:p>
          <w:p w:rsidR="00486F2B" w:rsidRPr="00486F2B" w:rsidRDefault="00486F2B" w:rsidP="007C4D71">
            <w:pPr>
              <w:rPr>
                <w:lang w:val="en-US"/>
              </w:rPr>
            </w:pPr>
            <w:r w:rsidRPr="00486F2B">
              <w:rPr>
                <w:lang w:val="en-US"/>
              </w:rPr>
              <w:t>Clarification of terms (clear reference to the use of terms).</w:t>
            </w:r>
          </w:p>
          <w:p w:rsidR="004C20BC" w:rsidRDefault="004C20BC" w:rsidP="007C4D71"/>
          <w:p w:rsidR="004C20BC" w:rsidRDefault="004C20BC" w:rsidP="007C4D71"/>
          <w:p w:rsidR="004C20BC" w:rsidRDefault="004C20BC" w:rsidP="007C4D71"/>
          <w:p w:rsidR="004C20BC" w:rsidRDefault="004C20BC" w:rsidP="007C4D71"/>
          <w:p w:rsidR="004C20BC" w:rsidRDefault="004C20BC" w:rsidP="007C4D71"/>
          <w:p w:rsidR="004C20BC" w:rsidRDefault="004C20BC" w:rsidP="007C4D71"/>
          <w:p w:rsidR="004C20BC" w:rsidRDefault="004C20BC" w:rsidP="007C4D71"/>
          <w:p w:rsidR="004C20BC" w:rsidRDefault="004C20BC" w:rsidP="007C4D71"/>
          <w:p w:rsidR="004C20BC" w:rsidRDefault="004C20BC" w:rsidP="007C4D71"/>
          <w:p w:rsidR="004C20BC" w:rsidRDefault="004C20BC" w:rsidP="007C4D71"/>
        </w:tc>
        <w:tc>
          <w:tcPr>
            <w:tcW w:w="3192" w:type="dxa"/>
          </w:tcPr>
          <w:p w:rsidR="004C20BC" w:rsidRDefault="00486F2B" w:rsidP="004A5A05">
            <w:pPr>
              <w:rPr>
                <w:lang w:val="en-US"/>
              </w:rPr>
            </w:pPr>
            <w:r w:rsidRPr="004A5A05">
              <w:rPr>
                <w:lang w:val="en-US"/>
              </w:rPr>
              <w:t>A</w:t>
            </w:r>
            <w:r w:rsidR="004A5A05" w:rsidRPr="004A5A05">
              <w:rPr>
                <w:lang w:val="en-US"/>
              </w:rPr>
              <w:t>s of the tone of the document: R</w:t>
            </w:r>
            <w:r w:rsidRPr="004A5A05">
              <w:rPr>
                <w:lang w:val="en-US"/>
              </w:rPr>
              <w:t>eference</w:t>
            </w:r>
            <w:r w:rsidR="004A5A05" w:rsidRPr="004A5A05">
              <w:rPr>
                <w:lang w:val="en-US"/>
              </w:rPr>
              <w:t xml:space="preserve"> to</w:t>
            </w:r>
            <w:r w:rsidRPr="004A5A05">
              <w:rPr>
                <w:lang w:val="en-US"/>
              </w:rPr>
              <w:t xml:space="preserve">/checking the principles of RA frameworks. </w:t>
            </w:r>
            <w:r w:rsidR="004A5A05" w:rsidRPr="004A5A05">
              <w:rPr>
                <w:lang w:val="en-US"/>
              </w:rPr>
              <w:t>It is based on theory and principles. And it i</w:t>
            </w:r>
            <w:r w:rsidRPr="004A5A05">
              <w:rPr>
                <w:lang w:val="en-US"/>
              </w:rPr>
              <w:t xml:space="preserve">s about risks, hazards, likelihood and consequences. </w:t>
            </w:r>
          </w:p>
          <w:p w:rsidR="004A5A05" w:rsidRDefault="004A5A05" w:rsidP="004A5A05">
            <w:pPr>
              <w:rPr>
                <w:lang w:val="en-US"/>
              </w:rPr>
            </w:pPr>
          </w:p>
          <w:p w:rsidR="004A5A05" w:rsidRDefault="004A5A05" w:rsidP="004A5A05">
            <w:pPr>
              <w:rPr>
                <w:lang w:val="en-US"/>
              </w:rPr>
            </w:pPr>
            <w:r>
              <w:rPr>
                <w:lang w:val="en-US"/>
              </w:rPr>
              <w:t>As of too complex, wordy, difficult language. We need to consider this. The fact that RA is complicated and a demanding task to perform cannot be changed.</w:t>
            </w:r>
          </w:p>
          <w:p w:rsidR="004A5A05" w:rsidRDefault="004A5A05" w:rsidP="004A5A05">
            <w:pPr>
              <w:rPr>
                <w:lang w:val="en-US"/>
              </w:rPr>
            </w:pPr>
          </w:p>
          <w:p w:rsidR="004A5A05" w:rsidRDefault="004A5A05" w:rsidP="004A5A05">
            <w:pPr>
              <w:rPr>
                <w:lang w:val="en-US"/>
              </w:rPr>
            </w:pPr>
            <w:r>
              <w:rPr>
                <w:lang w:val="en-US"/>
              </w:rPr>
              <w:t>Refer to Training Manual and background documents.</w:t>
            </w:r>
          </w:p>
          <w:p w:rsidR="00C52697" w:rsidRDefault="00C52697" w:rsidP="004A5A05">
            <w:pPr>
              <w:rPr>
                <w:lang w:val="en-US"/>
              </w:rPr>
            </w:pPr>
          </w:p>
          <w:p w:rsidR="00C52697" w:rsidRDefault="00C52697" w:rsidP="004A5A05">
            <w:pPr>
              <w:rPr>
                <w:lang w:val="en-US"/>
              </w:rPr>
            </w:pPr>
          </w:p>
          <w:p w:rsidR="00C52697" w:rsidRDefault="00C52697" w:rsidP="004A5A05">
            <w:pPr>
              <w:rPr>
                <w:lang w:val="en-US"/>
              </w:rPr>
            </w:pPr>
          </w:p>
          <w:p w:rsidR="00C52697" w:rsidRDefault="00C52697" w:rsidP="004A5A05">
            <w:pPr>
              <w:rPr>
                <w:lang w:val="en-US"/>
              </w:rPr>
            </w:pPr>
          </w:p>
          <w:p w:rsidR="00C52697" w:rsidRDefault="00C52697" w:rsidP="004A5A05">
            <w:pPr>
              <w:rPr>
                <w:lang w:val="en-US"/>
              </w:rPr>
            </w:pPr>
          </w:p>
          <w:p w:rsidR="00C52697" w:rsidRDefault="00C52697" w:rsidP="004A5A05">
            <w:pPr>
              <w:rPr>
                <w:lang w:val="en-US"/>
              </w:rPr>
            </w:pPr>
          </w:p>
          <w:p w:rsidR="00C52697" w:rsidRDefault="00C52697" w:rsidP="004A5A05">
            <w:pPr>
              <w:rPr>
                <w:lang w:val="en-US"/>
              </w:rPr>
            </w:pPr>
          </w:p>
          <w:p w:rsidR="00C52697" w:rsidRDefault="00C52697" w:rsidP="004A5A05">
            <w:pPr>
              <w:rPr>
                <w:lang w:val="en-US"/>
              </w:rPr>
            </w:pPr>
          </w:p>
          <w:p w:rsidR="00C52697" w:rsidRPr="004A5A05" w:rsidRDefault="00C52697" w:rsidP="004A5A05">
            <w:pPr>
              <w:rPr>
                <w:lang w:val="en-US"/>
              </w:rPr>
            </w:pPr>
          </w:p>
        </w:tc>
        <w:tc>
          <w:tcPr>
            <w:tcW w:w="3192" w:type="dxa"/>
          </w:tcPr>
          <w:p w:rsidR="004C20BC" w:rsidRDefault="004C20BC" w:rsidP="007C4D71"/>
        </w:tc>
      </w:tr>
    </w:tbl>
    <w:p w:rsidR="004C20BC" w:rsidRPr="004C20BC" w:rsidRDefault="004C20BC">
      <w:pPr>
        <w:rPr>
          <w:sz w:val="28"/>
          <w:szCs w:val="28"/>
        </w:rPr>
      </w:pPr>
      <w:r w:rsidRPr="004C20BC">
        <w:rPr>
          <w:sz w:val="28"/>
          <w:szCs w:val="28"/>
        </w:rPr>
        <w:lastRenderedPageBreak/>
        <w:t xml:space="preserve">Sub-category: Consistency </w:t>
      </w:r>
      <w:r>
        <w:rPr>
          <w:sz w:val="28"/>
          <w:szCs w:val="28"/>
        </w:rPr>
        <w:t>with the Ca</w:t>
      </w:r>
      <w:r w:rsidR="00A015E3">
        <w:rPr>
          <w:sz w:val="28"/>
          <w:szCs w:val="28"/>
        </w:rPr>
        <w:t>rtagena Protocol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Tr="007C4D71">
        <w:tc>
          <w:tcPr>
            <w:tcW w:w="3192" w:type="dxa"/>
          </w:tcPr>
          <w:p w:rsidR="004C20BC" w:rsidRDefault="004C20BC" w:rsidP="007C4D71">
            <w:r>
              <w:t>Identified challenges</w:t>
            </w:r>
          </w:p>
        </w:tc>
        <w:tc>
          <w:tcPr>
            <w:tcW w:w="3192" w:type="dxa"/>
          </w:tcPr>
          <w:p w:rsidR="004C20BC" w:rsidRDefault="004C20BC" w:rsidP="007C4D71">
            <w:r>
              <w:t>Possible way forward</w:t>
            </w:r>
          </w:p>
        </w:tc>
        <w:tc>
          <w:tcPr>
            <w:tcW w:w="3192" w:type="dxa"/>
          </w:tcPr>
          <w:p w:rsidR="004C20BC" w:rsidRDefault="004C20BC" w:rsidP="007C4D71">
            <w:r>
              <w:t>Notes (if needed)</w:t>
            </w:r>
          </w:p>
        </w:tc>
      </w:tr>
      <w:tr w:rsidR="004C20BC" w:rsidTr="007C4D71">
        <w:tc>
          <w:tcPr>
            <w:tcW w:w="3192" w:type="dxa"/>
          </w:tcPr>
          <w:p w:rsidR="004C20BC" w:rsidRPr="00743C14" w:rsidRDefault="008C02CD" w:rsidP="007C4D71">
            <w:pPr>
              <w:rPr>
                <w:b/>
                <w:lang w:val="en-US"/>
              </w:rPr>
            </w:pPr>
            <w:r w:rsidRPr="00743C14">
              <w:rPr>
                <w:b/>
                <w:lang w:val="en-US"/>
              </w:rPr>
              <w:t>Roadmap:</w:t>
            </w:r>
          </w:p>
          <w:p w:rsidR="008C02CD" w:rsidRPr="00743C14" w:rsidRDefault="008C02CD" w:rsidP="007C4D71">
            <w:pPr>
              <w:rPr>
                <w:lang w:val="en-US"/>
              </w:rPr>
            </w:pPr>
            <w:r w:rsidRPr="00743C14">
              <w:rPr>
                <w:lang w:val="en-US"/>
              </w:rPr>
              <w:t xml:space="preserve">ID 161, 365, 366: New terms that are not introduced in the Protocol; </w:t>
            </w:r>
            <w:r w:rsidR="00743C14" w:rsidRPr="00743C14">
              <w:rPr>
                <w:lang w:val="en-US"/>
              </w:rPr>
              <w:t>The Guidance goes beyond the recommendations of the Protocol; The tone of the Guidance is different of that of the Protocol.</w:t>
            </w:r>
          </w:p>
          <w:p w:rsidR="004C20BC" w:rsidRDefault="004C20BC" w:rsidP="007C4D71"/>
          <w:p w:rsidR="004C20BC" w:rsidRDefault="004C20BC" w:rsidP="007C4D71"/>
          <w:p w:rsidR="004C20BC" w:rsidRDefault="004C20BC" w:rsidP="007C4D71"/>
          <w:p w:rsidR="004C20BC" w:rsidRDefault="004C20BC" w:rsidP="007C4D71"/>
          <w:p w:rsidR="004C20BC" w:rsidRDefault="004C20BC" w:rsidP="007C4D71"/>
          <w:p w:rsidR="004C20BC" w:rsidRDefault="004C20BC" w:rsidP="007C4D71"/>
        </w:tc>
        <w:tc>
          <w:tcPr>
            <w:tcW w:w="3192" w:type="dxa"/>
          </w:tcPr>
          <w:p w:rsidR="004C20BC" w:rsidRDefault="00743C14" w:rsidP="007C4D71">
            <w:pPr>
              <w:rPr>
                <w:lang w:val="en-US"/>
              </w:rPr>
            </w:pPr>
            <w:r w:rsidRPr="00743C14">
              <w:rPr>
                <w:lang w:val="en-US"/>
              </w:rPr>
              <w:t>When introducing new terms refer to Annex III when possible. The aim of the RM is to provide additional and specific guidance to Annex III which is the over-arching frame.</w:t>
            </w:r>
            <w:r>
              <w:rPr>
                <w:lang w:val="en-US"/>
              </w:rPr>
              <w:t xml:space="preserve"> This inevitably introduces new, specific terms and concepts.</w:t>
            </w:r>
          </w:p>
          <w:p w:rsidR="00743C14" w:rsidRPr="00743C14" w:rsidRDefault="00743C14" w:rsidP="007C4D71">
            <w:pPr>
              <w:rPr>
                <w:lang w:val="en-US"/>
              </w:rPr>
            </w:pPr>
          </w:p>
          <w:p w:rsidR="00743C14" w:rsidRDefault="00743C14" w:rsidP="00743C14">
            <w:pPr>
              <w:rPr>
                <w:lang w:val="en-US"/>
              </w:rPr>
            </w:pPr>
            <w:r w:rsidRPr="00743C14">
              <w:rPr>
                <w:lang w:val="en-US"/>
              </w:rPr>
              <w:t>A RA has a certain tone – it assesses risks.</w:t>
            </w:r>
            <w:r>
              <w:rPr>
                <w:lang w:val="en-US"/>
              </w:rPr>
              <w:t xml:space="preserve"> </w:t>
            </w:r>
            <w:r w:rsidRPr="00743C14">
              <w:rPr>
                <w:lang w:val="en-US"/>
              </w:rPr>
              <w:t>But let’s look at this too.</w:t>
            </w:r>
          </w:p>
          <w:p w:rsidR="00743C14" w:rsidRDefault="00743C14" w:rsidP="00743C14"/>
        </w:tc>
        <w:tc>
          <w:tcPr>
            <w:tcW w:w="3192" w:type="dxa"/>
          </w:tcPr>
          <w:p w:rsidR="004C20BC" w:rsidRDefault="004C20BC" w:rsidP="007C4D71"/>
        </w:tc>
      </w:tr>
    </w:tbl>
    <w:p w:rsidR="004C20BC" w:rsidRDefault="004C20BC">
      <w:pPr>
        <w:rPr>
          <w:sz w:val="28"/>
          <w:szCs w:val="28"/>
        </w:rPr>
      </w:pPr>
    </w:p>
    <w:p w:rsidR="004C20BC" w:rsidRPr="004C20BC" w:rsidRDefault="004C20BC">
      <w:pPr>
        <w:rPr>
          <w:sz w:val="28"/>
          <w:szCs w:val="28"/>
        </w:rPr>
      </w:pPr>
      <w:r w:rsidRPr="004C20BC">
        <w:rPr>
          <w:sz w:val="28"/>
          <w:szCs w:val="28"/>
        </w:rPr>
        <w:t>Sub-category: Actors and communication mechanisms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Tr="007C4D71">
        <w:tc>
          <w:tcPr>
            <w:tcW w:w="3192" w:type="dxa"/>
          </w:tcPr>
          <w:p w:rsidR="004C20BC" w:rsidRDefault="004C20BC" w:rsidP="007C4D71">
            <w:r>
              <w:t>Identified challenges</w:t>
            </w:r>
          </w:p>
        </w:tc>
        <w:tc>
          <w:tcPr>
            <w:tcW w:w="3192" w:type="dxa"/>
          </w:tcPr>
          <w:p w:rsidR="004C20BC" w:rsidRDefault="004C20BC" w:rsidP="007C4D71">
            <w:r>
              <w:t>Possible way forward</w:t>
            </w:r>
          </w:p>
        </w:tc>
        <w:tc>
          <w:tcPr>
            <w:tcW w:w="3192" w:type="dxa"/>
          </w:tcPr>
          <w:p w:rsidR="004C20BC" w:rsidRDefault="004C20BC" w:rsidP="007C4D71">
            <w:r>
              <w:t>Notes (if needed)</w:t>
            </w:r>
          </w:p>
        </w:tc>
      </w:tr>
      <w:tr w:rsidR="004C20BC" w:rsidTr="007C4D71">
        <w:tc>
          <w:tcPr>
            <w:tcW w:w="3192" w:type="dxa"/>
          </w:tcPr>
          <w:p w:rsidR="004C20BC" w:rsidRPr="005D26B8" w:rsidRDefault="005D26B8" w:rsidP="007C4D71">
            <w:pPr>
              <w:rPr>
                <w:b/>
                <w:lang w:val="en-US"/>
              </w:rPr>
            </w:pPr>
            <w:r w:rsidRPr="005D26B8">
              <w:rPr>
                <w:b/>
                <w:lang w:val="en-US"/>
              </w:rPr>
              <w:t>Roadmap:</w:t>
            </w:r>
          </w:p>
          <w:p w:rsidR="005D26B8" w:rsidRPr="005D26B8" w:rsidRDefault="005D26B8" w:rsidP="007C4D71">
            <w:pPr>
              <w:rPr>
                <w:lang w:val="en-US"/>
              </w:rPr>
            </w:pPr>
            <w:r w:rsidRPr="005D26B8">
              <w:rPr>
                <w:lang w:val="en-US"/>
              </w:rPr>
              <w:t>ID 129, 169, 186, 454, 468:</w:t>
            </w:r>
          </w:p>
          <w:p w:rsidR="004C20BC" w:rsidRPr="005D26B8" w:rsidRDefault="005D26B8" w:rsidP="007C4D71">
            <w:pPr>
              <w:rPr>
                <w:lang w:val="en-US"/>
              </w:rPr>
            </w:pPr>
            <w:r w:rsidRPr="005D26B8">
              <w:rPr>
                <w:lang w:val="en-US"/>
              </w:rPr>
              <w:t>articulate inter-linkage of RA, RM and risk communication; link to decision making; elaborate other related issues (RM, CB, PAP, SEC, L&amp;R); introduce communication mechanisms; Clarify different roles of (key)players in the process; suggestion to consult NGOs.</w:t>
            </w:r>
          </w:p>
          <w:p w:rsidR="004C20BC" w:rsidRPr="005D26B8" w:rsidRDefault="004C20BC" w:rsidP="007C4D71">
            <w:pPr>
              <w:rPr>
                <w:lang w:val="en-US"/>
              </w:rPr>
            </w:pPr>
          </w:p>
          <w:p w:rsidR="004C20BC" w:rsidRPr="005D26B8" w:rsidRDefault="004C20BC" w:rsidP="007C4D71">
            <w:pPr>
              <w:rPr>
                <w:lang w:val="en-US"/>
              </w:rPr>
            </w:pPr>
          </w:p>
        </w:tc>
        <w:tc>
          <w:tcPr>
            <w:tcW w:w="3192" w:type="dxa"/>
          </w:tcPr>
          <w:p w:rsidR="004C20BC" w:rsidRPr="005D26B8" w:rsidRDefault="005D26B8" w:rsidP="007C4D71">
            <w:pPr>
              <w:rPr>
                <w:lang w:val="en-US"/>
              </w:rPr>
            </w:pPr>
            <w:r w:rsidRPr="005D26B8">
              <w:rPr>
                <w:lang w:val="en-US"/>
              </w:rPr>
              <w:t>Clarify those issues that are clearly linked to RA Guidance.</w:t>
            </w:r>
          </w:p>
          <w:p w:rsidR="005D26B8" w:rsidRPr="005D26B8" w:rsidRDefault="005D26B8" w:rsidP="007C4D71">
            <w:pPr>
              <w:rPr>
                <w:lang w:val="en-US"/>
              </w:rPr>
            </w:pPr>
          </w:p>
          <w:p w:rsidR="005D26B8" w:rsidRPr="005D26B8" w:rsidRDefault="005D26B8" w:rsidP="007C4D71">
            <w:pPr>
              <w:rPr>
                <w:lang w:val="en-US"/>
              </w:rPr>
            </w:pPr>
            <w:r w:rsidRPr="005D26B8">
              <w:rPr>
                <w:lang w:val="en-US"/>
              </w:rPr>
              <w:t>Possible reference to other related issues in the Preface?</w:t>
            </w:r>
          </w:p>
          <w:p w:rsidR="005D26B8" w:rsidRPr="005D26B8" w:rsidRDefault="005D26B8" w:rsidP="007C4D71">
            <w:pPr>
              <w:rPr>
                <w:lang w:val="en-US"/>
              </w:rPr>
            </w:pPr>
          </w:p>
          <w:p w:rsidR="005D26B8" w:rsidRPr="005D26B8" w:rsidRDefault="005D26B8" w:rsidP="007C4D71">
            <w:pPr>
              <w:rPr>
                <w:lang w:val="en-US"/>
              </w:rPr>
            </w:pPr>
            <w:r w:rsidRPr="005D26B8">
              <w:rPr>
                <w:lang w:val="en-US"/>
              </w:rPr>
              <w:t>We need to discuss this.</w:t>
            </w:r>
          </w:p>
        </w:tc>
        <w:tc>
          <w:tcPr>
            <w:tcW w:w="3192" w:type="dxa"/>
          </w:tcPr>
          <w:p w:rsidR="004C20BC" w:rsidRDefault="004C20BC" w:rsidP="007C4D71"/>
        </w:tc>
      </w:tr>
    </w:tbl>
    <w:p w:rsidR="004C20BC" w:rsidRDefault="004C20BC">
      <w:pPr>
        <w:rPr>
          <w:sz w:val="28"/>
          <w:szCs w:val="28"/>
        </w:rPr>
      </w:pPr>
    </w:p>
    <w:p w:rsidR="004C20BC" w:rsidRPr="004C20BC" w:rsidRDefault="004C20BC">
      <w:pPr>
        <w:rPr>
          <w:sz w:val="28"/>
          <w:szCs w:val="28"/>
        </w:rPr>
      </w:pPr>
      <w:r w:rsidRPr="004C20BC">
        <w:rPr>
          <w:sz w:val="28"/>
          <w:szCs w:val="28"/>
        </w:rPr>
        <w:t>Sub-category: Concrete examples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Tr="007C4D71">
        <w:tc>
          <w:tcPr>
            <w:tcW w:w="3192" w:type="dxa"/>
          </w:tcPr>
          <w:p w:rsidR="004C20BC" w:rsidRDefault="004C20BC" w:rsidP="007C4D71">
            <w:r>
              <w:t>Identified challenges</w:t>
            </w:r>
          </w:p>
        </w:tc>
        <w:tc>
          <w:tcPr>
            <w:tcW w:w="3192" w:type="dxa"/>
          </w:tcPr>
          <w:p w:rsidR="004C20BC" w:rsidRDefault="004C20BC" w:rsidP="007C4D71">
            <w:r>
              <w:t>Possible way forward</w:t>
            </w:r>
          </w:p>
        </w:tc>
        <w:tc>
          <w:tcPr>
            <w:tcW w:w="3192" w:type="dxa"/>
          </w:tcPr>
          <w:p w:rsidR="004C20BC" w:rsidRDefault="004C20BC" w:rsidP="007C4D71">
            <w:r>
              <w:t>Notes (if needed)</w:t>
            </w:r>
          </w:p>
        </w:tc>
      </w:tr>
      <w:tr w:rsidR="004C20BC" w:rsidTr="007C4D71">
        <w:tc>
          <w:tcPr>
            <w:tcW w:w="3192" w:type="dxa"/>
          </w:tcPr>
          <w:p w:rsidR="004C20BC" w:rsidRPr="00526063" w:rsidRDefault="00B01460" w:rsidP="007C4D71">
            <w:pPr>
              <w:rPr>
                <w:b/>
                <w:lang w:val="en-US"/>
              </w:rPr>
            </w:pPr>
            <w:r w:rsidRPr="00526063">
              <w:rPr>
                <w:b/>
                <w:lang w:val="en-US"/>
              </w:rPr>
              <w:t>Roadmap:</w:t>
            </w:r>
          </w:p>
          <w:p w:rsidR="00B01460" w:rsidRPr="00526063" w:rsidRDefault="00B01460" w:rsidP="007C4D71">
            <w:pPr>
              <w:rPr>
                <w:lang w:val="en-US"/>
              </w:rPr>
            </w:pPr>
            <w:r w:rsidRPr="00526063">
              <w:rPr>
                <w:lang w:val="en-US"/>
              </w:rPr>
              <w:t>ID 27, 128, 132, 213, 237, 269, 400, 414:</w:t>
            </w:r>
          </w:p>
          <w:p w:rsidR="004C20BC" w:rsidRPr="00526063" w:rsidRDefault="00B01460" w:rsidP="007C4D71">
            <w:pPr>
              <w:rPr>
                <w:lang w:val="en-US"/>
              </w:rPr>
            </w:pPr>
            <w:r w:rsidRPr="00526063">
              <w:rPr>
                <w:lang w:val="en-US"/>
              </w:rPr>
              <w:t xml:space="preserve">Real life case studies of LMO RAs; More specific values or criteria to be included; Concrete </w:t>
            </w:r>
            <w:r w:rsidRPr="00526063">
              <w:rPr>
                <w:lang w:val="en-US"/>
              </w:rPr>
              <w:lastRenderedPageBreak/>
              <w:t xml:space="preserve">examples for training and CB; case examples to </w:t>
            </w:r>
            <w:r w:rsidR="00526063" w:rsidRPr="00526063">
              <w:rPr>
                <w:lang w:val="en-US"/>
              </w:rPr>
              <w:t xml:space="preserve">e.g. </w:t>
            </w:r>
            <w:r w:rsidRPr="00526063">
              <w:rPr>
                <w:lang w:val="en-US"/>
              </w:rPr>
              <w:t>annexes; examples of risks to human health; cite experience worldwide.</w:t>
            </w:r>
          </w:p>
          <w:p w:rsidR="004C20BC" w:rsidRPr="00526063" w:rsidRDefault="004C20BC" w:rsidP="007C4D71">
            <w:pPr>
              <w:rPr>
                <w:lang w:val="en-US"/>
              </w:rPr>
            </w:pPr>
          </w:p>
          <w:p w:rsidR="004C20BC" w:rsidRDefault="004C20BC" w:rsidP="007C4D71"/>
          <w:p w:rsidR="004C20BC" w:rsidRDefault="004C20BC" w:rsidP="007C4D71"/>
        </w:tc>
        <w:tc>
          <w:tcPr>
            <w:tcW w:w="3192" w:type="dxa"/>
          </w:tcPr>
          <w:p w:rsidR="004C20BC" w:rsidRPr="00526063" w:rsidRDefault="00526063" w:rsidP="007C4D71">
            <w:pPr>
              <w:rPr>
                <w:lang w:val="en-US"/>
              </w:rPr>
            </w:pPr>
            <w:r w:rsidRPr="00526063">
              <w:rPr>
                <w:lang w:val="en-US"/>
              </w:rPr>
              <w:lastRenderedPageBreak/>
              <w:t xml:space="preserve">Case studies can be referred to in background documents; look for examples in the Training manual; also experience in LMO RA is included in background documents and CBD RA </w:t>
            </w:r>
            <w:r w:rsidRPr="00526063">
              <w:rPr>
                <w:lang w:val="en-US"/>
              </w:rPr>
              <w:lastRenderedPageBreak/>
              <w:t>reports/summaries.</w:t>
            </w:r>
          </w:p>
          <w:p w:rsidR="00526063" w:rsidRDefault="00526063" w:rsidP="007C4D71">
            <w:r w:rsidRPr="00526063">
              <w:rPr>
                <w:lang w:val="en-US"/>
              </w:rPr>
              <w:t>Need to clarify this in the text.</w:t>
            </w:r>
          </w:p>
        </w:tc>
        <w:tc>
          <w:tcPr>
            <w:tcW w:w="3192" w:type="dxa"/>
          </w:tcPr>
          <w:p w:rsidR="004C20BC" w:rsidRDefault="004C20BC" w:rsidP="007C4D71"/>
        </w:tc>
      </w:tr>
    </w:tbl>
    <w:p w:rsidR="004C20BC" w:rsidRPr="004C20BC" w:rsidRDefault="004C20BC">
      <w:pPr>
        <w:rPr>
          <w:sz w:val="28"/>
          <w:szCs w:val="28"/>
        </w:rPr>
      </w:pPr>
      <w:r w:rsidRPr="004C20BC">
        <w:rPr>
          <w:sz w:val="28"/>
          <w:szCs w:val="28"/>
        </w:rPr>
        <w:lastRenderedPageBreak/>
        <w:t>Sub-category: Human health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Tr="007C4D71">
        <w:tc>
          <w:tcPr>
            <w:tcW w:w="3192" w:type="dxa"/>
          </w:tcPr>
          <w:p w:rsidR="004C20BC" w:rsidRDefault="004C20BC" w:rsidP="007C4D71">
            <w:r>
              <w:t>Identified challenges</w:t>
            </w:r>
          </w:p>
        </w:tc>
        <w:tc>
          <w:tcPr>
            <w:tcW w:w="3192" w:type="dxa"/>
          </w:tcPr>
          <w:p w:rsidR="004C20BC" w:rsidRDefault="004C20BC" w:rsidP="007C4D71">
            <w:r>
              <w:t>Possible way forward</w:t>
            </w:r>
          </w:p>
        </w:tc>
        <w:tc>
          <w:tcPr>
            <w:tcW w:w="3192" w:type="dxa"/>
          </w:tcPr>
          <w:p w:rsidR="004C20BC" w:rsidRDefault="004C20BC" w:rsidP="007C4D71">
            <w:r>
              <w:t>Notes (if needed)</w:t>
            </w:r>
          </w:p>
        </w:tc>
      </w:tr>
      <w:tr w:rsidR="004C20BC" w:rsidTr="007C4D71">
        <w:tc>
          <w:tcPr>
            <w:tcW w:w="3192" w:type="dxa"/>
          </w:tcPr>
          <w:p w:rsidR="004C20BC" w:rsidRPr="0006771C" w:rsidRDefault="008F0C22" w:rsidP="007C4D71">
            <w:pPr>
              <w:rPr>
                <w:b/>
                <w:lang w:val="en-US"/>
              </w:rPr>
            </w:pPr>
            <w:r w:rsidRPr="0006771C">
              <w:rPr>
                <w:b/>
                <w:lang w:val="en-US"/>
              </w:rPr>
              <w:t>Roadmap:</w:t>
            </w:r>
          </w:p>
          <w:p w:rsidR="008F0C22" w:rsidRPr="0006771C" w:rsidRDefault="008F0C22" w:rsidP="007C4D71">
            <w:pPr>
              <w:rPr>
                <w:lang w:val="en-US"/>
              </w:rPr>
            </w:pPr>
            <w:r w:rsidRPr="0006771C">
              <w:rPr>
                <w:lang w:val="en-US"/>
              </w:rPr>
              <w:t>ID 211, 269, 301, 302, 311, 319, 323</w:t>
            </w:r>
            <w:r w:rsidR="0006771C" w:rsidRPr="0006771C">
              <w:rPr>
                <w:lang w:val="en-US"/>
              </w:rPr>
              <w:t>, 364, 369:</w:t>
            </w:r>
          </w:p>
          <w:p w:rsidR="0006771C" w:rsidRPr="0006771C" w:rsidRDefault="0006771C" w:rsidP="007C4D71">
            <w:pPr>
              <w:rPr>
                <w:lang w:val="en-US"/>
              </w:rPr>
            </w:pPr>
            <w:r w:rsidRPr="0006771C">
              <w:rPr>
                <w:lang w:val="en-US"/>
              </w:rPr>
              <w:t>Human health issues need to be considered.</w:t>
            </w:r>
          </w:p>
          <w:p w:rsidR="004C20BC" w:rsidRDefault="004C20BC" w:rsidP="007C4D71"/>
          <w:p w:rsidR="004C20BC" w:rsidRDefault="004C20BC" w:rsidP="007C4D71"/>
          <w:p w:rsidR="004C20BC" w:rsidRDefault="004C20BC" w:rsidP="007C4D71"/>
          <w:p w:rsidR="004C20BC" w:rsidRDefault="004C20BC" w:rsidP="007C4D71"/>
          <w:p w:rsidR="004C20BC" w:rsidRDefault="004C20BC" w:rsidP="007C4D71"/>
        </w:tc>
        <w:tc>
          <w:tcPr>
            <w:tcW w:w="3192" w:type="dxa"/>
          </w:tcPr>
          <w:p w:rsidR="004C20BC" w:rsidRPr="0006771C" w:rsidRDefault="0006771C" w:rsidP="0006771C">
            <w:pPr>
              <w:rPr>
                <w:lang w:val="en-US"/>
              </w:rPr>
            </w:pPr>
            <w:r w:rsidRPr="0006771C">
              <w:rPr>
                <w:lang w:val="en-US"/>
              </w:rPr>
              <w:t>We need to discuss this in the sub-group.</w:t>
            </w:r>
          </w:p>
        </w:tc>
        <w:tc>
          <w:tcPr>
            <w:tcW w:w="3192" w:type="dxa"/>
          </w:tcPr>
          <w:p w:rsidR="004C20BC" w:rsidRDefault="004C20BC" w:rsidP="007C4D71"/>
        </w:tc>
      </w:tr>
    </w:tbl>
    <w:p w:rsidR="004C20BC" w:rsidRDefault="004C20BC">
      <w:pPr>
        <w:rPr>
          <w:sz w:val="28"/>
          <w:szCs w:val="28"/>
        </w:rPr>
      </w:pPr>
    </w:p>
    <w:p w:rsidR="0041563A" w:rsidRDefault="004C20BC">
      <w:pPr>
        <w:rPr>
          <w:sz w:val="28"/>
          <w:szCs w:val="28"/>
        </w:rPr>
      </w:pPr>
      <w:r w:rsidRPr="004C20BC">
        <w:rPr>
          <w:sz w:val="28"/>
          <w:szCs w:val="28"/>
        </w:rPr>
        <w:t>Sub-category: Other</w:t>
      </w:r>
      <w:r>
        <w:rPr>
          <w:sz w:val="28"/>
          <w:szCs w:val="28"/>
        </w:rPr>
        <w:t>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Tr="007C4D71">
        <w:tc>
          <w:tcPr>
            <w:tcW w:w="3192" w:type="dxa"/>
          </w:tcPr>
          <w:p w:rsidR="004C20BC" w:rsidRDefault="004C20BC" w:rsidP="007C4D71">
            <w:r>
              <w:t>Identified challenges</w:t>
            </w:r>
          </w:p>
        </w:tc>
        <w:tc>
          <w:tcPr>
            <w:tcW w:w="3192" w:type="dxa"/>
          </w:tcPr>
          <w:p w:rsidR="004C20BC" w:rsidRDefault="004C20BC" w:rsidP="007C4D71">
            <w:r>
              <w:t>Possible way forward</w:t>
            </w:r>
          </w:p>
        </w:tc>
        <w:tc>
          <w:tcPr>
            <w:tcW w:w="3192" w:type="dxa"/>
          </w:tcPr>
          <w:p w:rsidR="004C20BC" w:rsidRDefault="004C20BC" w:rsidP="007C4D71">
            <w:r>
              <w:t>Notes (if needed)</w:t>
            </w:r>
          </w:p>
        </w:tc>
      </w:tr>
      <w:tr w:rsidR="004C20BC" w:rsidTr="007C4D71">
        <w:tc>
          <w:tcPr>
            <w:tcW w:w="3192" w:type="dxa"/>
          </w:tcPr>
          <w:p w:rsidR="004C20BC" w:rsidRPr="003F687A" w:rsidRDefault="0006771C" w:rsidP="007C4D71">
            <w:pPr>
              <w:rPr>
                <w:b/>
                <w:lang w:val="en-US"/>
              </w:rPr>
            </w:pPr>
            <w:r w:rsidRPr="003F687A">
              <w:rPr>
                <w:b/>
                <w:lang w:val="en-US"/>
              </w:rPr>
              <w:t>Roadmap:</w:t>
            </w:r>
          </w:p>
          <w:p w:rsidR="0006771C" w:rsidRPr="003F687A" w:rsidRDefault="0006771C" w:rsidP="007C4D71">
            <w:pPr>
              <w:rPr>
                <w:lang w:val="en-US"/>
              </w:rPr>
            </w:pPr>
            <w:r w:rsidRPr="003F687A">
              <w:rPr>
                <w:lang w:val="en-US"/>
              </w:rPr>
              <w:t>ID 121, 212, 370, 402, 431, 432, 441, 453:</w:t>
            </w:r>
          </w:p>
          <w:p w:rsidR="0006771C" w:rsidRPr="0006771C" w:rsidRDefault="0006771C" w:rsidP="007C4D71"/>
          <w:p w:rsidR="004C20BC" w:rsidRDefault="004C20BC" w:rsidP="007C4D71"/>
          <w:p w:rsidR="004C20BC" w:rsidRDefault="004C20BC" w:rsidP="007C4D71"/>
          <w:p w:rsidR="004C20BC" w:rsidRDefault="004C20BC" w:rsidP="007C4D71"/>
          <w:p w:rsidR="004C20BC" w:rsidRDefault="004C20BC" w:rsidP="007C4D71"/>
          <w:p w:rsidR="004C20BC" w:rsidRDefault="004C20BC" w:rsidP="007C4D71"/>
          <w:p w:rsidR="004C20BC" w:rsidRDefault="004C20BC" w:rsidP="007C4D71"/>
          <w:p w:rsidR="004C20BC" w:rsidRDefault="004C20BC" w:rsidP="007C4D71"/>
          <w:p w:rsidR="004C20BC" w:rsidRDefault="004C20BC" w:rsidP="007C4D71"/>
          <w:p w:rsidR="004C20BC" w:rsidRDefault="004C20BC" w:rsidP="007C4D71"/>
          <w:p w:rsidR="004C20BC" w:rsidRDefault="004C20BC" w:rsidP="007C4D71"/>
        </w:tc>
        <w:tc>
          <w:tcPr>
            <w:tcW w:w="3192" w:type="dxa"/>
          </w:tcPr>
          <w:p w:rsidR="004C20BC" w:rsidRPr="003F687A" w:rsidRDefault="0006771C" w:rsidP="007C4D71">
            <w:pPr>
              <w:rPr>
                <w:lang w:val="en-US"/>
              </w:rPr>
            </w:pPr>
            <w:r w:rsidRPr="003F687A">
              <w:rPr>
                <w:lang w:val="en-US"/>
              </w:rPr>
              <w:t>ID 121: ok</w:t>
            </w:r>
          </w:p>
          <w:p w:rsidR="0006771C" w:rsidRPr="003F687A" w:rsidRDefault="0006771C" w:rsidP="007C4D71">
            <w:pPr>
              <w:rPr>
                <w:lang w:val="en-US"/>
              </w:rPr>
            </w:pPr>
            <w:r w:rsidRPr="003F687A">
              <w:rPr>
                <w:lang w:val="en-US"/>
              </w:rPr>
              <w:t>ID 212: SEC has a separate assessment process</w:t>
            </w:r>
          </w:p>
          <w:p w:rsidR="0006771C" w:rsidRPr="003F687A" w:rsidRDefault="0006771C" w:rsidP="007C4D71">
            <w:pPr>
              <w:rPr>
                <w:lang w:val="en-US"/>
              </w:rPr>
            </w:pPr>
            <w:r w:rsidRPr="003F687A">
              <w:rPr>
                <w:lang w:val="en-US"/>
              </w:rPr>
              <w:t>ID 370: Also separate processes</w:t>
            </w:r>
          </w:p>
          <w:p w:rsidR="0006771C" w:rsidRPr="003F687A" w:rsidRDefault="003F687A" w:rsidP="007C4D71">
            <w:pPr>
              <w:rPr>
                <w:lang w:val="en-US"/>
              </w:rPr>
            </w:pPr>
            <w:r w:rsidRPr="003F687A">
              <w:rPr>
                <w:lang w:val="en-US"/>
              </w:rPr>
              <w:t>ID 402: N</w:t>
            </w:r>
            <w:r w:rsidR="0006771C" w:rsidRPr="003F687A">
              <w:rPr>
                <w:lang w:val="en-US"/>
              </w:rPr>
              <w:t>o action needed</w:t>
            </w:r>
          </w:p>
          <w:p w:rsidR="003F687A" w:rsidRPr="003F687A" w:rsidRDefault="003F687A" w:rsidP="007C4D71">
            <w:pPr>
              <w:rPr>
                <w:lang w:val="en-US"/>
              </w:rPr>
            </w:pPr>
            <w:r w:rsidRPr="003F687A">
              <w:rPr>
                <w:lang w:val="en-US"/>
              </w:rPr>
              <w:t>ID 431: Needs further clarification/discussions how to deal with this</w:t>
            </w:r>
          </w:p>
          <w:p w:rsidR="003F687A" w:rsidRPr="003F687A" w:rsidRDefault="003F687A" w:rsidP="007C4D71">
            <w:pPr>
              <w:rPr>
                <w:lang w:val="en-US"/>
              </w:rPr>
            </w:pPr>
            <w:r w:rsidRPr="003F687A">
              <w:rPr>
                <w:lang w:val="en-US"/>
              </w:rPr>
              <w:t>ID 432: Non-target organisms: see/clarify if necessary points to consider in RA steps.</w:t>
            </w:r>
          </w:p>
          <w:p w:rsidR="003F687A" w:rsidRPr="003F687A" w:rsidRDefault="003F687A" w:rsidP="007C4D71">
            <w:pPr>
              <w:rPr>
                <w:lang w:val="en-US"/>
              </w:rPr>
            </w:pPr>
            <w:r w:rsidRPr="003F687A">
              <w:rPr>
                <w:lang w:val="en-US"/>
              </w:rPr>
              <w:t>ID 441: taken care of by other, earlier comments</w:t>
            </w:r>
          </w:p>
          <w:p w:rsidR="003F687A" w:rsidRDefault="003F687A" w:rsidP="007C4D71">
            <w:r w:rsidRPr="003F687A">
              <w:rPr>
                <w:lang w:val="en-US"/>
              </w:rPr>
              <w:t>ID 453: see my comment on ID 431</w:t>
            </w:r>
          </w:p>
        </w:tc>
        <w:tc>
          <w:tcPr>
            <w:tcW w:w="3192" w:type="dxa"/>
          </w:tcPr>
          <w:p w:rsidR="004C20BC" w:rsidRDefault="004C20BC" w:rsidP="007C4D71">
            <w:bookmarkStart w:id="0" w:name="_GoBack"/>
            <w:bookmarkEnd w:id="0"/>
          </w:p>
        </w:tc>
      </w:tr>
    </w:tbl>
    <w:p w:rsidR="004C20BC" w:rsidRPr="004C20BC" w:rsidRDefault="004C20BC">
      <w:pPr>
        <w:rPr>
          <w:sz w:val="28"/>
          <w:szCs w:val="28"/>
        </w:rPr>
      </w:pPr>
    </w:p>
    <w:sectPr w:rsidR="004C20BC" w:rsidRPr="004C20BC" w:rsidSect="00EC551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BFF" w:rsidRDefault="00316BFF" w:rsidP="004C20BC">
      <w:pPr>
        <w:spacing w:after="0" w:line="240" w:lineRule="auto"/>
      </w:pPr>
      <w:r>
        <w:separator/>
      </w:r>
    </w:p>
  </w:endnote>
  <w:endnote w:type="continuationSeparator" w:id="0">
    <w:p w:rsidR="00316BFF" w:rsidRDefault="00316BFF" w:rsidP="004C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BFF" w:rsidRDefault="00316BFF" w:rsidP="004C20BC">
      <w:pPr>
        <w:spacing w:after="0" w:line="240" w:lineRule="auto"/>
      </w:pPr>
      <w:r>
        <w:separator/>
      </w:r>
    </w:p>
  </w:footnote>
  <w:footnote w:type="continuationSeparator" w:id="0">
    <w:p w:rsidR="00316BFF" w:rsidRDefault="00316BFF" w:rsidP="004C2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0BC" w:rsidRPr="004C20BC" w:rsidRDefault="004C20BC" w:rsidP="004C20BC">
    <w:pPr>
      <w:pStyle w:val="Yltunniste"/>
      <w:jc w:val="center"/>
      <w:rPr>
        <w:b/>
      </w:rPr>
    </w:pPr>
    <w:r w:rsidRPr="004C20BC">
      <w:rPr>
        <w:b/>
      </w:rPr>
      <w:t xml:space="preserve">STREAMLINING OF COMMENTS FROM THE TESTING OF THE GUIDANCE </w:t>
    </w:r>
    <w:r w:rsidRPr="004C20BC">
      <w:rPr>
        <w:b/>
      </w:rPr>
      <w:br/>
      <w:t>(AHTEG SUB-GROUP DISCUSSION 25 MAY – 22 JUNE 2015)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46247"/>
    <w:multiLevelType w:val="hybridMultilevel"/>
    <w:tmpl w:val="10E8F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BC"/>
    <w:rsid w:val="0006771C"/>
    <w:rsid w:val="000A08CE"/>
    <w:rsid w:val="000A395E"/>
    <w:rsid w:val="00136462"/>
    <w:rsid w:val="00137F0F"/>
    <w:rsid w:val="001747C2"/>
    <w:rsid w:val="00225BB8"/>
    <w:rsid w:val="002539FC"/>
    <w:rsid w:val="002A3D5E"/>
    <w:rsid w:val="002A43AE"/>
    <w:rsid w:val="002C1E9E"/>
    <w:rsid w:val="003074EE"/>
    <w:rsid w:val="00311E94"/>
    <w:rsid w:val="00316BFF"/>
    <w:rsid w:val="0034721B"/>
    <w:rsid w:val="00360F7E"/>
    <w:rsid w:val="003F687A"/>
    <w:rsid w:val="00421E1B"/>
    <w:rsid w:val="00445B71"/>
    <w:rsid w:val="00486F2B"/>
    <w:rsid w:val="004A5A05"/>
    <w:rsid w:val="004C20BC"/>
    <w:rsid w:val="004D11BF"/>
    <w:rsid w:val="004D3FDD"/>
    <w:rsid w:val="0052571C"/>
    <w:rsid w:val="00526063"/>
    <w:rsid w:val="005D26B8"/>
    <w:rsid w:val="006047CD"/>
    <w:rsid w:val="0069645D"/>
    <w:rsid w:val="00696B0A"/>
    <w:rsid w:val="006D243C"/>
    <w:rsid w:val="00741F76"/>
    <w:rsid w:val="00743C14"/>
    <w:rsid w:val="007B349E"/>
    <w:rsid w:val="007F5BD7"/>
    <w:rsid w:val="00801AE8"/>
    <w:rsid w:val="008A7D02"/>
    <w:rsid w:val="008C02CD"/>
    <w:rsid w:val="008D192E"/>
    <w:rsid w:val="008D1C18"/>
    <w:rsid w:val="008F0C22"/>
    <w:rsid w:val="008F225D"/>
    <w:rsid w:val="00950F11"/>
    <w:rsid w:val="009D681E"/>
    <w:rsid w:val="009E2395"/>
    <w:rsid w:val="00A015E3"/>
    <w:rsid w:val="00B01460"/>
    <w:rsid w:val="00B35DBB"/>
    <w:rsid w:val="00B43138"/>
    <w:rsid w:val="00B46AB5"/>
    <w:rsid w:val="00BC626F"/>
    <w:rsid w:val="00BD56A9"/>
    <w:rsid w:val="00BE46F5"/>
    <w:rsid w:val="00C52697"/>
    <w:rsid w:val="00C63B64"/>
    <w:rsid w:val="00C7361F"/>
    <w:rsid w:val="00CD2BEB"/>
    <w:rsid w:val="00CF5DF6"/>
    <w:rsid w:val="00D068FA"/>
    <w:rsid w:val="00D93EA0"/>
    <w:rsid w:val="00DB5202"/>
    <w:rsid w:val="00E46F15"/>
    <w:rsid w:val="00EA5039"/>
    <w:rsid w:val="00EC1073"/>
    <w:rsid w:val="00EC5513"/>
    <w:rsid w:val="00EE66BE"/>
    <w:rsid w:val="00F52ABD"/>
    <w:rsid w:val="00FB023C"/>
    <w:rsid w:val="00F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C2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semiHidden/>
    <w:unhideWhenUsed/>
    <w:rsid w:val="004C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4C20BC"/>
  </w:style>
  <w:style w:type="paragraph" w:styleId="Alatunniste">
    <w:name w:val="footer"/>
    <w:basedOn w:val="Normaali"/>
    <w:link w:val="AlatunnisteChar"/>
    <w:uiPriority w:val="99"/>
    <w:semiHidden/>
    <w:unhideWhenUsed/>
    <w:rsid w:val="004C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4C20BC"/>
  </w:style>
  <w:style w:type="paragraph" w:styleId="Luettelokappale">
    <w:name w:val="List Paragraph"/>
    <w:basedOn w:val="Normaali"/>
    <w:uiPriority w:val="34"/>
    <w:qFormat/>
    <w:rsid w:val="00696B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C2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semiHidden/>
    <w:unhideWhenUsed/>
    <w:rsid w:val="004C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4C20BC"/>
  </w:style>
  <w:style w:type="paragraph" w:styleId="Alatunniste">
    <w:name w:val="footer"/>
    <w:basedOn w:val="Normaali"/>
    <w:link w:val="AlatunnisteChar"/>
    <w:uiPriority w:val="99"/>
    <w:semiHidden/>
    <w:unhideWhenUsed/>
    <w:rsid w:val="004C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4C20BC"/>
  </w:style>
  <w:style w:type="paragraph" w:styleId="Luettelokappale">
    <w:name w:val="List Paragraph"/>
    <w:basedOn w:val="Normaali"/>
    <w:uiPriority w:val="34"/>
    <w:qFormat/>
    <w:rsid w:val="00696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8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E93BF-D030-46D8-9FFF-686AC0E1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1091</Words>
  <Characters>8839</Characters>
  <Application>Microsoft Office Word</Application>
  <DocSecurity>0</DocSecurity>
  <Lines>73</Lines>
  <Paragraphs>19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SCBD</Company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Manoela Pessoa de Miranda</dc:creator>
  <cp:lastModifiedBy>Anonymous</cp:lastModifiedBy>
  <cp:revision>2</cp:revision>
  <dcterms:created xsi:type="dcterms:W3CDTF">2015-06-08T22:05:00Z</dcterms:created>
  <dcterms:modified xsi:type="dcterms:W3CDTF">2015-06-08T22:05:00Z</dcterms:modified>
</cp:coreProperties>
</file>