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7622" w:rsidRPr="00497622" w:rsidRDefault="00497622" w:rsidP="00497622">
      <w:pPr>
        <w:rPr>
          <w:b/>
          <w:bCs/>
        </w:rPr>
      </w:pPr>
      <w:r w:rsidRPr="00497622">
        <w:rPr>
          <w:b/>
          <w:bCs/>
        </w:rPr>
        <w:t>Sampling for the Detection of Biotech Grains</w:t>
      </w:r>
    </w:p>
    <w:p w:rsidR="00497622" w:rsidRPr="00497622" w:rsidRDefault="00497622" w:rsidP="00497622">
      <w:pPr>
        <w:rPr>
          <w:b/>
          <w:bCs/>
        </w:rPr>
      </w:pPr>
      <w:r w:rsidRPr="00497622">
        <w:rPr>
          <w:b/>
          <w:bCs/>
          <w:i/>
          <w:iCs/>
        </w:rPr>
        <w:t>October 2000</w:t>
      </w:r>
    </w:p>
    <w:p w:rsidR="00497622" w:rsidRPr="00497622" w:rsidRDefault="006527FE" w:rsidP="00497622">
      <w:pPr>
        <w:rPr>
          <w:b/>
          <w:bCs/>
        </w:rPr>
      </w:pPr>
      <w:r>
        <w:rPr>
          <w:b/>
          <w:bCs/>
        </w:rPr>
        <w:pict>
          <v:rect id="_x0000_i1025" style="width:0;height:1.5pt" o:hralign="center" o:hrstd="t" o:hr="t" fillcolor="#a0a0a0" stroked="f"/>
        </w:pict>
      </w:r>
    </w:p>
    <w:p w:rsidR="00497622" w:rsidRPr="00497622" w:rsidRDefault="00497622" w:rsidP="00497622">
      <w:r w:rsidRPr="00497622">
        <w:br/>
      </w:r>
      <w:r w:rsidRPr="00497622">
        <w:rPr>
          <w:b/>
          <w:bCs/>
        </w:rPr>
        <w:t>Introduction</w:t>
      </w:r>
    </w:p>
    <w:p w:rsidR="00497622" w:rsidRPr="00497622" w:rsidRDefault="00497622" w:rsidP="00497622">
      <w:r w:rsidRPr="00497622">
        <w:t>A consignment of grain (or grain lot) has many unknown quality characteristics. Measuring these characteristics on the entire lot can be costly. An experienced inspector must examine the grain to determine whether a kernel is damaged or not. Time constraints and cost prohibit an inspector from examining every kernel in a grain lot. Inspecting a small subset of the lot is much less costly and time consuming than inspecting the whole lot. This subset of the lot is called a sample. GIPSA has instructions for taking samples from static lots - such as trucks, barges, and railcars - and for taking samples from grain streams.  GIPSA's </w:t>
      </w:r>
      <w:hyperlink r:id="rId4" w:history="1">
        <w:r w:rsidRPr="00497622">
          <w:rPr>
            <w:rStyle w:val="Hyperlink"/>
            <w:i/>
            <w:iCs/>
          </w:rPr>
          <w:t>Grain Inspection Handbook, Book 1, Grain Sampling</w:t>
        </w:r>
      </w:hyperlink>
      <w:r w:rsidRPr="00497622">
        <w:rPr>
          <w:i/>
          <w:iCs/>
        </w:rPr>
        <w:t> </w:t>
      </w:r>
      <w:r w:rsidRPr="00497622">
        <w:t>and </w:t>
      </w:r>
      <w:hyperlink r:id="rId5" w:history="1">
        <w:r w:rsidRPr="00497622">
          <w:rPr>
            <w:rStyle w:val="Hyperlink"/>
            <w:i/>
            <w:iCs/>
          </w:rPr>
          <w:t>Rice Inspection Handbook, Chapter 2, Sampling,</w:t>
        </w:r>
      </w:hyperlink>
      <w:r w:rsidRPr="00497622">
        <w:t> contain these instructions.</w:t>
      </w:r>
    </w:p>
    <w:p w:rsidR="00497622" w:rsidRPr="00497622" w:rsidRDefault="00497622" w:rsidP="00497622">
      <w:r w:rsidRPr="00497622">
        <w:t>While inspecting a sample is much less costly than inspecting the entire lot, the content of a sample does not always reflect the content of the lot. Fortunately, when samples are properly taken, probability theory can assign some risk values to measurements on samples.</w:t>
      </w:r>
    </w:p>
    <w:p w:rsidR="00497622" w:rsidRPr="00497622" w:rsidRDefault="00497622" w:rsidP="00497622">
      <w:r w:rsidRPr="00497622">
        <w:t>Furthermore, sampling from a lot is only one source of error when estimating a quality characteristic of a lot. Sources of error fall into three basic categories: (1) sampling, (2) sample preparation, and (3) analytical method. Sampling is an ever-present source of error when estimating characteristics of a lot. However, depending on the characteristic being measured, sample preparation and analytical method can be significant contributors to measurement errors. Minimizing these errors is necessary to assure better precision and accuracy in the final analytical result.</w:t>
      </w:r>
    </w:p>
    <w:p w:rsidR="00497622" w:rsidRPr="00497622" w:rsidRDefault="00497622" w:rsidP="00497622">
      <w:r w:rsidRPr="00497622">
        <w:t>Buyers and sellers of a lot have to agree on the quality and price of the lot before a transaction can take place. Basing the quality of a lot on a sample introduces risk to both buyer and seller. Buyers and sellers want to control their risk where possible. Using the information provided in this paper, buyers and sellers will be able to make informed decisions.</w:t>
      </w:r>
    </w:p>
    <w:p w:rsidR="00497622" w:rsidRPr="00497622" w:rsidRDefault="00497622" w:rsidP="00497622">
      <w:r w:rsidRPr="00497622">
        <w:t>This paper discusses sampling errors associated with detecting the presence of biotech varieties in grain lots, and presents ways to estimate these errors and control the risks to buyer and seller. The paper does not recommend any specific sampling plan. Buyer and seller should agree on a sampling and testing plan that best meets their mutual needs.</w:t>
      </w:r>
    </w:p>
    <w:p w:rsidR="00497622" w:rsidRPr="00497622" w:rsidRDefault="00497622" w:rsidP="00497622">
      <w:pPr>
        <w:rPr>
          <w:b/>
          <w:bCs/>
        </w:rPr>
      </w:pPr>
      <w:r w:rsidRPr="00497622">
        <w:rPr>
          <w:b/>
          <w:bCs/>
        </w:rPr>
        <w:t>Introduction to Sampling Theory</w:t>
      </w:r>
    </w:p>
    <w:p w:rsidR="00497622" w:rsidRPr="00497622" w:rsidRDefault="00497622" w:rsidP="00497622">
      <w:r w:rsidRPr="00497622">
        <w:t>A sample is simply a subset of a lot. Probability theory can describe risk for randomly selected samples. A </w:t>
      </w:r>
      <w:r w:rsidRPr="00497622">
        <w:rPr>
          <w:b/>
          <w:bCs/>
        </w:rPr>
        <w:t>random sample</w:t>
      </w:r>
      <w:r w:rsidRPr="00497622">
        <w:t> is one selected in a process in which every possible sample from a lot has an equal chance of being selected.</w:t>
      </w:r>
    </w:p>
    <w:p w:rsidR="00497622" w:rsidRPr="00497622" w:rsidRDefault="00497622" w:rsidP="00497622">
      <w:r w:rsidRPr="00497622">
        <w:t>If every possible sample from a lot could be measured, the average of the measurements would equal the content of the lot. This means that, on average, a random sample produces an unbiased estimate of the measurement of interest.</w:t>
      </w:r>
    </w:p>
    <w:p w:rsidR="00497622" w:rsidRPr="00497622" w:rsidRDefault="00497622" w:rsidP="00497622">
      <w:r w:rsidRPr="00497622">
        <w:t>Measurements on individual samples will deviate from the content in the lot. Probability will not tell what the deviation is on a particular sample, but probability can describe a likely range that the lot content will fall into.</w:t>
      </w:r>
    </w:p>
    <w:p w:rsidR="00497622" w:rsidRPr="00497622" w:rsidRDefault="00497622" w:rsidP="00497622">
      <w:r w:rsidRPr="00497622">
        <w:lastRenderedPageBreak/>
        <w:t>Suppose a random sample of 100 kernels is selected from a lot with five percent biotech kernels. The distribution for this example is given below. A sample from this lot would likely provide an estimate between one and nine percent biotech kernels.</w:t>
      </w:r>
    </w:p>
    <w:p w:rsidR="00497622" w:rsidRPr="00497622" w:rsidRDefault="00497622" w:rsidP="00497622">
      <w:r w:rsidRPr="00497622">
        <w:rPr>
          <w:noProof/>
          <w:lang w:eastAsia="en-IN"/>
        </w:rPr>
        <w:drawing>
          <wp:inline distT="0" distB="0" distL="0" distR="0">
            <wp:extent cx="3552825" cy="2667000"/>
            <wp:effectExtent l="0" t="0" r="9525" b="0"/>
            <wp:docPr id="12" name="Picture 12" descr="Distribution chart for 100 kernel sample with 5 percent biotech kern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stribution chart for 100 kernel sample with 5 percent biotech kernel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52825" cy="2667000"/>
                    </a:xfrm>
                    <a:prstGeom prst="rect">
                      <a:avLst/>
                    </a:prstGeom>
                    <a:noFill/>
                    <a:ln>
                      <a:noFill/>
                    </a:ln>
                  </pic:spPr>
                </pic:pic>
              </a:graphicData>
            </a:graphic>
          </wp:inline>
        </w:drawing>
      </w:r>
    </w:p>
    <w:p w:rsidR="00497622" w:rsidRPr="00497622" w:rsidRDefault="00497622" w:rsidP="00497622">
      <w:r w:rsidRPr="00497622">
        <w:t>Increasing the sample size can reduce the range of estimated results. For example, a sample size of 790 kernels would provide an estimate between 3.4 and 6.6 % biotech kernels.</w:t>
      </w:r>
    </w:p>
    <w:p w:rsidR="00497622" w:rsidRPr="00497622" w:rsidRDefault="00497622" w:rsidP="00497622">
      <w:pPr>
        <w:rPr>
          <w:b/>
          <w:bCs/>
        </w:rPr>
      </w:pPr>
      <w:r w:rsidRPr="00497622">
        <w:rPr>
          <w:b/>
          <w:bCs/>
        </w:rPr>
        <w:t>Sampling from Grain Lots</w:t>
      </w:r>
    </w:p>
    <w:p w:rsidR="00497622" w:rsidRPr="00497622" w:rsidRDefault="00497622" w:rsidP="00497622">
      <w:r w:rsidRPr="00497622">
        <w:t>In practice, a pure random sample is not always easy to obtain from a lot. A sampling technique called </w:t>
      </w:r>
      <w:r w:rsidRPr="00497622">
        <w:rPr>
          <w:b/>
          <w:bCs/>
        </w:rPr>
        <w:t>systematic sampling</w:t>
      </w:r>
      <w:r w:rsidRPr="00497622">
        <w:t> has been widely used to produce a sample that is a reasonable substitute for a random sample. For example, auditors may use systematic sampling to obtain a sample of files that physically exist in a file cabinet. Suppose 10,000 files are stored in a file cabinet. A sample of 50 files is to be selected for review. Fifty files out of 10,000 files is a rate of one file out of every 200 files. A systematic sampling process starts by selecting a random number between 1 and 200, say 138. Counting through the files, the 138</w:t>
      </w:r>
      <w:r w:rsidRPr="00497622">
        <w:rPr>
          <w:vertAlign w:val="superscript"/>
        </w:rPr>
        <w:t>th</w:t>
      </w:r>
      <w:r w:rsidRPr="00497622">
        <w:t>, 338</w:t>
      </w:r>
      <w:r w:rsidRPr="00497622">
        <w:rPr>
          <w:vertAlign w:val="superscript"/>
        </w:rPr>
        <w:t>th</w:t>
      </w:r>
      <w:r w:rsidRPr="00497622">
        <w:t>, 538</w:t>
      </w:r>
      <w:r w:rsidRPr="00497622">
        <w:rPr>
          <w:vertAlign w:val="superscript"/>
        </w:rPr>
        <w:t>th</w:t>
      </w:r>
      <w:r w:rsidRPr="00497622">
        <w:t>, and so forth, files would be selected for the sample.</w:t>
      </w:r>
    </w:p>
    <w:p w:rsidR="00497622" w:rsidRPr="00497622" w:rsidRDefault="00497622" w:rsidP="00497622">
      <w:r w:rsidRPr="00497622">
        <w:t>In grain inspection, variations of the systematic sampling process are used to select samples. These samples are not random samples by the pure definition, but are approximations from a systematic sampling plan.</w:t>
      </w:r>
    </w:p>
    <w:p w:rsidR="00497622" w:rsidRPr="00497622" w:rsidRDefault="00497622" w:rsidP="00497622">
      <w:r w:rsidRPr="00497622">
        <w:t>Risks can be estimated when random samples are taken. If the sampling procedure is not random, or a close approximation, estimates can be biased. One sampling procedure could be to scoop a sample off the top of a lot using a can. If a lot has been loaded and unloaded many times, the lot may be mixed sufficiently that it is fairly uniform and scooping a sample may be adequate. However, some lots may be the combinations of other lots and the resulting lot can be stratified. Scooping a sample off the top may not be very representative of the lot.</w:t>
      </w:r>
    </w:p>
    <w:p w:rsidR="00497622" w:rsidRPr="00497622" w:rsidRDefault="00497622" w:rsidP="00497622">
      <w:r w:rsidRPr="00497622">
        <w:t>Grain sampling methods prescribed by the Department of Agriculture include methods for sampling moving grain streams and static grain lots. The diverter type (DT) sampler is the most common sampling device for sampling from a grain stream. The DT takes a classic systematic sample. The DT traverses a moving grain stream and, per specific timer settings, diverts a small slice of the grain stream to the inspector. The small slices are combined to obtain the sample for the lot.</w:t>
      </w:r>
    </w:p>
    <w:p w:rsidR="00497622" w:rsidRPr="00497622" w:rsidRDefault="00497622" w:rsidP="00497622">
      <w:r w:rsidRPr="00497622">
        <w:lastRenderedPageBreak/>
        <w:t>A manual means of taking a sample from a grain stream, similar to the diverter type sampler, is the pelican sampler. The pelican sampler is a leather bag on the end of a pole. A person will pass the pelican through a falling grain stream at the end of spout, taking a cut from the grain stream. The pelican is passed through the grain stream frequently. The pelican is emptied between passes through the grain stream.</w:t>
      </w:r>
    </w:p>
    <w:p w:rsidR="00497622" w:rsidRPr="00497622" w:rsidRDefault="00497622" w:rsidP="00497622">
      <w:r w:rsidRPr="00497622">
        <w:t>The Ellis cup is a manual sampling device for sampling from a conveyor belt. A person will frequently dip the Ellis cup into the grain stream. Like the pelican, the Ellis cup is a manual means of taking a sample.</w:t>
      </w:r>
    </w:p>
    <w:p w:rsidR="00497622" w:rsidRPr="00497622" w:rsidRDefault="00497622" w:rsidP="00497622">
      <w:r w:rsidRPr="00497622">
        <w:t>Various probing techniques are used to sample grain from static lots. Depending on the size and shape of the container, multiple probes of the lot will be combined to obtain the sample from the lot. Patterns for probing a lot are prescribed for various types of containers. The individual probes are sufficiently close to effectively sample across any stratification that may exist.</w:t>
      </w:r>
    </w:p>
    <w:p w:rsidR="00497622" w:rsidRPr="00497622" w:rsidRDefault="00497622" w:rsidP="00497622">
      <w:r w:rsidRPr="00497622">
        <w:t> </w:t>
      </w:r>
    </w:p>
    <w:p w:rsidR="00497622" w:rsidRPr="00497622" w:rsidRDefault="00497622" w:rsidP="00497622">
      <w:r w:rsidRPr="00497622">
        <w:rPr>
          <w:noProof/>
          <w:lang w:eastAsia="en-IN"/>
        </w:rPr>
        <w:drawing>
          <wp:inline distT="0" distB="0" distL="0" distR="0">
            <wp:extent cx="3752850" cy="838200"/>
            <wp:effectExtent l="0" t="0" r="0" b="0"/>
            <wp:docPr id="11" name="Picture 11" descr="Diagram: Example of a Truck Probe Pat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agram: Example of a Truck Probe Patter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52850" cy="838200"/>
                    </a:xfrm>
                    <a:prstGeom prst="rect">
                      <a:avLst/>
                    </a:prstGeom>
                    <a:noFill/>
                    <a:ln>
                      <a:noFill/>
                    </a:ln>
                  </pic:spPr>
                </pic:pic>
              </a:graphicData>
            </a:graphic>
          </wp:inline>
        </w:drawing>
      </w:r>
    </w:p>
    <w:p w:rsidR="00497622" w:rsidRPr="00497622" w:rsidRDefault="00497622" w:rsidP="00497622">
      <w:r w:rsidRPr="00497622">
        <w:rPr>
          <w:i/>
          <w:iCs/>
        </w:rPr>
        <w:t>Example of a Truck Probe Pattern</w:t>
      </w:r>
    </w:p>
    <w:p w:rsidR="00497622" w:rsidRPr="00497622" w:rsidRDefault="00497622" w:rsidP="00497622">
      <w:r w:rsidRPr="00497622">
        <w:t xml:space="preserve">To obtain the specified test sample size, a sub-sample of the original grain sample must be obtained. Dividers such as the </w:t>
      </w:r>
      <w:proofErr w:type="spellStart"/>
      <w:r w:rsidRPr="00497622">
        <w:t>Boerner</w:t>
      </w:r>
      <w:proofErr w:type="spellEnd"/>
      <w:r w:rsidRPr="00497622">
        <w:t xml:space="preserve">, cargo, and </w:t>
      </w:r>
      <w:proofErr w:type="spellStart"/>
      <w:r w:rsidRPr="00497622">
        <w:t>Gamet</w:t>
      </w:r>
      <w:proofErr w:type="spellEnd"/>
      <w:r w:rsidRPr="00497622">
        <w:t xml:space="preserve"> have demonstrated the ability to subdivide an origin sample and have the resulting samples conform to distributions expected from a random process.</w:t>
      </w:r>
    </w:p>
    <w:p w:rsidR="00497622" w:rsidRPr="00497622" w:rsidRDefault="00497622" w:rsidP="00497622">
      <w:r w:rsidRPr="00497622">
        <w:t>Detailed instructions for taking samples from grain lots and properly subdividing them for testing are given in the </w:t>
      </w:r>
      <w:r w:rsidRPr="00497622">
        <w:rPr>
          <w:u w:val="single"/>
        </w:rPr>
        <w:t>Grain Inspection Handbook - Book 1</w:t>
      </w:r>
      <w:r w:rsidRPr="00497622">
        <w:t> and </w:t>
      </w:r>
      <w:r w:rsidRPr="00497622">
        <w:rPr>
          <w:u w:val="single"/>
        </w:rPr>
        <w:t>Mechanical Sampling Systems Handbook</w:t>
      </w:r>
      <w:r w:rsidRPr="00497622">
        <w:t xml:space="preserve">. Copies can be obtained by </w:t>
      </w:r>
      <w:proofErr w:type="spellStart"/>
      <w:r w:rsidRPr="00497622">
        <w:t>contracting</w:t>
      </w:r>
      <w:proofErr w:type="spellEnd"/>
      <w:r w:rsidRPr="00497622">
        <w:t xml:space="preserve"> the Grain Inspection, Packers and Stockyards Administration of the U.S. Department of Agriculture, or by accessing the </w:t>
      </w:r>
      <w:hyperlink r:id="rId8" w:history="1">
        <w:r w:rsidRPr="00497622">
          <w:rPr>
            <w:rStyle w:val="Hyperlink"/>
          </w:rPr>
          <w:t>GIPSA publications page</w:t>
        </w:r>
      </w:hyperlink>
      <w:r w:rsidRPr="00497622">
        <w:t>.</w:t>
      </w:r>
    </w:p>
    <w:p w:rsidR="00497622" w:rsidRPr="00497622" w:rsidRDefault="00497622" w:rsidP="00497622">
      <w:pPr>
        <w:rPr>
          <w:b/>
          <w:bCs/>
        </w:rPr>
      </w:pPr>
      <w:r w:rsidRPr="00497622">
        <w:rPr>
          <w:b/>
          <w:bCs/>
        </w:rPr>
        <w:t>Eliminating Carry-Over of Biotech Grains</w:t>
      </w:r>
    </w:p>
    <w:p w:rsidR="00497622" w:rsidRPr="00497622" w:rsidRDefault="00497622" w:rsidP="00497622">
      <w:r w:rsidRPr="00497622">
        <w:t>Current testing technology for the detection of biotech grain can be very sensitive, increasing the probability that cross-sample contamination could result in a false positive detection. Furthermore, minor inadvertent commingling of biotech grain kernels with non-biotech grain could result in a positive detection at very low concentrations. Consequently, great care must be taken to ensure the integrity of the grain samples used for testing and to avoid inadvertent commingling during grain handling processes.</w:t>
      </w:r>
    </w:p>
    <w:p w:rsidR="00497622" w:rsidRPr="00497622" w:rsidRDefault="00497622" w:rsidP="00497622">
      <w:r w:rsidRPr="00497622">
        <w:t xml:space="preserve">Eliminating carry-over of biotech varieties to non-biotech varieties involves understanding and controlling the critical points in the grain handling system. If grain handlers choose to segregate biotech and non-biotech grains, the vehicles, tools, and conveying equipment used in shipment, collection, and transportation of bulk grains throughout the distribution system must either be cleaned before loading non-biotech crops, or dedicated to non-biotech crops. The complexity and cost related to such a process has </w:t>
      </w:r>
      <w:proofErr w:type="spellStart"/>
      <w:r w:rsidRPr="00497622">
        <w:t>lead</w:t>
      </w:r>
      <w:proofErr w:type="spellEnd"/>
      <w:r w:rsidRPr="00497622">
        <w:t xml:space="preserve"> some companies to implement identity preservation systems, rather than segregate non-biotech grain through the traditional marketing system.</w:t>
      </w:r>
    </w:p>
    <w:p w:rsidR="00497622" w:rsidRPr="00497622" w:rsidRDefault="00497622" w:rsidP="00497622">
      <w:r w:rsidRPr="00497622">
        <w:t xml:space="preserve">Cleanliness of sampling tools is crucial in maintaining the integrity of the system chosen to handle non-biotech crops as well. Manual devices such as pelican samplers or Ellis cups are quite easy to </w:t>
      </w:r>
      <w:r w:rsidRPr="00497622">
        <w:lastRenderedPageBreak/>
        <w:t xml:space="preserve">clean, requiring only a visual examination to check no grain or dust remains. Trier probes also require checking and cleaning when moving from sample to sample. Small amounts of grain left in the bottom of a sampling device may result in erroneous results if </w:t>
      </w:r>
      <w:proofErr w:type="spellStart"/>
      <w:r w:rsidRPr="00497622">
        <w:t>analyzed</w:t>
      </w:r>
      <w:proofErr w:type="spellEnd"/>
      <w:r w:rsidRPr="00497622">
        <w:t xml:space="preserve"> for biotech grains. Disassembling and cleaning sampling devices with water or pressurized air may </w:t>
      </w:r>
      <w:proofErr w:type="spellStart"/>
      <w:r w:rsidRPr="00497622">
        <w:t>provided</w:t>
      </w:r>
      <w:proofErr w:type="spellEnd"/>
      <w:r w:rsidRPr="00497622">
        <w:t xml:space="preserve"> added protection against cross-over, but there is insufficient evidence at this time to determine if such measures are necessary. For example, if 10 kernels of biotech corn (about 3 grams) were left in a sampling probe and the probe was used to sample a non-biotech grain lot, those 10 kernels may carry over into the non-biotech sample. If the total sample volume from the probe was 2000g, the resulting percent biotech material in that </w:t>
      </w:r>
      <w:proofErr w:type="spellStart"/>
      <w:r w:rsidRPr="00497622">
        <w:t>sublot</w:t>
      </w:r>
      <w:proofErr w:type="spellEnd"/>
      <w:r w:rsidRPr="00497622">
        <w:t xml:space="preserve"> sample would be 0.15%. This would not be representative of the load being sampled. Similar precautions should be practiced with other types of samplers; any location at which grain or dust may accumulate should be checked and cleaned. A quick visual inspection to ensure no materials have been left behind or caught in the system will avoid carry-over.</w:t>
      </w:r>
    </w:p>
    <w:p w:rsidR="00497622" w:rsidRPr="00497622" w:rsidRDefault="00497622" w:rsidP="00497622">
      <w:pPr>
        <w:rPr>
          <w:b/>
          <w:bCs/>
        </w:rPr>
      </w:pPr>
      <w:r w:rsidRPr="00497622">
        <w:rPr>
          <w:b/>
          <w:bCs/>
        </w:rPr>
        <w:t>The Impact of Sample Size on Risk Management</w:t>
      </w:r>
    </w:p>
    <w:p w:rsidR="00497622" w:rsidRPr="00497622" w:rsidRDefault="00497622" w:rsidP="00497622">
      <w:r w:rsidRPr="00497622">
        <w:t>In the section on sampling theory, the range of likely sample estimates was shown to decrease as the sample size increased. Several assumptions underlie the sample size effects discussed so far. One assumption is that every kernel in a sample can be determined as biotech or non-biotech without error. The variability shown in the sample estimates assumes only sampling variability. No allowance for error from sample preparation or from analytical method has been incorporated into the estimate ranges.</w:t>
      </w:r>
    </w:p>
    <w:p w:rsidR="00497622" w:rsidRPr="00497622" w:rsidRDefault="00497622" w:rsidP="00497622">
      <w:r w:rsidRPr="00497622">
        <w:t>Measurements associated with grain lots are usually given as percent by weight. The estimates given in the previous discussions expressed the estimates as the percent of the total number of kernels. The percent by kernel count and percent by weight would only be the same if the kernels were all the same size, but kernels are not uniform. Percent by kernel count is, however, usually a reasonable approximation to percent by weight. Kernel counts can be converted to approximate weights by using average kernel weights observed from typical market samples.</w:t>
      </w:r>
    </w:p>
    <w:p w:rsidR="00497622" w:rsidRPr="00497622" w:rsidRDefault="00497622" w:rsidP="00497622">
      <w:r w:rsidRPr="00497622">
        <w:t>The type of measurement is also a consideration in determining the sample size. The analytical methods available for detecting biotech grains may be used to make qualitative or quantitative tests on a sample. A qualitative test can be used to screen lots by providing information on the presence or absence of biotech varieties. Quantitative tests may quantify the total amount of biotech grain, the amount of individual varieties in a sample, or the percentage of biotech or "non-native" DNA or protein present relative to non-biotech grain.</w:t>
      </w:r>
    </w:p>
    <w:p w:rsidR="00497622" w:rsidRPr="00497622" w:rsidRDefault="00497622" w:rsidP="00497622">
      <w:r w:rsidRPr="00497622">
        <w:t>When sampling is used in the measurement of some characteristics of a lot, the content of the sample will likely deviate from the lot content. The buyer accepts some risk because the sample may overestimate the quality of the lot. The buyer may assume that the quality of the lot is better than it actually is. Likewise, the seller accepts some risk that the sample may underestimate the quality of the lot. In this case, the seller is delivering better quality than the sample reflects.</w:t>
      </w:r>
    </w:p>
    <w:p w:rsidR="00497622" w:rsidRPr="00497622" w:rsidRDefault="00497622" w:rsidP="00497622">
      <w:r w:rsidRPr="00497622">
        <w:t xml:space="preserve">Ideally, buyers and sellers would agree to use a sampling plan that provides acceptable risk management. A contract may specify a certain quality level. However, due to sampling variation, a seller may have to provide better quality to have grain lots accepted most of the time. Sellers should choose a quality level that they want to have accepted most of the time, say 90% or 95%. This level is sometimes called the acceptable quality level (AQL). Likewise, due to sampling variation, the buyer may sometimes have to accept lower quality than the contract specifies. Buyers should choose a </w:t>
      </w:r>
      <w:r w:rsidRPr="00497622">
        <w:lastRenderedPageBreak/>
        <w:t>lower quality level (LQL) that they want to accept infrequently. This LQL may be acceptable 5% or 10% of the time. The ideal sample plan would meet both the AQL and the LQL.</w:t>
      </w:r>
    </w:p>
    <w:p w:rsidR="00497622" w:rsidRPr="00497622" w:rsidRDefault="00497622" w:rsidP="00497622">
      <w:r w:rsidRPr="00497622">
        <w:rPr>
          <w:noProof/>
          <w:lang w:eastAsia="en-IN"/>
        </w:rPr>
        <w:drawing>
          <wp:inline distT="0" distB="0" distL="0" distR="0">
            <wp:extent cx="3552825" cy="2667000"/>
            <wp:effectExtent l="0" t="0" r="9525" b="0"/>
            <wp:docPr id="10" name="Picture 10" descr="Graph: Probability of Accpeting Lots Based on Percent Concen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raph: Probability of Accpeting Lots Based on Percent Concentrati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52825" cy="2667000"/>
                    </a:xfrm>
                    <a:prstGeom prst="rect">
                      <a:avLst/>
                    </a:prstGeom>
                    <a:noFill/>
                    <a:ln>
                      <a:noFill/>
                    </a:ln>
                  </pic:spPr>
                </pic:pic>
              </a:graphicData>
            </a:graphic>
          </wp:inline>
        </w:drawing>
      </w:r>
    </w:p>
    <w:p w:rsidR="00497622" w:rsidRPr="00497622" w:rsidRDefault="00497622" w:rsidP="00497622">
      <w:r w:rsidRPr="00497622">
        <w:t>A single sample with a qualitative test gives little flexibility for choosing an AQL.</w:t>
      </w:r>
    </w:p>
    <w:p w:rsidR="00497622" w:rsidRPr="00497622" w:rsidRDefault="00497622" w:rsidP="00497622">
      <w:r w:rsidRPr="00497622">
        <w:t>Quantitative tests, when available, and multiple sample plans provide more flexibility to choose both an AQL and LQL.</w:t>
      </w:r>
    </w:p>
    <w:p w:rsidR="00497622" w:rsidRPr="00497622" w:rsidRDefault="00497622" w:rsidP="00497622">
      <w:pPr>
        <w:rPr>
          <w:b/>
          <w:bCs/>
        </w:rPr>
      </w:pPr>
      <w:r w:rsidRPr="00497622">
        <w:rPr>
          <w:b/>
          <w:bCs/>
        </w:rPr>
        <w:t>Sample Size – Qualitative</w:t>
      </w:r>
    </w:p>
    <w:p w:rsidR="00497622" w:rsidRPr="00497622" w:rsidRDefault="00497622" w:rsidP="00497622">
      <w:r w:rsidRPr="00497622">
        <w:t>In reality, all analytical methods have limits of detection. For purposes of this section, the assumption is a qualitative test will detect the presence of a single kernel in a sample, regardless of the size of the sample. A positive result does not tell how many biotech kernels are in the sample, only that at least one biotech kernel is present in the sample. To choose a sample size, the acceptable and unacceptable concentrations must be decided upon. Since samples are subject to sampling error, acceptable lots may be rejected, and unacceptable lots may be accepted just by chance. Buyers and sellers must agree upon acceptable risk.</w:t>
      </w:r>
    </w:p>
    <w:p w:rsidR="00497622" w:rsidRPr="00497622" w:rsidRDefault="00497622" w:rsidP="00497622">
      <w:r w:rsidRPr="00497622">
        <w:t>The following chart shows probabilities associated with different sample sizes (based on kernel count). The horizontal axis gives possible concentrations in lots. The vertical axis gives the probability of observing no biotech kernels in a sample randomly selected from a lot. Curves are given for various size samples.</w:t>
      </w:r>
    </w:p>
    <w:p w:rsidR="00497622" w:rsidRPr="00497622" w:rsidRDefault="00497622" w:rsidP="00497622">
      <w:r w:rsidRPr="00497622">
        <w:rPr>
          <w:noProof/>
          <w:lang w:eastAsia="en-IN"/>
        </w:rPr>
        <w:lastRenderedPageBreak/>
        <w:drawing>
          <wp:inline distT="0" distB="0" distL="0" distR="0">
            <wp:extent cx="3552825" cy="2667000"/>
            <wp:effectExtent l="0" t="0" r="9525" b="0"/>
            <wp:docPr id="9" name="Picture 9" descr="Chart: Probability of Accepting Lots Based on Sample Size and Concen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hart: Probability of Accepting Lots Based on Sample Size and Concentratio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52825" cy="2667000"/>
                    </a:xfrm>
                    <a:prstGeom prst="rect">
                      <a:avLst/>
                    </a:prstGeom>
                    <a:noFill/>
                    <a:ln>
                      <a:noFill/>
                    </a:ln>
                  </pic:spPr>
                </pic:pic>
              </a:graphicData>
            </a:graphic>
          </wp:inline>
        </w:drawing>
      </w:r>
    </w:p>
    <w:p w:rsidR="00497622" w:rsidRPr="00497622" w:rsidRDefault="00497622" w:rsidP="00497622">
      <w:r w:rsidRPr="00497622">
        <w:t>The above chart shows probabilities for sample sizes of 60, 120, 200, and 400 kernels. If the desired concentration on the lot is not to exceed 5.0 %, a sample size of as little as 60 kernels may be satisfactory. Based on a 60 kernel sample, there is a 95 % chance of rejecting a lot at a</w:t>
      </w:r>
    </w:p>
    <w:p w:rsidR="00497622" w:rsidRPr="00497622" w:rsidRDefault="00497622" w:rsidP="00497622">
      <w:r w:rsidRPr="00497622">
        <w:t>5 % concentration. If 1.0 % is the desired maximum concentration in the lot, a sample size of 400 kernels would be more appropriate.</w:t>
      </w:r>
    </w:p>
    <w:p w:rsidR="00497622" w:rsidRPr="00497622" w:rsidRDefault="00497622" w:rsidP="00497622">
      <w:r w:rsidRPr="00497622">
        <w:t>The following chart shows probabilities associated with sample sizes of 800, 1200, 2000, 3000, and 5000 kernels. Larger sample sizes are used only when low concentrations of biotech kernels are acceptable. For example, if 0.1 % concentration is the desired maximum, a sample between 3000 and 5000 kernels would be recommended.</w:t>
      </w:r>
    </w:p>
    <w:p w:rsidR="00497622" w:rsidRPr="00497622" w:rsidRDefault="00497622" w:rsidP="00497622">
      <w:r w:rsidRPr="00497622">
        <w:rPr>
          <w:noProof/>
          <w:lang w:eastAsia="en-IN"/>
        </w:rPr>
        <w:drawing>
          <wp:inline distT="0" distB="0" distL="0" distR="0">
            <wp:extent cx="3552825" cy="2667000"/>
            <wp:effectExtent l="0" t="0" r="9525" b="0"/>
            <wp:docPr id="8" name="Picture 8" descr="Chart: Probability of Accepting Lots Based on Large Sample Sizes and Concen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hart: Probability of Accepting Lots Based on Large Sample Sizes and Concentrati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52825" cy="2667000"/>
                    </a:xfrm>
                    <a:prstGeom prst="rect">
                      <a:avLst/>
                    </a:prstGeom>
                    <a:noFill/>
                    <a:ln>
                      <a:noFill/>
                    </a:ln>
                  </pic:spPr>
                </pic:pic>
              </a:graphicData>
            </a:graphic>
          </wp:inline>
        </w:drawing>
      </w:r>
    </w:p>
    <w:p w:rsidR="00497622" w:rsidRPr="00497622" w:rsidRDefault="00497622" w:rsidP="00497622">
      <w:r w:rsidRPr="00497622">
        <w:t>Thus, testing for lower concentrations of biotech grains requires larger sample sizes.</w:t>
      </w:r>
    </w:p>
    <w:p w:rsidR="00497622" w:rsidRPr="00497622" w:rsidRDefault="00497622" w:rsidP="00497622">
      <w:pPr>
        <w:rPr>
          <w:b/>
          <w:bCs/>
        </w:rPr>
      </w:pPr>
      <w:r w:rsidRPr="00497622">
        <w:rPr>
          <w:b/>
          <w:bCs/>
        </w:rPr>
        <w:t>Sample Size – Quantitative</w:t>
      </w:r>
    </w:p>
    <w:p w:rsidR="00497622" w:rsidRPr="00497622" w:rsidRDefault="00497622" w:rsidP="00497622">
      <w:r w:rsidRPr="00497622">
        <w:t xml:space="preserve">Quantification of the percent biotech grain in a lot is much more problematic than with qualitative testing. As mentioned in the introduction, sampling variability is only one source of error in measurements. Sample preparation and analytical method can be two significant sources of error in the detection of biotech grains. The currently available technologies employed for detection, the </w:t>
      </w:r>
      <w:r w:rsidRPr="00497622">
        <w:lastRenderedPageBreak/>
        <w:t>Polymerase Chain Reaction (PCR) and Enzyme-Linked Immunosorbent Assays (ELISA) have inherent difficulties in producing consistent and accurate quantitative results. PCR measures the genetic material, or DNA, associated with the inserted DNA. ELISA tests, on the other hand, measure the protein expressed by the foreign DNA. Both methods present significant challenges in converting the amount of DNA or the amount of expressed protein into the percent of biotech grain by weight. The overall variability of quantitative results, therefore, will be affected by analytical methods as well as sample size. Sample size typically will have little influence on the sample preparation or analytical method. Sample preparation and analytical method are significant sources of error, and increasing the sample size will not reduce the overall variability in measurements as much as expected.</w:t>
      </w:r>
    </w:p>
    <w:p w:rsidR="00497622" w:rsidRPr="00497622" w:rsidRDefault="00497622" w:rsidP="00497622">
      <w:r w:rsidRPr="00497622">
        <w:t>The effect of sample size alone on sampling variability can be examined. The sample is used to estimate the percent concentration in the lot. Using percent by kernel count as an approximation of percent by weight, probability curves can be computed to examine the probability of accepting lots for which a maximum concentration has been specified. The following chart shows the probabilities associated with a 0.1 % maximum allowed level of biotech kernels in the sample.</w:t>
      </w:r>
    </w:p>
    <w:p w:rsidR="00497622" w:rsidRPr="00497622" w:rsidRDefault="00497622" w:rsidP="00497622">
      <w:r w:rsidRPr="00497622">
        <w:rPr>
          <w:noProof/>
          <w:lang w:eastAsia="en-IN"/>
        </w:rPr>
        <w:drawing>
          <wp:inline distT="0" distB="0" distL="0" distR="0">
            <wp:extent cx="3552825" cy="2667000"/>
            <wp:effectExtent l="0" t="0" r="9525" b="0"/>
            <wp:docPr id="7" name="Picture 7" descr="Chart: Probability of Acceptance, 0.1 percent maximum allowed in sam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art: Probability of Acceptance, 0.1 percent maximum allowed in sampl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52825" cy="2667000"/>
                    </a:xfrm>
                    <a:prstGeom prst="rect">
                      <a:avLst/>
                    </a:prstGeom>
                    <a:noFill/>
                    <a:ln>
                      <a:noFill/>
                    </a:ln>
                  </pic:spPr>
                </pic:pic>
              </a:graphicData>
            </a:graphic>
          </wp:inline>
        </w:drawing>
      </w:r>
    </w:p>
    <w:p w:rsidR="00497622" w:rsidRPr="00497622" w:rsidRDefault="00497622" w:rsidP="00497622">
      <w:r w:rsidRPr="00497622">
        <w:t> </w:t>
      </w:r>
    </w:p>
    <w:p w:rsidR="00497622" w:rsidRPr="00497622" w:rsidRDefault="00497622" w:rsidP="00497622">
      <w:r w:rsidRPr="00497622">
        <w:t>For this example, a lot with less than 0.1 % concentration of biotech kernels is defined as acceptable. The curves on the plot give the probabilities of accepting different lot concentrations with five different sample sizes. For concentrations above 0.1 % the curves give the probability of accepting an unacceptable lot. This probability may be called "buyers risk" because this is the chance that the buyer will get an unacceptable lot. For lots with less than 0.1 % concentrations, the area above the probability curve represents the chance of rejecting an acceptable lot. This may be called the "sellers risk" because this is the chance that the seller will have an acceptable lot rejected.</w:t>
      </w:r>
    </w:p>
    <w:p w:rsidR="00497622" w:rsidRPr="00497622" w:rsidRDefault="00497622" w:rsidP="00497622">
      <w:r w:rsidRPr="00497622">
        <w:t xml:space="preserve">The ideal sampling plan will minimize both the buyers and sellers risk. Unfortunately, no one sampling plan will produce both objectives. Increasing the sample size can reduce both buyer risk and seller risk. Theoretically, the only limiting factor on the sample size is the lot size. Sample size is often determined by a compromise between the seller and buyer risks and the cost of taking and processing a sample. The 5000 kernel sampling plan in the chart above allows the buyer to conclude that a 0.2 % lot has less than a 10 % probability of being accepted and the seller to conclude that a 0.05 % lot has less than a 10 % probability of being rejected. If the seller is satisfied with an AQL of </w:t>
      </w:r>
      <w:r w:rsidRPr="00497622">
        <w:lastRenderedPageBreak/>
        <w:t>0.05 %, and the buyer is satisfied with a LQL of 0.2 %, a 5000 kernel sample with a maximum of 0.1 % biotech kernels may be an acceptable plan to both parties.</w:t>
      </w:r>
    </w:p>
    <w:p w:rsidR="00497622" w:rsidRPr="00497622" w:rsidRDefault="00497622" w:rsidP="00497622">
      <w:r w:rsidRPr="00497622">
        <w:t>The following chart gives sampling plans that allow a maximum of 1.0 % biotech kernels in the sample.</w:t>
      </w:r>
    </w:p>
    <w:p w:rsidR="00497622" w:rsidRPr="00497622" w:rsidRDefault="00497622" w:rsidP="00497622">
      <w:r w:rsidRPr="00497622">
        <w:rPr>
          <w:noProof/>
          <w:lang w:eastAsia="en-IN"/>
        </w:rPr>
        <w:drawing>
          <wp:inline distT="0" distB="0" distL="0" distR="0">
            <wp:extent cx="3552825" cy="2667000"/>
            <wp:effectExtent l="0" t="0" r="9525" b="0"/>
            <wp:docPr id="6" name="Picture 6" descr="Chart: Probability of Acceptance, 1.0 percent maximum allowed in sam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hart: Probability of Acceptance, 1.0 percent maximum allowed in sampl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52825" cy="2667000"/>
                    </a:xfrm>
                    <a:prstGeom prst="rect">
                      <a:avLst/>
                    </a:prstGeom>
                    <a:noFill/>
                    <a:ln>
                      <a:noFill/>
                    </a:ln>
                  </pic:spPr>
                </pic:pic>
              </a:graphicData>
            </a:graphic>
          </wp:inline>
        </w:drawing>
      </w:r>
    </w:p>
    <w:p w:rsidR="00497622" w:rsidRPr="00497622" w:rsidRDefault="00497622" w:rsidP="00497622">
      <w:r w:rsidRPr="00497622">
        <w:t>Again, increasing the sample size will reduce both the buyer and seller risks. The following chart shows sampling plans that allow a maximum of 5.0 % biotech kernels in the sample.</w:t>
      </w:r>
    </w:p>
    <w:p w:rsidR="00497622" w:rsidRPr="00497622" w:rsidRDefault="00497622" w:rsidP="00497622">
      <w:r w:rsidRPr="00497622">
        <w:rPr>
          <w:noProof/>
          <w:lang w:eastAsia="en-IN"/>
        </w:rPr>
        <w:drawing>
          <wp:inline distT="0" distB="0" distL="0" distR="0">
            <wp:extent cx="3552825" cy="2667000"/>
            <wp:effectExtent l="0" t="0" r="9525" b="0"/>
            <wp:docPr id="5" name="Picture 5" descr="Chart: Probability of Acceptance, 5.0 percent maximum allowed in sam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hart: Probability of Acceptance, 5.0 percent maximum allowed in sampl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52825" cy="2667000"/>
                    </a:xfrm>
                    <a:prstGeom prst="rect">
                      <a:avLst/>
                    </a:prstGeom>
                    <a:noFill/>
                    <a:ln>
                      <a:noFill/>
                    </a:ln>
                  </pic:spPr>
                </pic:pic>
              </a:graphicData>
            </a:graphic>
          </wp:inline>
        </w:drawing>
      </w:r>
    </w:p>
    <w:p w:rsidR="00497622" w:rsidRPr="00497622" w:rsidRDefault="00497622" w:rsidP="00497622">
      <w:r w:rsidRPr="00497622">
        <w:t>Estimates for higher percent mixtures will be less precise for the same size sample. However, the buyers and sellers may be willing to accept less precise estimates for these higher mixtures.</w:t>
      </w:r>
    </w:p>
    <w:p w:rsidR="00497622" w:rsidRPr="00497622" w:rsidRDefault="00497622" w:rsidP="00497622">
      <w:pPr>
        <w:rPr>
          <w:b/>
          <w:bCs/>
        </w:rPr>
      </w:pPr>
      <w:r w:rsidRPr="00497622">
        <w:rPr>
          <w:b/>
          <w:bCs/>
        </w:rPr>
        <w:t>Multiple Sample Plans – Qualitative Testing</w:t>
      </w:r>
    </w:p>
    <w:p w:rsidR="00497622" w:rsidRPr="00497622" w:rsidRDefault="00497622" w:rsidP="00497622">
      <w:r w:rsidRPr="00497622">
        <w:t>Previous sections discussed the effects of sample size with qualitative and quantitative testing. One way to express the effect of sample size with qualitative testing is that, for any given concentration, the probability of a negative result decreases as the sample size increases. The only time this is not true is when the lot concentration of biotech grain is zero. If the buyer of a lot has a zero tolerance for biotech grain, taking the largest sample possible will best serve the needs of the buyer. The buyer can be reasonably certain that a lot with a high concentration of biotech grain will be rejected.</w:t>
      </w:r>
    </w:p>
    <w:p w:rsidR="00497622" w:rsidRPr="00497622" w:rsidRDefault="00497622" w:rsidP="00497622">
      <w:r w:rsidRPr="00497622">
        <w:lastRenderedPageBreak/>
        <w:t>A single large sample serves the buyers interests well. However, some buyers may be willing to accept some low concentrations but unwilling to accept high concentrations. Sellers of lots with low concentrations would like to have high probabilities of testing negative. Decreasing the sample size will increase the chances of a negative result on low concentrations. Unfortunately, decreasing the sample size increases the chance of a negative result with higher concentrations. When a low concentration is acceptable to the buyer, a single qualitative test may not serve the interests of both the buyer and the seller. An alternative is to implement a multiple sample plan.</w:t>
      </w:r>
    </w:p>
    <w:p w:rsidR="00497622" w:rsidRPr="00497622" w:rsidRDefault="00497622" w:rsidP="00497622">
      <w:r w:rsidRPr="00497622">
        <w:t>Multiple sample plans specify that a certain number of independent samples will be selected from the lot and each sample is tested. The buyer will accept the lot if certain combinations of positive and negative test results are obtained. For example, the sample plan may specify that five samples of 100 kernels will be selected from a lot. If no more than three positives are obtained on the five tests, then the lot is acceptable.</w:t>
      </w:r>
    </w:p>
    <w:p w:rsidR="00497622" w:rsidRPr="00497622" w:rsidRDefault="00497622" w:rsidP="00497622">
      <w:r w:rsidRPr="00497622">
        <w:t> </w:t>
      </w:r>
    </w:p>
    <w:p w:rsidR="00497622" w:rsidRPr="00497622" w:rsidRDefault="00497622" w:rsidP="00497622">
      <w:r w:rsidRPr="00497622">
        <w:t>The components of a multiple sample plan are the number of samples, the size of each sample, and the maximum number of samples testing positive. Changing any one or more of these parameters affects the probability of acceptance. Buyers and sellers can choose a plan based on the risks they are willing to assume, and on the cost of conducting the tests.</w:t>
      </w:r>
    </w:p>
    <w:p w:rsidR="00497622" w:rsidRPr="00497622" w:rsidRDefault="00497622" w:rsidP="00497622">
      <w:r w:rsidRPr="00497622">
        <w:t>With the example of five samples of 100 kernels, the maximum number of positives specified in the plan could be one, two, three, or four. The following chart gives the probabilities of accepting lots with these four plans. Increasing the maximum number of acceptable positives will result in higher concentrations being accepted.</w:t>
      </w:r>
    </w:p>
    <w:p w:rsidR="00497622" w:rsidRPr="00497622" w:rsidRDefault="00497622" w:rsidP="00497622">
      <w:r w:rsidRPr="00497622">
        <w:t> </w:t>
      </w:r>
    </w:p>
    <w:p w:rsidR="00497622" w:rsidRPr="00497622" w:rsidRDefault="00497622" w:rsidP="00497622">
      <w:r w:rsidRPr="00497622">
        <w:rPr>
          <w:noProof/>
          <w:lang w:eastAsia="en-IN"/>
        </w:rPr>
        <w:drawing>
          <wp:inline distT="0" distB="0" distL="0" distR="0">
            <wp:extent cx="3552825" cy="2667000"/>
            <wp:effectExtent l="0" t="0" r="9525" b="0"/>
            <wp:docPr id="4" name="Picture 4" descr="Chart: Multiple Sample Qualitative Testing, Probability of Accepting Lo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hart: Multiple Sample Qualitative Testing, Probability of Accepting Lots"/>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52825" cy="2667000"/>
                    </a:xfrm>
                    <a:prstGeom prst="rect">
                      <a:avLst/>
                    </a:prstGeom>
                    <a:noFill/>
                    <a:ln>
                      <a:noFill/>
                    </a:ln>
                  </pic:spPr>
                </pic:pic>
              </a:graphicData>
            </a:graphic>
          </wp:inline>
        </w:drawing>
      </w:r>
    </w:p>
    <w:p w:rsidR="00497622" w:rsidRPr="00497622" w:rsidRDefault="00497622" w:rsidP="00497622">
      <w:r w:rsidRPr="00497622">
        <w:t> </w:t>
      </w:r>
    </w:p>
    <w:p w:rsidR="00497622" w:rsidRPr="00497622" w:rsidRDefault="00497622" w:rsidP="00497622">
      <w:r w:rsidRPr="00497622">
        <w:t>By manipulating all three parameters, the shape of the probability curves can be changed considerably. The following graph compares a six-sample plan with a 60-sample plan. Both plans have low probabilities of accepting a 1.0 % concentration. The probability of accepting a 0.5 % concentration sample, however, is considerably higher for the 60-sample plan than for the six-sample plan.</w:t>
      </w:r>
    </w:p>
    <w:p w:rsidR="00497622" w:rsidRPr="00497622" w:rsidRDefault="00497622" w:rsidP="00497622">
      <w:r w:rsidRPr="00497622">
        <w:rPr>
          <w:noProof/>
          <w:lang w:eastAsia="en-IN"/>
        </w:rPr>
        <w:lastRenderedPageBreak/>
        <w:drawing>
          <wp:inline distT="0" distB="0" distL="0" distR="0">
            <wp:extent cx="3552825" cy="2667000"/>
            <wp:effectExtent l="0" t="0" r="9525" b="0"/>
            <wp:docPr id="3" name="Picture 3" descr="Chart: Multiple Sample Qualitative Testing, Probability of Accepting Lo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hart: Multiple Sample Qualitative Testing, Probability of Accepting Lots"/>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552825" cy="2667000"/>
                    </a:xfrm>
                    <a:prstGeom prst="rect">
                      <a:avLst/>
                    </a:prstGeom>
                    <a:noFill/>
                    <a:ln>
                      <a:noFill/>
                    </a:ln>
                  </pic:spPr>
                </pic:pic>
              </a:graphicData>
            </a:graphic>
          </wp:inline>
        </w:drawing>
      </w:r>
    </w:p>
    <w:p w:rsidR="00497622" w:rsidRPr="00497622" w:rsidRDefault="00497622" w:rsidP="00497622">
      <w:r w:rsidRPr="00497622">
        <w:rPr>
          <w:i/>
          <w:iCs/>
        </w:rPr>
        <w:t>(The above multiple sample example is</w:t>
      </w:r>
      <w:proofErr w:type="gramStart"/>
      <w:r w:rsidRPr="00497622">
        <w:rPr>
          <w:i/>
          <w:iCs/>
        </w:rPr>
        <w:t>  from</w:t>
      </w:r>
      <w:proofErr w:type="gramEnd"/>
      <w:r w:rsidRPr="00497622">
        <w:rPr>
          <w:i/>
          <w:iCs/>
        </w:rPr>
        <w:t xml:space="preserve"> "Statistical Considerations in Seed Purity Testing for </w:t>
      </w:r>
      <w:proofErr w:type="spellStart"/>
      <w:r w:rsidRPr="00497622">
        <w:rPr>
          <w:i/>
          <w:iCs/>
        </w:rPr>
        <w:t>BioTech</w:t>
      </w:r>
      <w:proofErr w:type="spellEnd"/>
      <w:r w:rsidRPr="00497622">
        <w:rPr>
          <w:i/>
          <w:iCs/>
        </w:rPr>
        <w:t xml:space="preserve"> Traits" by Kirk M. </w:t>
      </w:r>
      <w:proofErr w:type="spellStart"/>
      <w:r w:rsidRPr="00497622">
        <w:rPr>
          <w:i/>
          <w:iCs/>
        </w:rPr>
        <w:t>Remund</w:t>
      </w:r>
      <w:proofErr w:type="spellEnd"/>
      <w:r w:rsidRPr="00497622">
        <w:rPr>
          <w:i/>
          <w:iCs/>
        </w:rPr>
        <w:t>, Doris A. Dixon, Deanne L. Wright, Larry R. Holden, which is currently in review for publication in Seed Science Research.)</w:t>
      </w:r>
    </w:p>
    <w:p w:rsidR="00497622" w:rsidRPr="00497622" w:rsidRDefault="00497622" w:rsidP="00497622">
      <w:r w:rsidRPr="00497622">
        <w:t>Multiple sampling plans can be used to balance the risks between buyers and sellers when low concentrations are acceptable to buyers.</w:t>
      </w:r>
    </w:p>
    <w:p w:rsidR="00497622" w:rsidRPr="00497622" w:rsidRDefault="00497622" w:rsidP="00497622">
      <w:pPr>
        <w:rPr>
          <w:b/>
          <w:bCs/>
        </w:rPr>
      </w:pPr>
      <w:r w:rsidRPr="00497622">
        <w:rPr>
          <w:b/>
          <w:bCs/>
        </w:rPr>
        <w:t xml:space="preserve">Sample Preparation: Obtaining </w:t>
      </w:r>
      <w:proofErr w:type="gramStart"/>
      <w:r w:rsidRPr="00497622">
        <w:rPr>
          <w:b/>
          <w:bCs/>
        </w:rPr>
        <w:t>A</w:t>
      </w:r>
      <w:proofErr w:type="gramEnd"/>
      <w:r w:rsidRPr="00497622">
        <w:rPr>
          <w:b/>
          <w:bCs/>
        </w:rPr>
        <w:t xml:space="preserve"> Portion for Analysis</w:t>
      </w:r>
    </w:p>
    <w:p w:rsidR="00497622" w:rsidRPr="00497622" w:rsidRDefault="00497622" w:rsidP="00497622">
      <w:r w:rsidRPr="00497622">
        <w:t>Samples are typically collections of kernels from a lot. The discussions on sample size have been presented thus far as if each kernel in the sample was measured independently. The major analytical technologies for detecting biotech grains, PCR and ELISA, usually do not process individual kernels but rather make a measurement on a preparation from the sample.</w:t>
      </w:r>
    </w:p>
    <w:p w:rsidR="00497622" w:rsidRPr="00497622" w:rsidRDefault="00497622" w:rsidP="00497622">
      <w:r w:rsidRPr="00497622">
        <w:t xml:space="preserve">As mentioned in the introduction, sampling variability is only one source of error in measurements. Sample preparation and analytical methods are two other significant sources of error. Reducing a sample to a portion for analysis is often necessary to meet method limitations. For accurate analysis, the sample portion </w:t>
      </w:r>
      <w:proofErr w:type="spellStart"/>
      <w:r w:rsidRPr="00497622">
        <w:t>analyzed</w:t>
      </w:r>
      <w:proofErr w:type="spellEnd"/>
      <w:r w:rsidRPr="00497622">
        <w:t xml:space="preserve"> must be representative of the lot submitted. Preparation of a sample for analysis must include grinding and mixing of the grain prior to subdivision. Grinding will produce more uniform subsamples for analysis. For example, a representative three pound (1360 grams) composite sample would contain 8500 soybeans. If this composite has 1% biotech </w:t>
      </w:r>
      <w:proofErr w:type="gramStart"/>
      <w:r w:rsidRPr="00497622">
        <w:t>content, that</w:t>
      </w:r>
      <w:proofErr w:type="gramEnd"/>
      <w:r w:rsidRPr="00497622">
        <w:t xml:space="preserve"> would mean about 85 biotech soybeans would be present. If a standard divider is used to reduce the unground sample to an analytical portion of 60-70 beans, not all of the resulting 128 possible sample divisions would have a biotech soybean. If a hypothetical distribution of one soybean per subsample were assumed, then only 85 of the 128 possible "cuts" would test positive for the presence of biotech grain. Forty-three subsamples would test negative. Realistically, however, such a distribution is not likely. The following table and figure demonstrate the theoretical distribution of biotech kernels in the 128 sample divisions.</w:t>
      </w:r>
    </w:p>
    <w:tbl>
      <w:tblPr>
        <w:tblW w:w="4750" w:type="pct"/>
        <w:jc w:val="center"/>
        <w:tblCellSpacing w:w="0" w:type="dxa"/>
        <w:tblCellMar>
          <w:left w:w="0" w:type="dxa"/>
          <w:right w:w="0" w:type="dxa"/>
        </w:tblCellMar>
        <w:tblLook w:val="04A0" w:firstRow="1" w:lastRow="0" w:firstColumn="1" w:lastColumn="0" w:noHBand="0" w:noVBand="1"/>
      </w:tblPr>
      <w:tblGrid>
        <w:gridCol w:w="1716"/>
        <w:gridCol w:w="1716"/>
        <w:gridCol w:w="1716"/>
        <w:gridCol w:w="1716"/>
        <w:gridCol w:w="1716"/>
      </w:tblGrid>
      <w:tr w:rsidR="00497622" w:rsidRPr="00497622" w:rsidTr="00497622">
        <w:trPr>
          <w:tblCellSpacing w:w="0" w:type="dxa"/>
          <w:jc w:val="center"/>
        </w:trPr>
        <w:tc>
          <w:tcPr>
            <w:tcW w:w="1000" w:type="pct"/>
            <w:vAlign w:val="center"/>
            <w:hideMark/>
          </w:tcPr>
          <w:p w:rsidR="00497622" w:rsidRPr="00497622" w:rsidRDefault="00497622" w:rsidP="00497622"/>
        </w:tc>
        <w:tc>
          <w:tcPr>
            <w:tcW w:w="1000" w:type="pct"/>
            <w:vAlign w:val="center"/>
            <w:hideMark/>
          </w:tcPr>
          <w:p w:rsidR="00497622" w:rsidRPr="00497622" w:rsidRDefault="00497622" w:rsidP="00497622"/>
        </w:tc>
        <w:tc>
          <w:tcPr>
            <w:tcW w:w="1000" w:type="pct"/>
            <w:vAlign w:val="center"/>
            <w:hideMark/>
          </w:tcPr>
          <w:p w:rsidR="00497622" w:rsidRPr="00497622" w:rsidRDefault="00497622" w:rsidP="00497622">
            <w:r w:rsidRPr="00497622">
              <w:rPr>
                <w:b/>
                <w:bCs/>
              </w:rPr>
              <w:t>Distribution of Kernels</w:t>
            </w:r>
          </w:p>
        </w:tc>
        <w:tc>
          <w:tcPr>
            <w:tcW w:w="1000" w:type="pct"/>
            <w:vAlign w:val="center"/>
            <w:hideMark/>
          </w:tcPr>
          <w:p w:rsidR="00497622" w:rsidRPr="00497622" w:rsidRDefault="00497622" w:rsidP="00497622"/>
        </w:tc>
        <w:tc>
          <w:tcPr>
            <w:tcW w:w="1000" w:type="pct"/>
            <w:vAlign w:val="center"/>
            <w:hideMark/>
          </w:tcPr>
          <w:p w:rsidR="00497622" w:rsidRPr="00497622" w:rsidRDefault="00497622" w:rsidP="00497622"/>
        </w:tc>
      </w:tr>
      <w:tr w:rsidR="00497622" w:rsidRPr="00497622" w:rsidTr="00497622">
        <w:trPr>
          <w:tblCellSpacing w:w="0" w:type="dxa"/>
          <w:jc w:val="center"/>
        </w:trPr>
        <w:tc>
          <w:tcPr>
            <w:tcW w:w="1000" w:type="pct"/>
            <w:vAlign w:val="center"/>
            <w:hideMark/>
          </w:tcPr>
          <w:p w:rsidR="00497622" w:rsidRPr="00497622" w:rsidRDefault="00497622" w:rsidP="00497622"/>
        </w:tc>
        <w:tc>
          <w:tcPr>
            <w:tcW w:w="1000" w:type="pct"/>
            <w:vAlign w:val="center"/>
            <w:hideMark/>
          </w:tcPr>
          <w:p w:rsidR="00497622" w:rsidRPr="00497622" w:rsidRDefault="00497622" w:rsidP="00497622">
            <w:r w:rsidRPr="00497622">
              <w:rPr>
                <w:b/>
                <w:bCs/>
                <w:u w:val="single"/>
              </w:rPr>
              <w:t>Kernels</w:t>
            </w:r>
          </w:p>
        </w:tc>
        <w:tc>
          <w:tcPr>
            <w:tcW w:w="1000" w:type="pct"/>
            <w:vAlign w:val="center"/>
            <w:hideMark/>
          </w:tcPr>
          <w:p w:rsidR="00497622" w:rsidRPr="00497622" w:rsidRDefault="00497622" w:rsidP="00497622">
            <w:r w:rsidRPr="00497622">
              <w:rPr>
                <w:b/>
                <w:bCs/>
                <w:u w:val="single"/>
              </w:rPr>
              <w:t>Samples</w:t>
            </w:r>
          </w:p>
        </w:tc>
        <w:tc>
          <w:tcPr>
            <w:tcW w:w="1000" w:type="pct"/>
            <w:vAlign w:val="center"/>
            <w:hideMark/>
          </w:tcPr>
          <w:p w:rsidR="00497622" w:rsidRPr="00497622" w:rsidRDefault="00497622" w:rsidP="00497622">
            <w:r w:rsidRPr="00497622">
              <w:rPr>
                <w:b/>
                <w:bCs/>
                <w:u w:val="single"/>
              </w:rPr>
              <w:t>Percent</w:t>
            </w:r>
          </w:p>
        </w:tc>
        <w:tc>
          <w:tcPr>
            <w:tcW w:w="1000" w:type="pct"/>
            <w:vAlign w:val="center"/>
            <w:hideMark/>
          </w:tcPr>
          <w:p w:rsidR="00497622" w:rsidRPr="00497622" w:rsidRDefault="00497622" w:rsidP="00497622"/>
        </w:tc>
      </w:tr>
      <w:tr w:rsidR="00497622" w:rsidRPr="00497622" w:rsidTr="00497622">
        <w:trPr>
          <w:tblCellSpacing w:w="0" w:type="dxa"/>
          <w:jc w:val="center"/>
        </w:trPr>
        <w:tc>
          <w:tcPr>
            <w:tcW w:w="1000" w:type="pct"/>
            <w:vAlign w:val="center"/>
            <w:hideMark/>
          </w:tcPr>
          <w:p w:rsidR="00497622" w:rsidRPr="00497622" w:rsidRDefault="00497622" w:rsidP="00497622"/>
        </w:tc>
        <w:tc>
          <w:tcPr>
            <w:tcW w:w="1000" w:type="pct"/>
            <w:vAlign w:val="center"/>
            <w:hideMark/>
          </w:tcPr>
          <w:p w:rsidR="00497622" w:rsidRPr="00497622" w:rsidRDefault="00497622" w:rsidP="00497622">
            <w:r w:rsidRPr="00497622">
              <w:t>0</w:t>
            </w:r>
          </w:p>
        </w:tc>
        <w:tc>
          <w:tcPr>
            <w:tcW w:w="1000" w:type="pct"/>
            <w:vAlign w:val="center"/>
            <w:hideMark/>
          </w:tcPr>
          <w:p w:rsidR="00497622" w:rsidRPr="00497622" w:rsidRDefault="00497622" w:rsidP="00497622">
            <w:r w:rsidRPr="00497622">
              <w:t>65</w:t>
            </w:r>
          </w:p>
        </w:tc>
        <w:tc>
          <w:tcPr>
            <w:tcW w:w="1000" w:type="pct"/>
            <w:vAlign w:val="center"/>
            <w:hideMark/>
          </w:tcPr>
          <w:p w:rsidR="00497622" w:rsidRPr="00497622" w:rsidRDefault="00497622" w:rsidP="00497622">
            <w:r w:rsidRPr="00497622">
              <w:t>50.9</w:t>
            </w:r>
          </w:p>
        </w:tc>
        <w:tc>
          <w:tcPr>
            <w:tcW w:w="1000" w:type="pct"/>
            <w:vAlign w:val="center"/>
            <w:hideMark/>
          </w:tcPr>
          <w:p w:rsidR="00497622" w:rsidRPr="00497622" w:rsidRDefault="00497622" w:rsidP="00497622"/>
        </w:tc>
      </w:tr>
      <w:tr w:rsidR="00497622" w:rsidRPr="00497622" w:rsidTr="00497622">
        <w:trPr>
          <w:tblCellSpacing w:w="0" w:type="dxa"/>
          <w:jc w:val="center"/>
        </w:trPr>
        <w:tc>
          <w:tcPr>
            <w:tcW w:w="1000" w:type="pct"/>
            <w:vAlign w:val="center"/>
            <w:hideMark/>
          </w:tcPr>
          <w:p w:rsidR="00497622" w:rsidRPr="00497622" w:rsidRDefault="00497622" w:rsidP="00497622"/>
        </w:tc>
        <w:tc>
          <w:tcPr>
            <w:tcW w:w="1000" w:type="pct"/>
            <w:vAlign w:val="center"/>
            <w:hideMark/>
          </w:tcPr>
          <w:p w:rsidR="00497622" w:rsidRPr="00497622" w:rsidRDefault="00497622" w:rsidP="00497622">
            <w:r w:rsidRPr="00497622">
              <w:t>1</w:t>
            </w:r>
          </w:p>
        </w:tc>
        <w:tc>
          <w:tcPr>
            <w:tcW w:w="1000" w:type="pct"/>
            <w:vAlign w:val="center"/>
            <w:hideMark/>
          </w:tcPr>
          <w:p w:rsidR="00497622" w:rsidRPr="00497622" w:rsidRDefault="00497622" w:rsidP="00497622">
            <w:r w:rsidRPr="00497622">
              <w:t>44</w:t>
            </w:r>
          </w:p>
        </w:tc>
        <w:tc>
          <w:tcPr>
            <w:tcW w:w="1000" w:type="pct"/>
            <w:vAlign w:val="center"/>
            <w:hideMark/>
          </w:tcPr>
          <w:p w:rsidR="00497622" w:rsidRPr="00497622" w:rsidRDefault="00497622" w:rsidP="00497622">
            <w:r w:rsidRPr="00497622">
              <w:t>34.7</w:t>
            </w:r>
          </w:p>
        </w:tc>
        <w:tc>
          <w:tcPr>
            <w:tcW w:w="1000" w:type="pct"/>
            <w:vAlign w:val="center"/>
            <w:hideMark/>
          </w:tcPr>
          <w:p w:rsidR="00497622" w:rsidRPr="00497622" w:rsidRDefault="00497622" w:rsidP="00497622"/>
        </w:tc>
      </w:tr>
      <w:tr w:rsidR="00497622" w:rsidRPr="00497622" w:rsidTr="00497622">
        <w:trPr>
          <w:tblCellSpacing w:w="0" w:type="dxa"/>
          <w:jc w:val="center"/>
        </w:trPr>
        <w:tc>
          <w:tcPr>
            <w:tcW w:w="1000" w:type="pct"/>
            <w:vAlign w:val="center"/>
            <w:hideMark/>
          </w:tcPr>
          <w:p w:rsidR="00497622" w:rsidRPr="00497622" w:rsidRDefault="00497622" w:rsidP="00497622"/>
        </w:tc>
        <w:tc>
          <w:tcPr>
            <w:tcW w:w="1000" w:type="pct"/>
            <w:vAlign w:val="center"/>
            <w:hideMark/>
          </w:tcPr>
          <w:p w:rsidR="00497622" w:rsidRPr="00497622" w:rsidRDefault="00497622" w:rsidP="00497622">
            <w:r w:rsidRPr="00497622">
              <w:t>2</w:t>
            </w:r>
          </w:p>
        </w:tc>
        <w:tc>
          <w:tcPr>
            <w:tcW w:w="1000" w:type="pct"/>
            <w:vAlign w:val="center"/>
            <w:hideMark/>
          </w:tcPr>
          <w:p w:rsidR="00497622" w:rsidRPr="00497622" w:rsidRDefault="00497622" w:rsidP="00497622">
            <w:r w:rsidRPr="00497622">
              <w:t>15</w:t>
            </w:r>
          </w:p>
        </w:tc>
        <w:tc>
          <w:tcPr>
            <w:tcW w:w="1000" w:type="pct"/>
            <w:vAlign w:val="center"/>
            <w:hideMark/>
          </w:tcPr>
          <w:p w:rsidR="00497622" w:rsidRPr="00497622" w:rsidRDefault="00497622" w:rsidP="00497622">
            <w:r w:rsidRPr="00497622">
              <w:t>11.5</w:t>
            </w:r>
          </w:p>
        </w:tc>
        <w:tc>
          <w:tcPr>
            <w:tcW w:w="1000" w:type="pct"/>
            <w:vAlign w:val="center"/>
            <w:hideMark/>
          </w:tcPr>
          <w:p w:rsidR="00497622" w:rsidRPr="00497622" w:rsidRDefault="00497622" w:rsidP="00497622"/>
        </w:tc>
      </w:tr>
      <w:tr w:rsidR="00497622" w:rsidRPr="00497622" w:rsidTr="00497622">
        <w:trPr>
          <w:tblCellSpacing w:w="0" w:type="dxa"/>
          <w:jc w:val="center"/>
        </w:trPr>
        <w:tc>
          <w:tcPr>
            <w:tcW w:w="1000" w:type="pct"/>
            <w:vAlign w:val="center"/>
            <w:hideMark/>
          </w:tcPr>
          <w:p w:rsidR="00497622" w:rsidRPr="00497622" w:rsidRDefault="00497622" w:rsidP="00497622"/>
        </w:tc>
        <w:tc>
          <w:tcPr>
            <w:tcW w:w="1000" w:type="pct"/>
            <w:vAlign w:val="center"/>
            <w:hideMark/>
          </w:tcPr>
          <w:p w:rsidR="00497622" w:rsidRPr="00497622" w:rsidRDefault="00497622" w:rsidP="00497622">
            <w:r w:rsidRPr="00497622">
              <w:t>3</w:t>
            </w:r>
          </w:p>
        </w:tc>
        <w:tc>
          <w:tcPr>
            <w:tcW w:w="1000" w:type="pct"/>
            <w:vAlign w:val="center"/>
            <w:hideMark/>
          </w:tcPr>
          <w:p w:rsidR="00497622" w:rsidRPr="00497622" w:rsidRDefault="00497622" w:rsidP="00497622">
            <w:r w:rsidRPr="00497622">
              <w:t>3</w:t>
            </w:r>
          </w:p>
        </w:tc>
        <w:tc>
          <w:tcPr>
            <w:tcW w:w="1000" w:type="pct"/>
            <w:vAlign w:val="center"/>
            <w:hideMark/>
          </w:tcPr>
          <w:p w:rsidR="00497622" w:rsidRPr="00497622" w:rsidRDefault="00497622" w:rsidP="00497622">
            <w:r w:rsidRPr="00497622">
              <w:t>2.5</w:t>
            </w:r>
          </w:p>
        </w:tc>
        <w:tc>
          <w:tcPr>
            <w:tcW w:w="1000" w:type="pct"/>
            <w:vAlign w:val="center"/>
            <w:hideMark/>
          </w:tcPr>
          <w:p w:rsidR="00497622" w:rsidRPr="00497622" w:rsidRDefault="00497622" w:rsidP="00497622"/>
        </w:tc>
      </w:tr>
      <w:tr w:rsidR="00497622" w:rsidRPr="00497622" w:rsidTr="00497622">
        <w:trPr>
          <w:trHeight w:val="300"/>
          <w:tblCellSpacing w:w="0" w:type="dxa"/>
          <w:jc w:val="center"/>
        </w:trPr>
        <w:tc>
          <w:tcPr>
            <w:tcW w:w="1000" w:type="pct"/>
            <w:vAlign w:val="center"/>
            <w:hideMark/>
          </w:tcPr>
          <w:p w:rsidR="00497622" w:rsidRPr="00497622" w:rsidRDefault="00497622" w:rsidP="00497622"/>
        </w:tc>
        <w:tc>
          <w:tcPr>
            <w:tcW w:w="1000" w:type="pct"/>
            <w:vAlign w:val="center"/>
            <w:hideMark/>
          </w:tcPr>
          <w:p w:rsidR="00497622" w:rsidRPr="00497622" w:rsidRDefault="00497622" w:rsidP="00497622"/>
        </w:tc>
        <w:tc>
          <w:tcPr>
            <w:tcW w:w="1000" w:type="pct"/>
            <w:vAlign w:val="center"/>
            <w:hideMark/>
          </w:tcPr>
          <w:p w:rsidR="00497622" w:rsidRPr="00497622" w:rsidRDefault="00497622" w:rsidP="00497622"/>
        </w:tc>
        <w:tc>
          <w:tcPr>
            <w:tcW w:w="1000" w:type="pct"/>
            <w:vAlign w:val="center"/>
            <w:hideMark/>
          </w:tcPr>
          <w:p w:rsidR="00497622" w:rsidRPr="00497622" w:rsidRDefault="00497622" w:rsidP="00497622"/>
        </w:tc>
        <w:tc>
          <w:tcPr>
            <w:tcW w:w="1000" w:type="pct"/>
            <w:vAlign w:val="center"/>
            <w:hideMark/>
          </w:tcPr>
          <w:p w:rsidR="00497622" w:rsidRPr="00497622" w:rsidRDefault="00497622" w:rsidP="00497622"/>
        </w:tc>
      </w:tr>
      <w:tr w:rsidR="00497622" w:rsidRPr="00497622" w:rsidTr="00497622">
        <w:trPr>
          <w:tblCellSpacing w:w="0" w:type="dxa"/>
          <w:jc w:val="center"/>
        </w:trPr>
        <w:tc>
          <w:tcPr>
            <w:tcW w:w="5000" w:type="pct"/>
            <w:gridSpan w:val="5"/>
            <w:vAlign w:val="center"/>
            <w:hideMark/>
          </w:tcPr>
          <w:p w:rsidR="00497622" w:rsidRPr="00497622" w:rsidRDefault="00497622" w:rsidP="00497622">
            <w:r w:rsidRPr="00497622">
              <w:rPr>
                <w:noProof/>
                <w:lang w:eastAsia="en-IN"/>
              </w:rPr>
              <w:drawing>
                <wp:inline distT="0" distB="0" distL="0" distR="0">
                  <wp:extent cx="5438775" cy="4724400"/>
                  <wp:effectExtent l="0" t="0" r="9525" b="0"/>
                  <wp:docPr id="2" name="Picture 2" descr="Diagram: theoretical distribution of biotech kernels in the 128 sample divis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iagram: theoretical distribution of biotech kernels in the 128 sample divisions."/>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38775" cy="4724400"/>
                          </a:xfrm>
                          <a:prstGeom prst="rect">
                            <a:avLst/>
                          </a:prstGeom>
                          <a:noFill/>
                          <a:ln>
                            <a:noFill/>
                          </a:ln>
                        </pic:spPr>
                      </pic:pic>
                    </a:graphicData>
                  </a:graphic>
                </wp:inline>
              </w:drawing>
            </w:r>
          </w:p>
        </w:tc>
      </w:tr>
    </w:tbl>
    <w:p w:rsidR="00497622" w:rsidRPr="00497622" w:rsidRDefault="00497622" w:rsidP="00497622">
      <w:r w:rsidRPr="00497622">
        <w:t>It is interesting to note that, for this example, more than 50% of the samples will test negative. Quantitative test results, assuming no other sources of error, would range from 0 to 3.4%. None of the samples would give the analyst the "right" answer.</w:t>
      </w:r>
    </w:p>
    <w:p w:rsidR="00497622" w:rsidRPr="00497622" w:rsidRDefault="00497622" w:rsidP="00497622">
      <w:r w:rsidRPr="00497622">
        <w:t xml:space="preserve">Thorough grinding and mixing would give a much different distribution of the </w:t>
      </w:r>
      <w:proofErr w:type="spellStart"/>
      <w:r w:rsidRPr="00497622">
        <w:t>analyte</w:t>
      </w:r>
      <w:proofErr w:type="spellEnd"/>
      <w:r w:rsidRPr="00497622">
        <w:t>, producing more consistent results from subsample to subsample. The analyses to be performed must be considered and may be the determining factor with respect to particle size. In a plant seed, the DNA and much of the protein is concentrated in the embryo, and the embryo may only be 10% of the weight of a seed. In the 1360 gram (3 lb.) sample above, the embryonic material from genetically modified soybean seeds will be only one-tenth of 1%. For PCR analysis, where analytical sample sizes are routinely only one gram, research studies have shown that a particle size of less than 200m produces a homogenous sample. Therefore, grinding a representative composite sample to an appropriate particle size, followed by thorough mixing, will minimize sample preparation errors. Analytical results on subsamples of this homogenous sample will be much closer to the actual content (1%), as shown in the example below.</w:t>
      </w:r>
    </w:p>
    <w:p w:rsidR="00497622" w:rsidRPr="00497622" w:rsidRDefault="00497622" w:rsidP="00497622">
      <w:r w:rsidRPr="00497622">
        <w:lastRenderedPageBreak/>
        <w:t>Each 1gram subsample should contain about 250,000 soybean particles. Although one percent of these particles would be from biotech soybeans, only about 250 of these would actually contain biotech DNA. Using a normal approximation, 97 % of the analytical results would be in the range of 0.86 to 1.14 %.</w:t>
      </w:r>
    </w:p>
    <w:p w:rsidR="00497622" w:rsidRPr="00497622" w:rsidRDefault="00497622" w:rsidP="00497622">
      <w:r w:rsidRPr="00497622">
        <w:t> </w:t>
      </w:r>
    </w:p>
    <w:tbl>
      <w:tblPr>
        <w:tblW w:w="4750" w:type="pct"/>
        <w:jc w:val="center"/>
        <w:tblCellSpacing w:w="0" w:type="dxa"/>
        <w:tblCellMar>
          <w:left w:w="0" w:type="dxa"/>
          <w:right w:w="0" w:type="dxa"/>
        </w:tblCellMar>
        <w:tblLook w:val="04A0" w:firstRow="1" w:lastRow="0" w:firstColumn="1" w:lastColumn="0" w:noHBand="0" w:noVBand="1"/>
      </w:tblPr>
      <w:tblGrid>
        <w:gridCol w:w="9026"/>
      </w:tblGrid>
      <w:tr w:rsidR="00497622" w:rsidRPr="00497622" w:rsidTr="00497622">
        <w:trPr>
          <w:tblCellSpacing w:w="0" w:type="dxa"/>
          <w:jc w:val="center"/>
        </w:trPr>
        <w:tc>
          <w:tcPr>
            <w:tcW w:w="5000" w:type="pct"/>
            <w:vAlign w:val="center"/>
            <w:hideMark/>
          </w:tcPr>
          <w:p w:rsidR="00497622" w:rsidRPr="00497622" w:rsidRDefault="00497622" w:rsidP="00497622">
            <w:r w:rsidRPr="00497622">
              <w:rPr>
                <w:noProof/>
                <w:lang w:eastAsia="en-IN"/>
              </w:rPr>
              <w:drawing>
                <wp:inline distT="0" distB="0" distL="0" distR="0">
                  <wp:extent cx="6448425" cy="3152775"/>
                  <wp:effectExtent l="0" t="0" r="9525" b="9525"/>
                  <wp:docPr id="1" name="Picture 1" descr="Diagram: Analytical results on subsamples of homogenous 1360 gram sam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iagram: Analytical results on subsamples of homogenous 1360 gram sampl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448425" cy="3152775"/>
                          </a:xfrm>
                          <a:prstGeom prst="rect">
                            <a:avLst/>
                          </a:prstGeom>
                          <a:noFill/>
                          <a:ln>
                            <a:noFill/>
                          </a:ln>
                        </pic:spPr>
                      </pic:pic>
                    </a:graphicData>
                  </a:graphic>
                </wp:inline>
              </w:drawing>
            </w:r>
          </w:p>
        </w:tc>
      </w:tr>
    </w:tbl>
    <w:p w:rsidR="00497622" w:rsidRPr="00497622" w:rsidRDefault="00497622" w:rsidP="00497622">
      <w:r w:rsidRPr="00497622">
        <w:t> </w:t>
      </w:r>
    </w:p>
    <w:p w:rsidR="00497622" w:rsidRPr="00497622" w:rsidRDefault="00497622" w:rsidP="00497622">
      <w:r w:rsidRPr="00497622">
        <w:t>ELISA testing, which routinely uses larger sample sizes, may not need as fine a particle size as PCR testing. Studies should be conducted to validate sample preparation protocols to assure suitability for the analyses to be performed.</w:t>
      </w:r>
    </w:p>
    <w:p w:rsidR="00497622" w:rsidRPr="00497622" w:rsidRDefault="00497622" w:rsidP="00497622">
      <w:pPr>
        <w:rPr>
          <w:b/>
          <w:bCs/>
        </w:rPr>
      </w:pPr>
      <w:r w:rsidRPr="00497622">
        <w:rPr>
          <w:b/>
          <w:bCs/>
        </w:rPr>
        <w:t>Cleanliness in Sample Preparation</w:t>
      </w:r>
    </w:p>
    <w:p w:rsidR="00497622" w:rsidRPr="00497622" w:rsidRDefault="00497622" w:rsidP="00497622">
      <w:r w:rsidRPr="00497622">
        <w:t>Carry over of materials from one sample to another takes on an even greater significance during sample preparation prior to analysis. Due to the sensitivity seen with many methods for detection of biotech grains, care must be taken to avoid transferring materials to subsequent samples. Whole grains, dust and residual matter must be removed from all equipment. Grinders should be cleaned through vacuuming of dust, washing with soap and water or solvents, or a combination of appropriate cleaning methods for the specific grinder in use. Sample dividers and mixers must also be thoroughly cleaned. Analysts should verify the equipment cleaning process is appropriate to prevent cross contamination. Many of the analytical techniques practiced for detection of biotech crops today can detect levels lower than 0.1%. Physical separation of sample preparation operations from analytical operations is also highly recommended to avoid contamination of sample extracts.</w:t>
      </w:r>
    </w:p>
    <w:p w:rsidR="00497622" w:rsidRPr="00497622" w:rsidRDefault="00497622" w:rsidP="00497622">
      <w:pPr>
        <w:rPr>
          <w:b/>
          <w:bCs/>
        </w:rPr>
      </w:pPr>
      <w:r w:rsidRPr="00497622">
        <w:rPr>
          <w:b/>
          <w:bCs/>
        </w:rPr>
        <w:t>Selecting a Sampling Protocol to Minimize Risk</w:t>
      </w:r>
    </w:p>
    <w:p w:rsidR="00497622" w:rsidRPr="00497622" w:rsidRDefault="00497622" w:rsidP="00497622">
      <w:r w:rsidRPr="00497622">
        <w:t>Sample size, theoretically, is selected to best meet the needs of the buyer and seller. Selecting a sample size often involves a compromise between precision and cost of analysis.</w:t>
      </w:r>
    </w:p>
    <w:p w:rsidR="00497622" w:rsidRPr="00497622" w:rsidRDefault="00497622" w:rsidP="00497622">
      <w:r w:rsidRPr="00497622">
        <w:t>In measurement systems where kernels are processed individually, the cost of processing a sample increases in proportion to increases in sample size. For these systems, selecting the smallest sample size that provides acceptable precision is the most cost effective sample size.</w:t>
      </w:r>
    </w:p>
    <w:p w:rsidR="00497622" w:rsidRPr="00497622" w:rsidRDefault="00497622" w:rsidP="00497622">
      <w:r w:rsidRPr="00497622">
        <w:lastRenderedPageBreak/>
        <w:t>Many measurement systems process and measure bulk samples. In these systems, the cost of processing a sample may not increase in proportion to increases in the sample size. Processing a large sample may cost only slightly more than processing a small sample. Under these circumstances, processing the largest sample the technology will handle may be the best sample size.</w:t>
      </w:r>
    </w:p>
    <w:p w:rsidR="00497622" w:rsidRPr="00497622" w:rsidRDefault="00497622" w:rsidP="00497622">
      <w:r w:rsidRPr="00497622">
        <w:t>For single sample qualitative testing, sample sizes can be determined with a relatively simple formula. Given the desired lot concentration and probability of detection, a sample size is computed with the following formula:</w:t>
      </w:r>
    </w:p>
    <w:p w:rsidR="00497622" w:rsidRPr="00497622" w:rsidRDefault="00497622" w:rsidP="00497622">
      <w:r w:rsidRPr="00497622">
        <w:t xml:space="preserve">n = </w:t>
      </w:r>
      <w:proofErr w:type="gramStart"/>
      <w:r w:rsidRPr="00497622">
        <w:t>log(</w:t>
      </w:r>
      <w:proofErr w:type="gramEnd"/>
      <w:r w:rsidRPr="00497622">
        <w:t>1-(G/100))/log(1-(P/100))</w:t>
      </w:r>
    </w:p>
    <w:p w:rsidR="00497622" w:rsidRPr="00497622" w:rsidRDefault="00497622" w:rsidP="00497622">
      <w:proofErr w:type="gramStart"/>
      <w:r w:rsidRPr="00497622">
        <w:t>n</w:t>
      </w:r>
      <w:proofErr w:type="gramEnd"/>
      <w:r w:rsidRPr="00497622">
        <w:t xml:space="preserve"> is the sample size (number of kernels),</w:t>
      </w:r>
    </w:p>
    <w:p w:rsidR="00497622" w:rsidRPr="00497622" w:rsidRDefault="00497622" w:rsidP="00497622">
      <w:r w:rsidRPr="00497622">
        <w:t>G is the probability (in percent) of rejecting a lot concentration, and</w:t>
      </w:r>
    </w:p>
    <w:p w:rsidR="00497622" w:rsidRPr="00497622" w:rsidRDefault="00497622" w:rsidP="00497622">
      <w:r w:rsidRPr="00497622">
        <w:t>P is percent concentration in the lot.</w:t>
      </w:r>
    </w:p>
    <w:p w:rsidR="00497622" w:rsidRPr="00497622" w:rsidRDefault="00497622" w:rsidP="00497622">
      <w:r w:rsidRPr="00497622">
        <w:t>The following tables provide recommended sample sizes for qualitative testing based upon this formula.</w:t>
      </w:r>
    </w:p>
    <w:p w:rsidR="00497622" w:rsidRPr="00497622" w:rsidRDefault="00497622" w:rsidP="00497622">
      <w:pPr>
        <w:rPr>
          <w:b/>
          <w:bCs/>
        </w:rPr>
      </w:pPr>
      <w:r w:rsidRPr="00497622">
        <w:rPr>
          <w:b/>
          <w:bCs/>
        </w:rPr>
        <w:br/>
        <w:t>Sample Sizes such that Lots Containing the Given Concentration Levels</w:t>
      </w:r>
      <w:r w:rsidRPr="00497622">
        <w:rPr>
          <w:b/>
          <w:bCs/>
        </w:rPr>
        <w:br/>
        <w:t>Are Rejected 95% of the Time</w:t>
      </w:r>
    </w:p>
    <w:tbl>
      <w:tblPr>
        <w:tblW w:w="8775" w:type="dxa"/>
        <w:jc w:val="center"/>
        <w:tblCellSpacing w:w="15" w:type="dxa"/>
        <w:tblBorders>
          <w:top w:val="outset" w:sz="6" w:space="0" w:color="008000"/>
          <w:left w:val="outset" w:sz="6" w:space="0" w:color="008000"/>
          <w:bottom w:val="outset" w:sz="6" w:space="0" w:color="008000"/>
          <w:right w:val="outset" w:sz="6" w:space="0" w:color="008000"/>
        </w:tblBorders>
        <w:tblCellMar>
          <w:top w:w="135" w:type="dxa"/>
          <w:left w:w="135" w:type="dxa"/>
          <w:bottom w:w="135" w:type="dxa"/>
          <w:right w:w="135" w:type="dxa"/>
        </w:tblCellMar>
        <w:tblLook w:val="04A0" w:firstRow="1" w:lastRow="0" w:firstColumn="1" w:lastColumn="0" w:noHBand="0" w:noVBand="1"/>
      </w:tblPr>
      <w:tblGrid>
        <w:gridCol w:w="2028"/>
        <w:gridCol w:w="1669"/>
        <w:gridCol w:w="2359"/>
        <w:gridCol w:w="2719"/>
      </w:tblGrid>
      <w:tr w:rsidR="00497622" w:rsidRPr="00497622" w:rsidTr="00497622">
        <w:trPr>
          <w:tblCellSpacing w:w="15" w:type="dxa"/>
          <w:jc w:val="center"/>
        </w:trPr>
        <w:tc>
          <w:tcPr>
            <w:tcW w:w="1150" w:type="pct"/>
            <w:vMerge w:val="restart"/>
            <w:tcBorders>
              <w:top w:val="outset" w:sz="6" w:space="0" w:color="008000"/>
              <w:left w:val="outset" w:sz="6" w:space="0" w:color="008000"/>
              <w:bottom w:val="outset" w:sz="6" w:space="0" w:color="008000"/>
              <w:right w:val="outset" w:sz="6" w:space="0" w:color="008000"/>
            </w:tcBorders>
            <w:vAlign w:val="center"/>
            <w:hideMark/>
          </w:tcPr>
          <w:p w:rsidR="00497622" w:rsidRPr="00497622" w:rsidRDefault="00497622" w:rsidP="00497622">
            <w:r w:rsidRPr="00497622">
              <w:t>Biotech</w:t>
            </w:r>
          </w:p>
          <w:p w:rsidR="00497622" w:rsidRPr="00497622" w:rsidRDefault="00497622" w:rsidP="00497622">
            <w:r w:rsidRPr="00497622">
              <w:t>Concentration</w:t>
            </w:r>
          </w:p>
        </w:tc>
        <w:tc>
          <w:tcPr>
            <w:tcW w:w="950" w:type="pct"/>
            <w:vMerge w:val="restart"/>
            <w:tcBorders>
              <w:top w:val="outset" w:sz="6" w:space="0" w:color="008000"/>
              <w:left w:val="outset" w:sz="6" w:space="0" w:color="008000"/>
              <w:bottom w:val="outset" w:sz="6" w:space="0" w:color="008000"/>
              <w:right w:val="outset" w:sz="6" w:space="0" w:color="008000"/>
            </w:tcBorders>
            <w:vAlign w:val="center"/>
            <w:hideMark/>
          </w:tcPr>
          <w:p w:rsidR="00497622" w:rsidRPr="00497622" w:rsidRDefault="00497622" w:rsidP="00497622">
            <w:r w:rsidRPr="00497622">
              <w:t>Number of</w:t>
            </w:r>
          </w:p>
          <w:p w:rsidR="00497622" w:rsidRPr="00497622" w:rsidRDefault="00497622" w:rsidP="00497622">
            <w:r w:rsidRPr="00497622">
              <w:t>Kernels</w:t>
            </w:r>
          </w:p>
        </w:tc>
        <w:tc>
          <w:tcPr>
            <w:tcW w:w="2900" w:type="pct"/>
            <w:gridSpan w:val="2"/>
            <w:tcBorders>
              <w:top w:val="outset" w:sz="6" w:space="0" w:color="008000"/>
              <w:left w:val="outset" w:sz="6" w:space="0" w:color="008000"/>
              <w:bottom w:val="outset" w:sz="6" w:space="0" w:color="008000"/>
              <w:right w:val="outset" w:sz="6" w:space="0" w:color="008000"/>
            </w:tcBorders>
            <w:vAlign w:val="center"/>
            <w:hideMark/>
          </w:tcPr>
          <w:p w:rsidR="00497622" w:rsidRPr="00497622" w:rsidRDefault="00497622" w:rsidP="00497622">
            <w:r w:rsidRPr="00497622">
              <w:t>Approximate Weight in Grams</w:t>
            </w:r>
          </w:p>
        </w:tc>
      </w:tr>
      <w:tr w:rsidR="00497622" w:rsidRPr="00497622" w:rsidTr="00497622">
        <w:trPr>
          <w:tblCellSpacing w:w="15" w:type="dxa"/>
          <w:jc w:val="center"/>
        </w:trPr>
        <w:tc>
          <w:tcPr>
            <w:tcW w:w="0" w:type="auto"/>
            <w:vMerge/>
            <w:tcBorders>
              <w:top w:val="outset" w:sz="6" w:space="0" w:color="008000"/>
              <w:left w:val="outset" w:sz="6" w:space="0" w:color="008000"/>
              <w:bottom w:val="outset" w:sz="6" w:space="0" w:color="008000"/>
              <w:right w:val="outset" w:sz="6" w:space="0" w:color="008000"/>
            </w:tcBorders>
            <w:vAlign w:val="center"/>
            <w:hideMark/>
          </w:tcPr>
          <w:p w:rsidR="00497622" w:rsidRPr="00497622" w:rsidRDefault="00497622" w:rsidP="00497622"/>
        </w:tc>
        <w:tc>
          <w:tcPr>
            <w:tcW w:w="0" w:type="auto"/>
            <w:vMerge/>
            <w:tcBorders>
              <w:top w:val="outset" w:sz="6" w:space="0" w:color="008000"/>
              <w:left w:val="outset" w:sz="6" w:space="0" w:color="008000"/>
              <w:bottom w:val="outset" w:sz="6" w:space="0" w:color="008000"/>
              <w:right w:val="outset" w:sz="6" w:space="0" w:color="008000"/>
            </w:tcBorders>
            <w:vAlign w:val="center"/>
            <w:hideMark/>
          </w:tcPr>
          <w:p w:rsidR="00497622" w:rsidRPr="00497622" w:rsidRDefault="00497622" w:rsidP="00497622"/>
        </w:tc>
        <w:tc>
          <w:tcPr>
            <w:tcW w:w="1350" w:type="pct"/>
            <w:tcBorders>
              <w:top w:val="outset" w:sz="6" w:space="0" w:color="008000"/>
              <w:left w:val="outset" w:sz="6" w:space="0" w:color="008000"/>
              <w:bottom w:val="outset" w:sz="6" w:space="0" w:color="008000"/>
              <w:right w:val="outset" w:sz="6" w:space="0" w:color="008000"/>
            </w:tcBorders>
            <w:vAlign w:val="center"/>
            <w:hideMark/>
          </w:tcPr>
          <w:p w:rsidR="00497622" w:rsidRPr="00497622" w:rsidRDefault="00497622" w:rsidP="00497622">
            <w:r w:rsidRPr="00497622">
              <w:t>Corn</w:t>
            </w:r>
          </w:p>
        </w:tc>
        <w:tc>
          <w:tcPr>
            <w:tcW w:w="1550" w:type="pct"/>
            <w:tcBorders>
              <w:top w:val="outset" w:sz="6" w:space="0" w:color="008000"/>
              <w:left w:val="outset" w:sz="6" w:space="0" w:color="008000"/>
              <w:bottom w:val="outset" w:sz="6" w:space="0" w:color="008000"/>
              <w:right w:val="outset" w:sz="6" w:space="0" w:color="008000"/>
            </w:tcBorders>
            <w:vAlign w:val="center"/>
            <w:hideMark/>
          </w:tcPr>
          <w:p w:rsidR="00497622" w:rsidRPr="00497622" w:rsidRDefault="00497622" w:rsidP="00497622">
            <w:r w:rsidRPr="00497622">
              <w:t>Soybeans</w:t>
            </w:r>
          </w:p>
        </w:tc>
      </w:tr>
      <w:tr w:rsidR="00497622" w:rsidRPr="00497622" w:rsidTr="00497622">
        <w:trPr>
          <w:tblCellSpacing w:w="15" w:type="dxa"/>
          <w:jc w:val="center"/>
        </w:trPr>
        <w:tc>
          <w:tcPr>
            <w:tcW w:w="1150" w:type="pct"/>
            <w:tcBorders>
              <w:top w:val="outset" w:sz="6" w:space="0" w:color="008000"/>
              <w:left w:val="outset" w:sz="6" w:space="0" w:color="008000"/>
              <w:bottom w:val="outset" w:sz="6" w:space="0" w:color="008000"/>
              <w:right w:val="outset" w:sz="6" w:space="0" w:color="008000"/>
            </w:tcBorders>
            <w:hideMark/>
          </w:tcPr>
          <w:p w:rsidR="00497622" w:rsidRPr="00497622" w:rsidRDefault="00497622" w:rsidP="00497622">
            <w:r w:rsidRPr="00497622">
              <w:t>0.1</w:t>
            </w:r>
          </w:p>
        </w:tc>
        <w:tc>
          <w:tcPr>
            <w:tcW w:w="950" w:type="pct"/>
            <w:tcBorders>
              <w:top w:val="outset" w:sz="6" w:space="0" w:color="008000"/>
              <w:left w:val="outset" w:sz="6" w:space="0" w:color="008000"/>
              <w:bottom w:val="outset" w:sz="6" w:space="0" w:color="008000"/>
              <w:right w:val="outset" w:sz="6" w:space="0" w:color="008000"/>
            </w:tcBorders>
            <w:hideMark/>
          </w:tcPr>
          <w:p w:rsidR="00497622" w:rsidRPr="00497622" w:rsidRDefault="00497622" w:rsidP="00497622">
            <w:r w:rsidRPr="00497622">
              <w:t>2995</w:t>
            </w:r>
          </w:p>
        </w:tc>
        <w:tc>
          <w:tcPr>
            <w:tcW w:w="1350" w:type="pct"/>
            <w:tcBorders>
              <w:top w:val="outset" w:sz="6" w:space="0" w:color="008000"/>
              <w:left w:val="outset" w:sz="6" w:space="0" w:color="008000"/>
              <w:bottom w:val="outset" w:sz="6" w:space="0" w:color="008000"/>
              <w:right w:val="outset" w:sz="6" w:space="0" w:color="008000"/>
            </w:tcBorders>
            <w:hideMark/>
          </w:tcPr>
          <w:p w:rsidR="00497622" w:rsidRPr="00497622" w:rsidRDefault="00497622" w:rsidP="00497622">
            <w:r w:rsidRPr="00497622">
              <w:t>881</w:t>
            </w:r>
          </w:p>
        </w:tc>
        <w:tc>
          <w:tcPr>
            <w:tcW w:w="1550" w:type="pct"/>
            <w:tcBorders>
              <w:top w:val="outset" w:sz="6" w:space="0" w:color="008000"/>
              <w:left w:val="outset" w:sz="6" w:space="0" w:color="008000"/>
              <w:bottom w:val="outset" w:sz="6" w:space="0" w:color="008000"/>
              <w:right w:val="outset" w:sz="6" w:space="0" w:color="008000"/>
            </w:tcBorders>
            <w:hideMark/>
          </w:tcPr>
          <w:p w:rsidR="00497622" w:rsidRPr="00497622" w:rsidRDefault="00497622" w:rsidP="00497622">
            <w:r w:rsidRPr="00497622">
              <w:t>474</w:t>
            </w:r>
          </w:p>
        </w:tc>
      </w:tr>
      <w:tr w:rsidR="00497622" w:rsidRPr="00497622" w:rsidTr="00497622">
        <w:trPr>
          <w:tblCellSpacing w:w="15" w:type="dxa"/>
          <w:jc w:val="center"/>
        </w:trPr>
        <w:tc>
          <w:tcPr>
            <w:tcW w:w="1150" w:type="pct"/>
            <w:tcBorders>
              <w:top w:val="outset" w:sz="6" w:space="0" w:color="008000"/>
              <w:left w:val="outset" w:sz="6" w:space="0" w:color="008000"/>
              <w:bottom w:val="outset" w:sz="6" w:space="0" w:color="008000"/>
              <w:right w:val="outset" w:sz="6" w:space="0" w:color="008000"/>
            </w:tcBorders>
            <w:hideMark/>
          </w:tcPr>
          <w:p w:rsidR="00497622" w:rsidRPr="00497622" w:rsidRDefault="00497622" w:rsidP="00497622">
            <w:r w:rsidRPr="00497622">
              <w:t>0.5</w:t>
            </w:r>
          </w:p>
        </w:tc>
        <w:tc>
          <w:tcPr>
            <w:tcW w:w="950" w:type="pct"/>
            <w:tcBorders>
              <w:top w:val="outset" w:sz="6" w:space="0" w:color="008000"/>
              <w:left w:val="outset" w:sz="6" w:space="0" w:color="008000"/>
              <w:bottom w:val="outset" w:sz="6" w:space="0" w:color="008000"/>
              <w:right w:val="outset" w:sz="6" w:space="0" w:color="008000"/>
            </w:tcBorders>
            <w:hideMark/>
          </w:tcPr>
          <w:p w:rsidR="00497622" w:rsidRPr="00497622" w:rsidRDefault="00497622" w:rsidP="00497622">
            <w:r w:rsidRPr="00497622">
              <w:t>598</w:t>
            </w:r>
          </w:p>
        </w:tc>
        <w:tc>
          <w:tcPr>
            <w:tcW w:w="1350" w:type="pct"/>
            <w:tcBorders>
              <w:top w:val="outset" w:sz="6" w:space="0" w:color="008000"/>
              <w:left w:val="outset" w:sz="6" w:space="0" w:color="008000"/>
              <w:bottom w:val="outset" w:sz="6" w:space="0" w:color="008000"/>
              <w:right w:val="outset" w:sz="6" w:space="0" w:color="008000"/>
            </w:tcBorders>
            <w:hideMark/>
          </w:tcPr>
          <w:p w:rsidR="00497622" w:rsidRPr="00497622" w:rsidRDefault="00497622" w:rsidP="00497622">
            <w:r w:rsidRPr="00497622">
              <w:t>176</w:t>
            </w:r>
          </w:p>
        </w:tc>
        <w:tc>
          <w:tcPr>
            <w:tcW w:w="1550" w:type="pct"/>
            <w:tcBorders>
              <w:top w:val="outset" w:sz="6" w:space="0" w:color="008000"/>
              <w:left w:val="outset" w:sz="6" w:space="0" w:color="008000"/>
              <w:bottom w:val="outset" w:sz="6" w:space="0" w:color="008000"/>
              <w:right w:val="outset" w:sz="6" w:space="0" w:color="008000"/>
            </w:tcBorders>
            <w:hideMark/>
          </w:tcPr>
          <w:p w:rsidR="00497622" w:rsidRPr="00497622" w:rsidRDefault="00497622" w:rsidP="00497622">
            <w:r w:rsidRPr="00497622">
              <w:t>95</w:t>
            </w:r>
          </w:p>
        </w:tc>
      </w:tr>
      <w:tr w:rsidR="00497622" w:rsidRPr="00497622" w:rsidTr="00497622">
        <w:trPr>
          <w:tblCellSpacing w:w="15" w:type="dxa"/>
          <w:jc w:val="center"/>
        </w:trPr>
        <w:tc>
          <w:tcPr>
            <w:tcW w:w="1150" w:type="pct"/>
            <w:tcBorders>
              <w:top w:val="outset" w:sz="6" w:space="0" w:color="008000"/>
              <w:left w:val="outset" w:sz="6" w:space="0" w:color="008000"/>
              <w:bottom w:val="outset" w:sz="6" w:space="0" w:color="008000"/>
              <w:right w:val="outset" w:sz="6" w:space="0" w:color="008000"/>
            </w:tcBorders>
            <w:hideMark/>
          </w:tcPr>
          <w:p w:rsidR="00497622" w:rsidRPr="00497622" w:rsidRDefault="00497622" w:rsidP="00497622">
            <w:r w:rsidRPr="00497622">
              <w:t>1.0</w:t>
            </w:r>
          </w:p>
        </w:tc>
        <w:tc>
          <w:tcPr>
            <w:tcW w:w="950" w:type="pct"/>
            <w:tcBorders>
              <w:top w:val="outset" w:sz="6" w:space="0" w:color="008000"/>
              <w:left w:val="outset" w:sz="6" w:space="0" w:color="008000"/>
              <w:bottom w:val="outset" w:sz="6" w:space="0" w:color="008000"/>
              <w:right w:val="outset" w:sz="6" w:space="0" w:color="008000"/>
            </w:tcBorders>
            <w:hideMark/>
          </w:tcPr>
          <w:p w:rsidR="00497622" w:rsidRPr="00497622" w:rsidRDefault="00497622" w:rsidP="00497622">
            <w:r w:rsidRPr="00497622">
              <w:t>299</w:t>
            </w:r>
          </w:p>
        </w:tc>
        <w:tc>
          <w:tcPr>
            <w:tcW w:w="1350" w:type="pct"/>
            <w:tcBorders>
              <w:top w:val="outset" w:sz="6" w:space="0" w:color="008000"/>
              <w:left w:val="outset" w:sz="6" w:space="0" w:color="008000"/>
              <w:bottom w:val="outset" w:sz="6" w:space="0" w:color="008000"/>
              <w:right w:val="outset" w:sz="6" w:space="0" w:color="008000"/>
            </w:tcBorders>
            <w:hideMark/>
          </w:tcPr>
          <w:p w:rsidR="00497622" w:rsidRPr="00497622" w:rsidRDefault="00497622" w:rsidP="00497622">
            <w:r w:rsidRPr="00497622">
              <w:t>88</w:t>
            </w:r>
          </w:p>
        </w:tc>
        <w:tc>
          <w:tcPr>
            <w:tcW w:w="1550" w:type="pct"/>
            <w:tcBorders>
              <w:top w:val="outset" w:sz="6" w:space="0" w:color="008000"/>
              <w:left w:val="outset" w:sz="6" w:space="0" w:color="008000"/>
              <w:bottom w:val="outset" w:sz="6" w:space="0" w:color="008000"/>
              <w:right w:val="outset" w:sz="6" w:space="0" w:color="008000"/>
            </w:tcBorders>
            <w:hideMark/>
          </w:tcPr>
          <w:p w:rsidR="00497622" w:rsidRPr="00497622" w:rsidRDefault="00497622" w:rsidP="00497622">
            <w:r w:rsidRPr="00497622">
              <w:t>48</w:t>
            </w:r>
          </w:p>
        </w:tc>
      </w:tr>
      <w:tr w:rsidR="00497622" w:rsidRPr="00497622" w:rsidTr="00497622">
        <w:trPr>
          <w:tblCellSpacing w:w="15" w:type="dxa"/>
          <w:jc w:val="center"/>
        </w:trPr>
        <w:tc>
          <w:tcPr>
            <w:tcW w:w="1150" w:type="pct"/>
            <w:tcBorders>
              <w:top w:val="outset" w:sz="6" w:space="0" w:color="008000"/>
              <w:left w:val="outset" w:sz="6" w:space="0" w:color="008000"/>
              <w:bottom w:val="outset" w:sz="6" w:space="0" w:color="008000"/>
              <w:right w:val="outset" w:sz="6" w:space="0" w:color="008000"/>
            </w:tcBorders>
            <w:hideMark/>
          </w:tcPr>
          <w:p w:rsidR="00497622" w:rsidRPr="00497622" w:rsidRDefault="00497622" w:rsidP="00497622">
            <w:r w:rsidRPr="00497622">
              <w:t>2.0</w:t>
            </w:r>
          </w:p>
        </w:tc>
        <w:tc>
          <w:tcPr>
            <w:tcW w:w="950" w:type="pct"/>
            <w:tcBorders>
              <w:top w:val="outset" w:sz="6" w:space="0" w:color="008000"/>
              <w:left w:val="outset" w:sz="6" w:space="0" w:color="008000"/>
              <w:bottom w:val="outset" w:sz="6" w:space="0" w:color="008000"/>
              <w:right w:val="outset" w:sz="6" w:space="0" w:color="008000"/>
            </w:tcBorders>
            <w:hideMark/>
          </w:tcPr>
          <w:p w:rsidR="00497622" w:rsidRPr="00497622" w:rsidRDefault="00497622" w:rsidP="00497622">
            <w:r w:rsidRPr="00497622">
              <w:t>149</w:t>
            </w:r>
          </w:p>
        </w:tc>
        <w:tc>
          <w:tcPr>
            <w:tcW w:w="1350" w:type="pct"/>
            <w:tcBorders>
              <w:top w:val="outset" w:sz="6" w:space="0" w:color="008000"/>
              <w:left w:val="outset" w:sz="6" w:space="0" w:color="008000"/>
              <w:bottom w:val="outset" w:sz="6" w:space="0" w:color="008000"/>
              <w:right w:val="outset" w:sz="6" w:space="0" w:color="008000"/>
            </w:tcBorders>
            <w:hideMark/>
          </w:tcPr>
          <w:p w:rsidR="00497622" w:rsidRPr="00497622" w:rsidRDefault="00497622" w:rsidP="00497622">
            <w:r w:rsidRPr="00497622">
              <w:t>44</w:t>
            </w:r>
          </w:p>
        </w:tc>
        <w:tc>
          <w:tcPr>
            <w:tcW w:w="1550" w:type="pct"/>
            <w:tcBorders>
              <w:top w:val="outset" w:sz="6" w:space="0" w:color="008000"/>
              <w:left w:val="outset" w:sz="6" w:space="0" w:color="008000"/>
              <w:bottom w:val="outset" w:sz="6" w:space="0" w:color="008000"/>
              <w:right w:val="outset" w:sz="6" w:space="0" w:color="008000"/>
            </w:tcBorders>
            <w:hideMark/>
          </w:tcPr>
          <w:p w:rsidR="00497622" w:rsidRPr="00497622" w:rsidRDefault="00497622" w:rsidP="00497622">
            <w:r w:rsidRPr="00497622">
              <w:t>24</w:t>
            </w:r>
          </w:p>
        </w:tc>
      </w:tr>
      <w:tr w:rsidR="00497622" w:rsidRPr="00497622" w:rsidTr="00497622">
        <w:trPr>
          <w:tblCellSpacing w:w="15" w:type="dxa"/>
          <w:jc w:val="center"/>
        </w:trPr>
        <w:tc>
          <w:tcPr>
            <w:tcW w:w="1150" w:type="pct"/>
            <w:tcBorders>
              <w:top w:val="outset" w:sz="6" w:space="0" w:color="008000"/>
              <w:left w:val="outset" w:sz="6" w:space="0" w:color="008000"/>
              <w:bottom w:val="outset" w:sz="6" w:space="0" w:color="008000"/>
              <w:right w:val="outset" w:sz="6" w:space="0" w:color="008000"/>
            </w:tcBorders>
            <w:hideMark/>
          </w:tcPr>
          <w:p w:rsidR="00497622" w:rsidRPr="00497622" w:rsidRDefault="00497622" w:rsidP="00497622">
            <w:r w:rsidRPr="00497622">
              <w:t>3.0</w:t>
            </w:r>
          </w:p>
        </w:tc>
        <w:tc>
          <w:tcPr>
            <w:tcW w:w="950" w:type="pct"/>
            <w:tcBorders>
              <w:top w:val="outset" w:sz="6" w:space="0" w:color="008000"/>
              <w:left w:val="outset" w:sz="6" w:space="0" w:color="008000"/>
              <w:bottom w:val="outset" w:sz="6" w:space="0" w:color="008000"/>
              <w:right w:val="outset" w:sz="6" w:space="0" w:color="008000"/>
            </w:tcBorders>
            <w:hideMark/>
          </w:tcPr>
          <w:p w:rsidR="00497622" w:rsidRPr="00497622" w:rsidRDefault="00497622" w:rsidP="00497622">
            <w:r w:rsidRPr="00497622">
              <w:t>99</w:t>
            </w:r>
          </w:p>
        </w:tc>
        <w:tc>
          <w:tcPr>
            <w:tcW w:w="1350" w:type="pct"/>
            <w:tcBorders>
              <w:top w:val="outset" w:sz="6" w:space="0" w:color="008000"/>
              <w:left w:val="outset" w:sz="6" w:space="0" w:color="008000"/>
              <w:bottom w:val="outset" w:sz="6" w:space="0" w:color="008000"/>
              <w:right w:val="outset" w:sz="6" w:space="0" w:color="008000"/>
            </w:tcBorders>
            <w:hideMark/>
          </w:tcPr>
          <w:p w:rsidR="00497622" w:rsidRPr="00497622" w:rsidRDefault="00497622" w:rsidP="00497622">
            <w:r w:rsidRPr="00497622">
              <w:t>30</w:t>
            </w:r>
          </w:p>
        </w:tc>
        <w:tc>
          <w:tcPr>
            <w:tcW w:w="1550" w:type="pct"/>
            <w:tcBorders>
              <w:top w:val="outset" w:sz="6" w:space="0" w:color="008000"/>
              <w:left w:val="outset" w:sz="6" w:space="0" w:color="008000"/>
              <w:bottom w:val="outset" w:sz="6" w:space="0" w:color="008000"/>
              <w:right w:val="outset" w:sz="6" w:space="0" w:color="008000"/>
            </w:tcBorders>
            <w:hideMark/>
          </w:tcPr>
          <w:p w:rsidR="00497622" w:rsidRPr="00497622" w:rsidRDefault="00497622" w:rsidP="00497622">
            <w:r w:rsidRPr="00497622">
              <w:t>16</w:t>
            </w:r>
          </w:p>
        </w:tc>
      </w:tr>
      <w:tr w:rsidR="00497622" w:rsidRPr="00497622" w:rsidTr="00497622">
        <w:trPr>
          <w:tblCellSpacing w:w="15" w:type="dxa"/>
          <w:jc w:val="center"/>
        </w:trPr>
        <w:tc>
          <w:tcPr>
            <w:tcW w:w="1150" w:type="pct"/>
            <w:tcBorders>
              <w:top w:val="outset" w:sz="6" w:space="0" w:color="008000"/>
              <w:left w:val="outset" w:sz="6" w:space="0" w:color="008000"/>
              <w:bottom w:val="outset" w:sz="6" w:space="0" w:color="008000"/>
              <w:right w:val="outset" w:sz="6" w:space="0" w:color="008000"/>
            </w:tcBorders>
            <w:hideMark/>
          </w:tcPr>
          <w:p w:rsidR="00497622" w:rsidRPr="00497622" w:rsidRDefault="00497622" w:rsidP="00497622">
            <w:r w:rsidRPr="00497622">
              <w:t>4.0</w:t>
            </w:r>
          </w:p>
        </w:tc>
        <w:tc>
          <w:tcPr>
            <w:tcW w:w="950" w:type="pct"/>
            <w:tcBorders>
              <w:top w:val="outset" w:sz="6" w:space="0" w:color="008000"/>
              <w:left w:val="outset" w:sz="6" w:space="0" w:color="008000"/>
              <w:bottom w:val="outset" w:sz="6" w:space="0" w:color="008000"/>
              <w:right w:val="outset" w:sz="6" w:space="0" w:color="008000"/>
            </w:tcBorders>
            <w:hideMark/>
          </w:tcPr>
          <w:p w:rsidR="00497622" w:rsidRPr="00497622" w:rsidRDefault="00497622" w:rsidP="00497622">
            <w:r w:rsidRPr="00497622">
              <w:t>74</w:t>
            </w:r>
          </w:p>
        </w:tc>
        <w:tc>
          <w:tcPr>
            <w:tcW w:w="1350" w:type="pct"/>
            <w:tcBorders>
              <w:top w:val="outset" w:sz="6" w:space="0" w:color="008000"/>
              <w:left w:val="outset" w:sz="6" w:space="0" w:color="008000"/>
              <w:bottom w:val="outset" w:sz="6" w:space="0" w:color="008000"/>
              <w:right w:val="outset" w:sz="6" w:space="0" w:color="008000"/>
            </w:tcBorders>
            <w:hideMark/>
          </w:tcPr>
          <w:p w:rsidR="00497622" w:rsidRPr="00497622" w:rsidRDefault="00497622" w:rsidP="00497622">
            <w:r w:rsidRPr="00497622">
              <w:t>22</w:t>
            </w:r>
          </w:p>
        </w:tc>
        <w:tc>
          <w:tcPr>
            <w:tcW w:w="1550" w:type="pct"/>
            <w:tcBorders>
              <w:top w:val="outset" w:sz="6" w:space="0" w:color="008000"/>
              <w:left w:val="outset" w:sz="6" w:space="0" w:color="008000"/>
              <w:bottom w:val="outset" w:sz="6" w:space="0" w:color="008000"/>
              <w:right w:val="outset" w:sz="6" w:space="0" w:color="008000"/>
            </w:tcBorders>
            <w:hideMark/>
          </w:tcPr>
          <w:p w:rsidR="00497622" w:rsidRPr="00497622" w:rsidRDefault="00497622" w:rsidP="00497622">
            <w:r w:rsidRPr="00497622">
              <w:t>12</w:t>
            </w:r>
          </w:p>
        </w:tc>
      </w:tr>
      <w:tr w:rsidR="00497622" w:rsidRPr="00497622" w:rsidTr="00497622">
        <w:trPr>
          <w:tblCellSpacing w:w="15" w:type="dxa"/>
          <w:jc w:val="center"/>
        </w:trPr>
        <w:tc>
          <w:tcPr>
            <w:tcW w:w="1150" w:type="pct"/>
            <w:tcBorders>
              <w:top w:val="outset" w:sz="6" w:space="0" w:color="008000"/>
              <w:left w:val="outset" w:sz="6" w:space="0" w:color="008000"/>
              <w:bottom w:val="outset" w:sz="6" w:space="0" w:color="008000"/>
              <w:right w:val="outset" w:sz="6" w:space="0" w:color="008000"/>
            </w:tcBorders>
            <w:hideMark/>
          </w:tcPr>
          <w:p w:rsidR="00497622" w:rsidRPr="00497622" w:rsidRDefault="00497622" w:rsidP="00497622">
            <w:r w:rsidRPr="00497622">
              <w:t>5.0</w:t>
            </w:r>
          </w:p>
        </w:tc>
        <w:tc>
          <w:tcPr>
            <w:tcW w:w="950" w:type="pct"/>
            <w:tcBorders>
              <w:top w:val="outset" w:sz="6" w:space="0" w:color="008000"/>
              <w:left w:val="outset" w:sz="6" w:space="0" w:color="008000"/>
              <w:bottom w:val="outset" w:sz="6" w:space="0" w:color="008000"/>
              <w:right w:val="outset" w:sz="6" w:space="0" w:color="008000"/>
            </w:tcBorders>
            <w:hideMark/>
          </w:tcPr>
          <w:p w:rsidR="00497622" w:rsidRPr="00497622" w:rsidRDefault="00497622" w:rsidP="00497622">
            <w:r w:rsidRPr="00497622">
              <w:t>59</w:t>
            </w:r>
          </w:p>
        </w:tc>
        <w:tc>
          <w:tcPr>
            <w:tcW w:w="1350" w:type="pct"/>
            <w:tcBorders>
              <w:top w:val="outset" w:sz="6" w:space="0" w:color="008000"/>
              <w:left w:val="outset" w:sz="6" w:space="0" w:color="008000"/>
              <w:bottom w:val="outset" w:sz="6" w:space="0" w:color="008000"/>
              <w:right w:val="outset" w:sz="6" w:space="0" w:color="008000"/>
            </w:tcBorders>
            <w:hideMark/>
          </w:tcPr>
          <w:p w:rsidR="00497622" w:rsidRPr="00497622" w:rsidRDefault="00497622" w:rsidP="00497622">
            <w:r w:rsidRPr="00497622">
              <w:t>18</w:t>
            </w:r>
          </w:p>
        </w:tc>
        <w:tc>
          <w:tcPr>
            <w:tcW w:w="1550" w:type="pct"/>
            <w:tcBorders>
              <w:top w:val="outset" w:sz="6" w:space="0" w:color="008000"/>
              <w:left w:val="outset" w:sz="6" w:space="0" w:color="008000"/>
              <w:bottom w:val="outset" w:sz="6" w:space="0" w:color="008000"/>
              <w:right w:val="outset" w:sz="6" w:space="0" w:color="008000"/>
            </w:tcBorders>
            <w:hideMark/>
          </w:tcPr>
          <w:p w:rsidR="00497622" w:rsidRPr="00497622" w:rsidRDefault="00497622" w:rsidP="00497622">
            <w:r w:rsidRPr="00497622">
              <w:t>10</w:t>
            </w:r>
          </w:p>
        </w:tc>
      </w:tr>
    </w:tbl>
    <w:p w:rsidR="00497622" w:rsidRPr="00497622" w:rsidRDefault="00497622" w:rsidP="00497622">
      <w:r w:rsidRPr="00497622">
        <w:t>Therefore, a representative sample of 299 kernels/beans from a lot containing 1.0 % biotech grain will contain one or more biotech kernels/beans 95% of the time.</w:t>
      </w:r>
    </w:p>
    <w:p w:rsidR="00497622" w:rsidRPr="00497622" w:rsidRDefault="00497622" w:rsidP="00497622">
      <w:r w:rsidRPr="00497622">
        <w:lastRenderedPageBreak/>
        <w:t> </w:t>
      </w:r>
    </w:p>
    <w:p w:rsidR="00497622" w:rsidRPr="00497622" w:rsidRDefault="00497622" w:rsidP="00497622">
      <w:pPr>
        <w:rPr>
          <w:b/>
          <w:bCs/>
        </w:rPr>
      </w:pPr>
      <w:r w:rsidRPr="00497622">
        <w:rPr>
          <w:b/>
          <w:bCs/>
        </w:rPr>
        <w:t>Sample Sizes such that Lots Containing the Given Concentration Levels</w:t>
      </w:r>
      <w:r w:rsidRPr="00497622">
        <w:rPr>
          <w:b/>
          <w:bCs/>
        </w:rPr>
        <w:br/>
        <w:t>Are Rejected 99% of the Time</w:t>
      </w:r>
    </w:p>
    <w:tbl>
      <w:tblPr>
        <w:tblW w:w="8775" w:type="dxa"/>
        <w:jc w:val="center"/>
        <w:tblCellSpacing w:w="15" w:type="dxa"/>
        <w:tblBorders>
          <w:top w:val="outset" w:sz="6" w:space="0" w:color="008000"/>
          <w:left w:val="outset" w:sz="6" w:space="0" w:color="008000"/>
          <w:bottom w:val="outset" w:sz="6" w:space="0" w:color="008000"/>
          <w:right w:val="outset" w:sz="6" w:space="0" w:color="008000"/>
        </w:tblBorders>
        <w:tblCellMar>
          <w:top w:w="135" w:type="dxa"/>
          <w:left w:w="135" w:type="dxa"/>
          <w:bottom w:w="135" w:type="dxa"/>
          <w:right w:w="135" w:type="dxa"/>
        </w:tblCellMar>
        <w:tblLook w:val="04A0" w:firstRow="1" w:lastRow="0" w:firstColumn="1" w:lastColumn="0" w:noHBand="0" w:noVBand="1"/>
      </w:tblPr>
      <w:tblGrid>
        <w:gridCol w:w="2028"/>
        <w:gridCol w:w="1669"/>
        <w:gridCol w:w="2359"/>
        <w:gridCol w:w="2719"/>
      </w:tblGrid>
      <w:tr w:rsidR="00497622" w:rsidRPr="00497622" w:rsidTr="00497622">
        <w:trPr>
          <w:tblCellSpacing w:w="15" w:type="dxa"/>
          <w:jc w:val="center"/>
        </w:trPr>
        <w:tc>
          <w:tcPr>
            <w:tcW w:w="1150" w:type="pct"/>
            <w:vMerge w:val="restart"/>
            <w:tcBorders>
              <w:top w:val="outset" w:sz="6" w:space="0" w:color="008000"/>
              <w:left w:val="outset" w:sz="6" w:space="0" w:color="008000"/>
              <w:bottom w:val="outset" w:sz="6" w:space="0" w:color="008000"/>
              <w:right w:val="outset" w:sz="6" w:space="0" w:color="008000"/>
            </w:tcBorders>
            <w:vAlign w:val="center"/>
            <w:hideMark/>
          </w:tcPr>
          <w:p w:rsidR="00497622" w:rsidRPr="00497622" w:rsidRDefault="00497622" w:rsidP="00497622">
            <w:r w:rsidRPr="00497622">
              <w:t>Biotech</w:t>
            </w:r>
          </w:p>
          <w:p w:rsidR="00497622" w:rsidRPr="00497622" w:rsidRDefault="00497622" w:rsidP="00497622">
            <w:r w:rsidRPr="00497622">
              <w:t>Concentration</w:t>
            </w:r>
          </w:p>
        </w:tc>
        <w:tc>
          <w:tcPr>
            <w:tcW w:w="950" w:type="pct"/>
            <w:vMerge w:val="restart"/>
            <w:tcBorders>
              <w:top w:val="outset" w:sz="6" w:space="0" w:color="008000"/>
              <w:left w:val="outset" w:sz="6" w:space="0" w:color="008000"/>
              <w:bottom w:val="outset" w:sz="6" w:space="0" w:color="008000"/>
              <w:right w:val="outset" w:sz="6" w:space="0" w:color="008000"/>
            </w:tcBorders>
            <w:vAlign w:val="center"/>
            <w:hideMark/>
          </w:tcPr>
          <w:p w:rsidR="00497622" w:rsidRPr="00497622" w:rsidRDefault="00497622" w:rsidP="00497622">
            <w:r w:rsidRPr="00497622">
              <w:t>Number of</w:t>
            </w:r>
          </w:p>
          <w:p w:rsidR="00497622" w:rsidRPr="00497622" w:rsidRDefault="00497622" w:rsidP="00497622">
            <w:r w:rsidRPr="00497622">
              <w:t>Kernels</w:t>
            </w:r>
          </w:p>
        </w:tc>
        <w:tc>
          <w:tcPr>
            <w:tcW w:w="2900" w:type="pct"/>
            <w:gridSpan w:val="2"/>
            <w:tcBorders>
              <w:top w:val="outset" w:sz="6" w:space="0" w:color="008000"/>
              <w:left w:val="outset" w:sz="6" w:space="0" w:color="008000"/>
              <w:bottom w:val="outset" w:sz="6" w:space="0" w:color="008000"/>
              <w:right w:val="outset" w:sz="6" w:space="0" w:color="008000"/>
            </w:tcBorders>
            <w:vAlign w:val="center"/>
            <w:hideMark/>
          </w:tcPr>
          <w:p w:rsidR="00497622" w:rsidRPr="00497622" w:rsidRDefault="00497622" w:rsidP="00497622">
            <w:r w:rsidRPr="00497622">
              <w:t>Approximate Weight in Grams</w:t>
            </w:r>
          </w:p>
        </w:tc>
      </w:tr>
      <w:tr w:rsidR="00497622" w:rsidRPr="00497622" w:rsidTr="00497622">
        <w:trPr>
          <w:trHeight w:val="465"/>
          <w:tblCellSpacing w:w="15" w:type="dxa"/>
          <w:jc w:val="center"/>
        </w:trPr>
        <w:tc>
          <w:tcPr>
            <w:tcW w:w="0" w:type="auto"/>
            <w:vMerge/>
            <w:tcBorders>
              <w:top w:val="outset" w:sz="6" w:space="0" w:color="008000"/>
              <w:left w:val="outset" w:sz="6" w:space="0" w:color="008000"/>
              <w:bottom w:val="outset" w:sz="6" w:space="0" w:color="008000"/>
              <w:right w:val="outset" w:sz="6" w:space="0" w:color="008000"/>
            </w:tcBorders>
            <w:vAlign w:val="center"/>
            <w:hideMark/>
          </w:tcPr>
          <w:p w:rsidR="00497622" w:rsidRPr="00497622" w:rsidRDefault="00497622" w:rsidP="00497622"/>
        </w:tc>
        <w:tc>
          <w:tcPr>
            <w:tcW w:w="0" w:type="auto"/>
            <w:vMerge/>
            <w:tcBorders>
              <w:top w:val="outset" w:sz="6" w:space="0" w:color="008000"/>
              <w:left w:val="outset" w:sz="6" w:space="0" w:color="008000"/>
              <w:bottom w:val="outset" w:sz="6" w:space="0" w:color="008000"/>
              <w:right w:val="outset" w:sz="6" w:space="0" w:color="008000"/>
            </w:tcBorders>
            <w:vAlign w:val="center"/>
            <w:hideMark/>
          </w:tcPr>
          <w:p w:rsidR="00497622" w:rsidRPr="00497622" w:rsidRDefault="00497622" w:rsidP="00497622"/>
        </w:tc>
        <w:tc>
          <w:tcPr>
            <w:tcW w:w="1350" w:type="pct"/>
            <w:tcBorders>
              <w:top w:val="outset" w:sz="6" w:space="0" w:color="008000"/>
              <w:left w:val="outset" w:sz="6" w:space="0" w:color="008000"/>
              <w:bottom w:val="outset" w:sz="6" w:space="0" w:color="008000"/>
              <w:right w:val="outset" w:sz="6" w:space="0" w:color="008000"/>
            </w:tcBorders>
            <w:vAlign w:val="center"/>
            <w:hideMark/>
          </w:tcPr>
          <w:p w:rsidR="00497622" w:rsidRPr="00497622" w:rsidRDefault="00497622" w:rsidP="00497622">
            <w:r w:rsidRPr="00497622">
              <w:t>Corn</w:t>
            </w:r>
          </w:p>
        </w:tc>
        <w:tc>
          <w:tcPr>
            <w:tcW w:w="1550" w:type="pct"/>
            <w:tcBorders>
              <w:top w:val="outset" w:sz="6" w:space="0" w:color="008000"/>
              <w:left w:val="outset" w:sz="6" w:space="0" w:color="008000"/>
              <w:bottom w:val="outset" w:sz="6" w:space="0" w:color="008000"/>
              <w:right w:val="outset" w:sz="6" w:space="0" w:color="008000"/>
            </w:tcBorders>
            <w:vAlign w:val="center"/>
            <w:hideMark/>
          </w:tcPr>
          <w:p w:rsidR="00497622" w:rsidRPr="00497622" w:rsidRDefault="00497622" w:rsidP="00497622">
            <w:r w:rsidRPr="00497622">
              <w:t>Soybeans</w:t>
            </w:r>
          </w:p>
        </w:tc>
      </w:tr>
      <w:tr w:rsidR="00497622" w:rsidRPr="00497622" w:rsidTr="00497622">
        <w:trPr>
          <w:tblCellSpacing w:w="15" w:type="dxa"/>
          <w:jc w:val="center"/>
        </w:trPr>
        <w:tc>
          <w:tcPr>
            <w:tcW w:w="1150" w:type="pct"/>
            <w:tcBorders>
              <w:top w:val="outset" w:sz="6" w:space="0" w:color="008000"/>
              <w:left w:val="outset" w:sz="6" w:space="0" w:color="008000"/>
              <w:bottom w:val="outset" w:sz="6" w:space="0" w:color="008000"/>
              <w:right w:val="outset" w:sz="6" w:space="0" w:color="008000"/>
            </w:tcBorders>
            <w:hideMark/>
          </w:tcPr>
          <w:p w:rsidR="00497622" w:rsidRPr="00497622" w:rsidRDefault="00497622" w:rsidP="00497622">
            <w:r w:rsidRPr="00497622">
              <w:t>0.1</w:t>
            </w:r>
          </w:p>
        </w:tc>
        <w:tc>
          <w:tcPr>
            <w:tcW w:w="950" w:type="pct"/>
            <w:tcBorders>
              <w:top w:val="outset" w:sz="6" w:space="0" w:color="008000"/>
              <w:left w:val="outset" w:sz="6" w:space="0" w:color="008000"/>
              <w:bottom w:val="outset" w:sz="6" w:space="0" w:color="008000"/>
              <w:right w:val="outset" w:sz="6" w:space="0" w:color="008000"/>
            </w:tcBorders>
            <w:hideMark/>
          </w:tcPr>
          <w:p w:rsidR="00497622" w:rsidRPr="00497622" w:rsidRDefault="00497622" w:rsidP="00497622">
            <w:r w:rsidRPr="00497622">
              <w:t>4603</w:t>
            </w:r>
          </w:p>
        </w:tc>
        <w:tc>
          <w:tcPr>
            <w:tcW w:w="1350" w:type="pct"/>
            <w:tcBorders>
              <w:top w:val="outset" w:sz="6" w:space="0" w:color="008000"/>
              <w:left w:val="outset" w:sz="6" w:space="0" w:color="008000"/>
              <w:bottom w:val="outset" w:sz="6" w:space="0" w:color="008000"/>
              <w:right w:val="outset" w:sz="6" w:space="0" w:color="008000"/>
            </w:tcBorders>
            <w:hideMark/>
          </w:tcPr>
          <w:p w:rsidR="00497622" w:rsidRPr="00497622" w:rsidRDefault="00497622" w:rsidP="00497622">
            <w:r w:rsidRPr="00497622">
              <w:t>1354</w:t>
            </w:r>
          </w:p>
        </w:tc>
        <w:tc>
          <w:tcPr>
            <w:tcW w:w="1550" w:type="pct"/>
            <w:tcBorders>
              <w:top w:val="outset" w:sz="6" w:space="0" w:color="008000"/>
              <w:left w:val="outset" w:sz="6" w:space="0" w:color="008000"/>
              <w:bottom w:val="outset" w:sz="6" w:space="0" w:color="008000"/>
              <w:right w:val="outset" w:sz="6" w:space="0" w:color="008000"/>
            </w:tcBorders>
            <w:hideMark/>
          </w:tcPr>
          <w:p w:rsidR="00497622" w:rsidRPr="00497622" w:rsidRDefault="00497622" w:rsidP="00497622">
            <w:r w:rsidRPr="00497622">
              <w:t>729</w:t>
            </w:r>
          </w:p>
        </w:tc>
      </w:tr>
      <w:tr w:rsidR="00497622" w:rsidRPr="00497622" w:rsidTr="00497622">
        <w:trPr>
          <w:tblCellSpacing w:w="15" w:type="dxa"/>
          <w:jc w:val="center"/>
        </w:trPr>
        <w:tc>
          <w:tcPr>
            <w:tcW w:w="1150" w:type="pct"/>
            <w:tcBorders>
              <w:top w:val="outset" w:sz="6" w:space="0" w:color="008000"/>
              <w:left w:val="outset" w:sz="6" w:space="0" w:color="008000"/>
              <w:bottom w:val="outset" w:sz="6" w:space="0" w:color="008000"/>
              <w:right w:val="outset" w:sz="6" w:space="0" w:color="008000"/>
            </w:tcBorders>
            <w:hideMark/>
          </w:tcPr>
          <w:p w:rsidR="00497622" w:rsidRPr="00497622" w:rsidRDefault="00497622" w:rsidP="00497622">
            <w:r w:rsidRPr="00497622">
              <w:t>0.5</w:t>
            </w:r>
          </w:p>
        </w:tc>
        <w:tc>
          <w:tcPr>
            <w:tcW w:w="950" w:type="pct"/>
            <w:tcBorders>
              <w:top w:val="outset" w:sz="6" w:space="0" w:color="008000"/>
              <w:left w:val="outset" w:sz="6" w:space="0" w:color="008000"/>
              <w:bottom w:val="outset" w:sz="6" w:space="0" w:color="008000"/>
              <w:right w:val="outset" w:sz="6" w:space="0" w:color="008000"/>
            </w:tcBorders>
            <w:hideMark/>
          </w:tcPr>
          <w:p w:rsidR="00497622" w:rsidRPr="00497622" w:rsidRDefault="00497622" w:rsidP="00497622">
            <w:r w:rsidRPr="00497622">
              <w:t>919</w:t>
            </w:r>
          </w:p>
        </w:tc>
        <w:tc>
          <w:tcPr>
            <w:tcW w:w="1350" w:type="pct"/>
            <w:tcBorders>
              <w:top w:val="outset" w:sz="6" w:space="0" w:color="008000"/>
              <w:left w:val="outset" w:sz="6" w:space="0" w:color="008000"/>
              <w:bottom w:val="outset" w:sz="6" w:space="0" w:color="008000"/>
              <w:right w:val="outset" w:sz="6" w:space="0" w:color="008000"/>
            </w:tcBorders>
            <w:hideMark/>
          </w:tcPr>
          <w:p w:rsidR="00497622" w:rsidRPr="00497622" w:rsidRDefault="00497622" w:rsidP="00497622">
            <w:r w:rsidRPr="00497622">
              <w:t>271</w:t>
            </w:r>
          </w:p>
        </w:tc>
        <w:tc>
          <w:tcPr>
            <w:tcW w:w="1550" w:type="pct"/>
            <w:tcBorders>
              <w:top w:val="outset" w:sz="6" w:space="0" w:color="008000"/>
              <w:left w:val="outset" w:sz="6" w:space="0" w:color="008000"/>
              <w:bottom w:val="outset" w:sz="6" w:space="0" w:color="008000"/>
              <w:right w:val="outset" w:sz="6" w:space="0" w:color="008000"/>
            </w:tcBorders>
            <w:hideMark/>
          </w:tcPr>
          <w:p w:rsidR="00497622" w:rsidRPr="00497622" w:rsidRDefault="00497622" w:rsidP="00497622">
            <w:r w:rsidRPr="00497622">
              <w:t>146</w:t>
            </w:r>
          </w:p>
        </w:tc>
      </w:tr>
      <w:tr w:rsidR="00497622" w:rsidRPr="00497622" w:rsidTr="00497622">
        <w:trPr>
          <w:tblCellSpacing w:w="15" w:type="dxa"/>
          <w:jc w:val="center"/>
        </w:trPr>
        <w:tc>
          <w:tcPr>
            <w:tcW w:w="1150" w:type="pct"/>
            <w:tcBorders>
              <w:top w:val="outset" w:sz="6" w:space="0" w:color="008000"/>
              <w:left w:val="outset" w:sz="6" w:space="0" w:color="008000"/>
              <w:bottom w:val="outset" w:sz="6" w:space="0" w:color="008000"/>
              <w:right w:val="outset" w:sz="6" w:space="0" w:color="008000"/>
            </w:tcBorders>
            <w:hideMark/>
          </w:tcPr>
          <w:p w:rsidR="00497622" w:rsidRPr="00497622" w:rsidRDefault="00497622" w:rsidP="00497622">
            <w:r w:rsidRPr="00497622">
              <w:t>1.0</w:t>
            </w:r>
          </w:p>
        </w:tc>
        <w:tc>
          <w:tcPr>
            <w:tcW w:w="950" w:type="pct"/>
            <w:tcBorders>
              <w:top w:val="outset" w:sz="6" w:space="0" w:color="008000"/>
              <w:left w:val="outset" w:sz="6" w:space="0" w:color="008000"/>
              <w:bottom w:val="outset" w:sz="6" w:space="0" w:color="008000"/>
              <w:right w:val="outset" w:sz="6" w:space="0" w:color="008000"/>
            </w:tcBorders>
            <w:hideMark/>
          </w:tcPr>
          <w:p w:rsidR="00497622" w:rsidRPr="00497622" w:rsidRDefault="00497622" w:rsidP="00497622">
            <w:r w:rsidRPr="00497622">
              <w:t>459</w:t>
            </w:r>
          </w:p>
        </w:tc>
        <w:tc>
          <w:tcPr>
            <w:tcW w:w="1350" w:type="pct"/>
            <w:tcBorders>
              <w:top w:val="outset" w:sz="6" w:space="0" w:color="008000"/>
              <w:left w:val="outset" w:sz="6" w:space="0" w:color="008000"/>
              <w:bottom w:val="outset" w:sz="6" w:space="0" w:color="008000"/>
              <w:right w:val="outset" w:sz="6" w:space="0" w:color="008000"/>
            </w:tcBorders>
            <w:hideMark/>
          </w:tcPr>
          <w:p w:rsidR="00497622" w:rsidRPr="00497622" w:rsidRDefault="00497622" w:rsidP="00497622">
            <w:r w:rsidRPr="00497622">
              <w:t>135</w:t>
            </w:r>
          </w:p>
        </w:tc>
        <w:tc>
          <w:tcPr>
            <w:tcW w:w="1550" w:type="pct"/>
            <w:tcBorders>
              <w:top w:val="outset" w:sz="6" w:space="0" w:color="008000"/>
              <w:left w:val="outset" w:sz="6" w:space="0" w:color="008000"/>
              <w:bottom w:val="outset" w:sz="6" w:space="0" w:color="008000"/>
              <w:right w:val="outset" w:sz="6" w:space="0" w:color="008000"/>
            </w:tcBorders>
            <w:hideMark/>
          </w:tcPr>
          <w:p w:rsidR="00497622" w:rsidRPr="00497622" w:rsidRDefault="00497622" w:rsidP="00497622">
            <w:r w:rsidRPr="00497622">
              <w:t>73</w:t>
            </w:r>
          </w:p>
        </w:tc>
      </w:tr>
      <w:tr w:rsidR="00497622" w:rsidRPr="00497622" w:rsidTr="00497622">
        <w:trPr>
          <w:tblCellSpacing w:w="15" w:type="dxa"/>
          <w:jc w:val="center"/>
        </w:trPr>
        <w:tc>
          <w:tcPr>
            <w:tcW w:w="1150" w:type="pct"/>
            <w:tcBorders>
              <w:top w:val="outset" w:sz="6" w:space="0" w:color="008000"/>
              <w:left w:val="outset" w:sz="6" w:space="0" w:color="008000"/>
              <w:bottom w:val="outset" w:sz="6" w:space="0" w:color="008000"/>
              <w:right w:val="outset" w:sz="6" w:space="0" w:color="008000"/>
            </w:tcBorders>
            <w:hideMark/>
          </w:tcPr>
          <w:p w:rsidR="00497622" w:rsidRPr="00497622" w:rsidRDefault="00497622" w:rsidP="00497622">
            <w:r w:rsidRPr="00497622">
              <w:t>2.0</w:t>
            </w:r>
          </w:p>
        </w:tc>
        <w:tc>
          <w:tcPr>
            <w:tcW w:w="950" w:type="pct"/>
            <w:tcBorders>
              <w:top w:val="outset" w:sz="6" w:space="0" w:color="008000"/>
              <w:left w:val="outset" w:sz="6" w:space="0" w:color="008000"/>
              <w:bottom w:val="outset" w:sz="6" w:space="0" w:color="008000"/>
              <w:right w:val="outset" w:sz="6" w:space="0" w:color="008000"/>
            </w:tcBorders>
            <w:hideMark/>
          </w:tcPr>
          <w:p w:rsidR="00497622" w:rsidRPr="00497622" w:rsidRDefault="00497622" w:rsidP="00497622">
            <w:r w:rsidRPr="00497622">
              <w:t>228</w:t>
            </w:r>
          </w:p>
        </w:tc>
        <w:tc>
          <w:tcPr>
            <w:tcW w:w="1350" w:type="pct"/>
            <w:tcBorders>
              <w:top w:val="outset" w:sz="6" w:space="0" w:color="008000"/>
              <w:left w:val="outset" w:sz="6" w:space="0" w:color="008000"/>
              <w:bottom w:val="outset" w:sz="6" w:space="0" w:color="008000"/>
              <w:right w:val="outset" w:sz="6" w:space="0" w:color="008000"/>
            </w:tcBorders>
            <w:hideMark/>
          </w:tcPr>
          <w:p w:rsidR="00497622" w:rsidRPr="00497622" w:rsidRDefault="00497622" w:rsidP="00497622">
            <w:r w:rsidRPr="00497622">
              <w:t>68</w:t>
            </w:r>
          </w:p>
        </w:tc>
        <w:tc>
          <w:tcPr>
            <w:tcW w:w="1550" w:type="pct"/>
            <w:tcBorders>
              <w:top w:val="outset" w:sz="6" w:space="0" w:color="008000"/>
              <w:left w:val="outset" w:sz="6" w:space="0" w:color="008000"/>
              <w:bottom w:val="outset" w:sz="6" w:space="0" w:color="008000"/>
              <w:right w:val="outset" w:sz="6" w:space="0" w:color="008000"/>
            </w:tcBorders>
            <w:hideMark/>
          </w:tcPr>
          <w:p w:rsidR="00497622" w:rsidRPr="00497622" w:rsidRDefault="00497622" w:rsidP="00497622">
            <w:r w:rsidRPr="00497622">
              <w:t>37</w:t>
            </w:r>
          </w:p>
        </w:tc>
      </w:tr>
      <w:tr w:rsidR="00497622" w:rsidRPr="00497622" w:rsidTr="00497622">
        <w:trPr>
          <w:tblCellSpacing w:w="15" w:type="dxa"/>
          <w:jc w:val="center"/>
        </w:trPr>
        <w:tc>
          <w:tcPr>
            <w:tcW w:w="1150" w:type="pct"/>
            <w:tcBorders>
              <w:top w:val="outset" w:sz="6" w:space="0" w:color="008000"/>
              <w:left w:val="outset" w:sz="6" w:space="0" w:color="008000"/>
              <w:bottom w:val="outset" w:sz="6" w:space="0" w:color="008000"/>
              <w:right w:val="outset" w:sz="6" w:space="0" w:color="008000"/>
            </w:tcBorders>
            <w:hideMark/>
          </w:tcPr>
          <w:p w:rsidR="00497622" w:rsidRPr="00497622" w:rsidRDefault="00497622" w:rsidP="00497622">
            <w:r w:rsidRPr="00497622">
              <w:t>3.0</w:t>
            </w:r>
          </w:p>
        </w:tc>
        <w:tc>
          <w:tcPr>
            <w:tcW w:w="950" w:type="pct"/>
            <w:tcBorders>
              <w:top w:val="outset" w:sz="6" w:space="0" w:color="008000"/>
              <w:left w:val="outset" w:sz="6" w:space="0" w:color="008000"/>
              <w:bottom w:val="outset" w:sz="6" w:space="0" w:color="008000"/>
              <w:right w:val="outset" w:sz="6" w:space="0" w:color="008000"/>
            </w:tcBorders>
            <w:hideMark/>
          </w:tcPr>
          <w:p w:rsidR="00497622" w:rsidRPr="00497622" w:rsidRDefault="00497622" w:rsidP="00497622">
            <w:r w:rsidRPr="00497622">
              <w:t>152</w:t>
            </w:r>
          </w:p>
        </w:tc>
        <w:tc>
          <w:tcPr>
            <w:tcW w:w="1350" w:type="pct"/>
            <w:tcBorders>
              <w:top w:val="outset" w:sz="6" w:space="0" w:color="008000"/>
              <w:left w:val="outset" w:sz="6" w:space="0" w:color="008000"/>
              <w:bottom w:val="outset" w:sz="6" w:space="0" w:color="008000"/>
              <w:right w:val="outset" w:sz="6" w:space="0" w:color="008000"/>
            </w:tcBorders>
            <w:hideMark/>
          </w:tcPr>
          <w:p w:rsidR="00497622" w:rsidRPr="00497622" w:rsidRDefault="00497622" w:rsidP="00497622">
            <w:r w:rsidRPr="00497622">
              <w:t>45</w:t>
            </w:r>
          </w:p>
        </w:tc>
        <w:tc>
          <w:tcPr>
            <w:tcW w:w="1550" w:type="pct"/>
            <w:tcBorders>
              <w:top w:val="outset" w:sz="6" w:space="0" w:color="008000"/>
              <w:left w:val="outset" w:sz="6" w:space="0" w:color="008000"/>
              <w:bottom w:val="outset" w:sz="6" w:space="0" w:color="008000"/>
              <w:right w:val="outset" w:sz="6" w:space="0" w:color="008000"/>
            </w:tcBorders>
            <w:hideMark/>
          </w:tcPr>
          <w:p w:rsidR="00497622" w:rsidRPr="00497622" w:rsidRDefault="00497622" w:rsidP="00497622">
            <w:r w:rsidRPr="00497622">
              <w:t>25</w:t>
            </w:r>
          </w:p>
        </w:tc>
      </w:tr>
      <w:tr w:rsidR="00497622" w:rsidRPr="00497622" w:rsidTr="00497622">
        <w:trPr>
          <w:tblCellSpacing w:w="15" w:type="dxa"/>
          <w:jc w:val="center"/>
        </w:trPr>
        <w:tc>
          <w:tcPr>
            <w:tcW w:w="1150" w:type="pct"/>
            <w:tcBorders>
              <w:top w:val="outset" w:sz="6" w:space="0" w:color="008000"/>
              <w:left w:val="outset" w:sz="6" w:space="0" w:color="008000"/>
              <w:bottom w:val="outset" w:sz="6" w:space="0" w:color="008000"/>
              <w:right w:val="outset" w:sz="6" w:space="0" w:color="008000"/>
            </w:tcBorders>
            <w:hideMark/>
          </w:tcPr>
          <w:p w:rsidR="00497622" w:rsidRPr="00497622" w:rsidRDefault="00497622" w:rsidP="00497622">
            <w:r w:rsidRPr="00497622">
              <w:t>4.0</w:t>
            </w:r>
          </w:p>
        </w:tc>
        <w:tc>
          <w:tcPr>
            <w:tcW w:w="950" w:type="pct"/>
            <w:tcBorders>
              <w:top w:val="outset" w:sz="6" w:space="0" w:color="008000"/>
              <w:left w:val="outset" w:sz="6" w:space="0" w:color="008000"/>
              <w:bottom w:val="outset" w:sz="6" w:space="0" w:color="008000"/>
              <w:right w:val="outset" w:sz="6" w:space="0" w:color="008000"/>
            </w:tcBorders>
            <w:hideMark/>
          </w:tcPr>
          <w:p w:rsidR="00497622" w:rsidRPr="00497622" w:rsidRDefault="00497622" w:rsidP="00497622">
            <w:r w:rsidRPr="00497622">
              <w:t>113</w:t>
            </w:r>
          </w:p>
        </w:tc>
        <w:tc>
          <w:tcPr>
            <w:tcW w:w="1350" w:type="pct"/>
            <w:tcBorders>
              <w:top w:val="outset" w:sz="6" w:space="0" w:color="008000"/>
              <w:left w:val="outset" w:sz="6" w:space="0" w:color="008000"/>
              <w:bottom w:val="outset" w:sz="6" w:space="0" w:color="008000"/>
              <w:right w:val="outset" w:sz="6" w:space="0" w:color="008000"/>
            </w:tcBorders>
            <w:hideMark/>
          </w:tcPr>
          <w:p w:rsidR="00497622" w:rsidRPr="00497622" w:rsidRDefault="00497622" w:rsidP="00497622">
            <w:r w:rsidRPr="00497622">
              <w:t>34</w:t>
            </w:r>
          </w:p>
        </w:tc>
        <w:tc>
          <w:tcPr>
            <w:tcW w:w="1550" w:type="pct"/>
            <w:tcBorders>
              <w:top w:val="outset" w:sz="6" w:space="0" w:color="008000"/>
              <w:left w:val="outset" w:sz="6" w:space="0" w:color="008000"/>
              <w:bottom w:val="outset" w:sz="6" w:space="0" w:color="008000"/>
              <w:right w:val="outset" w:sz="6" w:space="0" w:color="008000"/>
            </w:tcBorders>
            <w:hideMark/>
          </w:tcPr>
          <w:p w:rsidR="00497622" w:rsidRPr="00497622" w:rsidRDefault="00497622" w:rsidP="00497622">
            <w:r w:rsidRPr="00497622">
              <w:t>18</w:t>
            </w:r>
          </w:p>
        </w:tc>
      </w:tr>
      <w:tr w:rsidR="00497622" w:rsidRPr="00497622" w:rsidTr="00497622">
        <w:trPr>
          <w:tblCellSpacing w:w="15" w:type="dxa"/>
          <w:jc w:val="center"/>
        </w:trPr>
        <w:tc>
          <w:tcPr>
            <w:tcW w:w="1150" w:type="pct"/>
            <w:tcBorders>
              <w:top w:val="outset" w:sz="6" w:space="0" w:color="008000"/>
              <w:left w:val="outset" w:sz="6" w:space="0" w:color="008000"/>
              <w:bottom w:val="outset" w:sz="6" w:space="0" w:color="008000"/>
              <w:right w:val="outset" w:sz="6" w:space="0" w:color="008000"/>
            </w:tcBorders>
            <w:hideMark/>
          </w:tcPr>
          <w:p w:rsidR="00497622" w:rsidRPr="00497622" w:rsidRDefault="00497622" w:rsidP="00497622">
            <w:r w:rsidRPr="00497622">
              <w:t>5.0</w:t>
            </w:r>
          </w:p>
        </w:tc>
        <w:tc>
          <w:tcPr>
            <w:tcW w:w="950" w:type="pct"/>
            <w:tcBorders>
              <w:top w:val="outset" w:sz="6" w:space="0" w:color="008000"/>
              <w:left w:val="outset" w:sz="6" w:space="0" w:color="008000"/>
              <w:bottom w:val="outset" w:sz="6" w:space="0" w:color="008000"/>
              <w:right w:val="outset" w:sz="6" w:space="0" w:color="008000"/>
            </w:tcBorders>
            <w:hideMark/>
          </w:tcPr>
          <w:p w:rsidR="00497622" w:rsidRPr="00497622" w:rsidRDefault="00497622" w:rsidP="00497622">
            <w:r w:rsidRPr="00497622">
              <w:t>90</w:t>
            </w:r>
          </w:p>
        </w:tc>
        <w:tc>
          <w:tcPr>
            <w:tcW w:w="1350" w:type="pct"/>
            <w:tcBorders>
              <w:top w:val="outset" w:sz="6" w:space="0" w:color="008000"/>
              <w:left w:val="outset" w:sz="6" w:space="0" w:color="008000"/>
              <w:bottom w:val="outset" w:sz="6" w:space="0" w:color="008000"/>
              <w:right w:val="outset" w:sz="6" w:space="0" w:color="008000"/>
            </w:tcBorders>
            <w:hideMark/>
          </w:tcPr>
          <w:p w:rsidR="00497622" w:rsidRPr="00497622" w:rsidRDefault="00497622" w:rsidP="00497622">
            <w:r w:rsidRPr="00497622">
              <w:t>27</w:t>
            </w:r>
          </w:p>
        </w:tc>
        <w:tc>
          <w:tcPr>
            <w:tcW w:w="1550" w:type="pct"/>
            <w:tcBorders>
              <w:top w:val="outset" w:sz="6" w:space="0" w:color="008000"/>
              <w:left w:val="outset" w:sz="6" w:space="0" w:color="008000"/>
              <w:bottom w:val="outset" w:sz="6" w:space="0" w:color="008000"/>
              <w:right w:val="outset" w:sz="6" w:space="0" w:color="008000"/>
            </w:tcBorders>
            <w:hideMark/>
          </w:tcPr>
          <w:p w:rsidR="00497622" w:rsidRPr="00497622" w:rsidRDefault="00497622" w:rsidP="00497622">
            <w:r w:rsidRPr="00497622">
              <w:t>15</w:t>
            </w:r>
          </w:p>
        </w:tc>
      </w:tr>
    </w:tbl>
    <w:p w:rsidR="00497622" w:rsidRPr="00497622" w:rsidRDefault="00497622" w:rsidP="00497622">
      <w:r w:rsidRPr="00497622">
        <w:t>For very low values of lot concentration, the sample size may become very large. Suppose someone wants to detect a 0.01 percent lot concentration with a 99% probability. The required sample size would then be 46,050 kernels. Such a large sample, however, may not be appropriate for use with all testing methods. The available testing technology may not be able to process such a large sample, or may not have the sensitivity to detect one biotech kernel in 46,050. A sample that is "too large" may be tested by dividing it into equal sub-samples of smaller size. Each subsample will require testing, and none of the sub-samples may have a positive result.</w:t>
      </w:r>
    </w:p>
    <w:p w:rsidR="00497622" w:rsidRPr="00497622" w:rsidRDefault="00497622" w:rsidP="00497622">
      <w:r w:rsidRPr="00497622">
        <w:t>For example, a test kit may be able to detect one biotech kernel in 1000 kernels with a high degree of reliability, but not have the sensitivity to detect a 0.01 percent concentration. To achieve an appropriate sample size for the test kit, the 46,050-kernel sample can be divided into 47 subsamples of almost 1000 kernels each. All 47 subsamples would require testing. For the lot to be acceptable, none of the subsamples could have a positive result.</w:t>
      </w:r>
    </w:p>
    <w:p w:rsidR="00497622" w:rsidRPr="00497622" w:rsidRDefault="00497622" w:rsidP="00497622">
      <w:pPr>
        <w:rPr>
          <w:b/>
          <w:bCs/>
        </w:rPr>
      </w:pPr>
      <w:r w:rsidRPr="00497622">
        <w:rPr>
          <w:b/>
          <w:bCs/>
        </w:rPr>
        <w:t>Conclusions</w:t>
      </w:r>
    </w:p>
    <w:p w:rsidR="00497622" w:rsidRPr="00497622" w:rsidRDefault="00497622" w:rsidP="00497622">
      <w:r w:rsidRPr="00497622">
        <w:t>Using the information discussed in this paper, buyers and sellers can make informed decisions in select sampling plans. One sampling plan may not meet the need of both buyer and seller. This paper provides information that both may use to develop appropriate sampling plans to balance risk and cost.</w:t>
      </w:r>
    </w:p>
    <w:p w:rsidR="00497622" w:rsidRPr="00497622" w:rsidRDefault="00497622" w:rsidP="00497622">
      <w:bookmarkStart w:id="0" w:name="_GoBack"/>
      <w:bookmarkEnd w:id="0"/>
    </w:p>
    <w:p w:rsidR="00497622" w:rsidRPr="00497622" w:rsidRDefault="00497622" w:rsidP="00497622">
      <w:r w:rsidRPr="00497622">
        <w:t> </w:t>
      </w:r>
    </w:p>
    <w:p w:rsidR="00FE5F02" w:rsidRDefault="00FE5F02"/>
    <w:sectPr w:rsidR="00FE5F0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7622"/>
    <w:rsid w:val="0003661C"/>
    <w:rsid w:val="00497622"/>
    <w:rsid w:val="006527FE"/>
    <w:rsid w:val="00FE5F0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3BE9FA-B24C-481D-884F-B8ECB19D5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9762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5810252">
      <w:bodyDiv w:val="1"/>
      <w:marLeft w:val="0"/>
      <w:marRight w:val="0"/>
      <w:marTop w:val="0"/>
      <w:marBottom w:val="0"/>
      <w:divBdr>
        <w:top w:val="none" w:sz="0" w:space="0" w:color="auto"/>
        <w:left w:val="none" w:sz="0" w:space="0" w:color="auto"/>
        <w:bottom w:val="none" w:sz="0" w:space="0" w:color="auto"/>
        <w:right w:val="none" w:sz="0" w:space="0" w:color="auto"/>
      </w:divBdr>
      <w:divsChild>
        <w:div w:id="17608325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5528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ipsa.usda.gov/Publications/pub_fgis.html" TargetMode="External"/><Relationship Id="rId13" Type="http://schemas.openxmlformats.org/officeDocument/2006/relationships/image" Target="media/image7.gif"/><Relationship Id="rId18" Type="http://schemas.openxmlformats.org/officeDocument/2006/relationships/image" Target="media/image12.gif"/><Relationship Id="rId3" Type="http://schemas.openxmlformats.org/officeDocument/2006/relationships/webSettings" Target="webSettings.xml"/><Relationship Id="rId7" Type="http://schemas.openxmlformats.org/officeDocument/2006/relationships/image" Target="media/image2.gif"/><Relationship Id="rId12" Type="http://schemas.openxmlformats.org/officeDocument/2006/relationships/image" Target="media/image6.gif"/><Relationship Id="rId17" Type="http://schemas.openxmlformats.org/officeDocument/2006/relationships/image" Target="media/image11.gif"/><Relationship Id="rId2" Type="http://schemas.openxmlformats.org/officeDocument/2006/relationships/settings" Target="settings.xml"/><Relationship Id="rId16" Type="http://schemas.openxmlformats.org/officeDocument/2006/relationships/image" Target="media/image10.gif"/><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image" Target="media/image5.gif"/><Relationship Id="rId5" Type="http://schemas.openxmlformats.org/officeDocument/2006/relationships/hyperlink" Target="http://www.gipsa.usda.gov/Publications/fgis/handbooks/rice/rice-chapt02.pdf" TargetMode="External"/><Relationship Id="rId15" Type="http://schemas.openxmlformats.org/officeDocument/2006/relationships/image" Target="media/image9.gif"/><Relationship Id="rId10" Type="http://schemas.openxmlformats.org/officeDocument/2006/relationships/image" Target="media/image4.gif"/><Relationship Id="rId19" Type="http://schemas.openxmlformats.org/officeDocument/2006/relationships/fontTable" Target="fontTable.xml"/><Relationship Id="rId4" Type="http://schemas.openxmlformats.org/officeDocument/2006/relationships/hyperlink" Target="http://www.gipsa.usda.gov/Publications/fgis/handbooks/gihbk1_insphb.html" TargetMode="External"/><Relationship Id="rId9" Type="http://schemas.openxmlformats.org/officeDocument/2006/relationships/image" Target="media/image3.gif"/><Relationship Id="rId14" Type="http://schemas.openxmlformats.org/officeDocument/2006/relationships/image" Target="media/image8.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4523</Words>
  <Characters>25785</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gurider</dc:creator>
  <cp:keywords/>
  <dc:description/>
  <cp:lastModifiedBy>gurider</cp:lastModifiedBy>
  <cp:revision>2</cp:revision>
  <dcterms:created xsi:type="dcterms:W3CDTF">2017-06-16T05:17:00Z</dcterms:created>
  <dcterms:modified xsi:type="dcterms:W3CDTF">2017-06-16T05:17:00Z</dcterms:modified>
</cp:coreProperties>
</file>