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E62" w:rsidRDefault="00BC7708" w:rsidP="00962052">
      <w:r>
        <w:t xml:space="preserve">Many thanks to Ms. María Andrea </w:t>
      </w:r>
      <w:proofErr w:type="spellStart"/>
      <w:r w:rsidR="00207930">
        <w:t>Orjuela</w:t>
      </w:r>
      <w:proofErr w:type="spellEnd"/>
      <w:r w:rsidR="00207930">
        <w:t xml:space="preserve"> for monitoring this discussion. This response is submitted on behalf of the UK Synthetic </w:t>
      </w:r>
      <w:r w:rsidR="0071156F">
        <w:t>Biology</w:t>
      </w:r>
      <w:r w:rsidR="00207930">
        <w:t xml:space="preserve"> Leadership Council</w:t>
      </w:r>
      <w:r w:rsidR="0071156F">
        <w:t xml:space="preserve"> (SBLC)</w:t>
      </w:r>
      <w:r w:rsidR="00207930">
        <w:t xml:space="preserve"> and its Governance Subgroup</w:t>
      </w:r>
      <w:r w:rsidR="0071156F">
        <w:t xml:space="preserve"> (GSG). </w:t>
      </w:r>
      <w:r w:rsidR="00207930">
        <w:t xml:space="preserve"> </w:t>
      </w:r>
      <w:r w:rsidR="00FB243D">
        <w:t>(</w:t>
      </w:r>
      <w:hyperlink r:id="rId8" w:history="1">
        <w:r w:rsidR="00FB243D" w:rsidRPr="000B37F0">
          <w:rPr>
            <w:rStyle w:val="Hyperlink"/>
          </w:rPr>
          <w:t>https://www.gov.uk/government/groups/synthetic-biology-leadership-council</w:t>
        </w:r>
      </w:hyperlink>
      <w:r w:rsidR="00FB243D">
        <w:t>)</w:t>
      </w:r>
      <w:r w:rsidR="0071156F">
        <w:t>.</w:t>
      </w:r>
      <w:r w:rsidR="00FB243D">
        <w:t xml:space="preserve"> </w:t>
      </w:r>
      <w:r w:rsidR="0071156F">
        <w:t>It is relevant to many of the responses to Topic 1 in this O</w:t>
      </w:r>
      <w:r w:rsidR="00783E62">
        <w:t xml:space="preserve">nline </w:t>
      </w:r>
      <w:r w:rsidR="0071156F">
        <w:t>F</w:t>
      </w:r>
      <w:r w:rsidR="00783E62">
        <w:t>orum, and tak</w:t>
      </w:r>
      <w:r w:rsidR="0071156F">
        <w:t>es</w:t>
      </w:r>
      <w:r w:rsidR="00783E62">
        <w:t xml:space="preserve"> them forward in the context of the </w:t>
      </w:r>
      <w:r w:rsidR="0071156F">
        <w:t xml:space="preserve">second Topic. </w:t>
      </w:r>
    </w:p>
    <w:p w:rsidR="00377604" w:rsidRDefault="00147EE2" w:rsidP="00DB5E2A">
      <w:r>
        <w:t xml:space="preserve">While the focus of this </w:t>
      </w:r>
      <w:r w:rsidR="00AA0B2A">
        <w:t xml:space="preserve">second </w:t>
      </w:r>
      <w:r>
        <w:t xml:space="preserve">topic on evidence of benefits and risks is important, there is now a general recognition that we cannot ignore the role of regulatory and governance systems in interacting with scientific research and innovation process to determine future outcomes, </w:t>
      </w:r>
      <w:r w:rsidR="00683EB0">
        <w:t xml:space="preserve">particularly </w:t>
      </w:r>
      <w:r>
        <w:t xml:space="preserve">for biodiversity. Given that this Forum is intended to inform regulatory decision making for the next generation of innovative biotechnologies, it seems unwisely reductionist to discuss evidence of benefits and adverse effects without also considering the regulatory context that will have such a formative impact on </w:t>
      </w:r>
      <w:r w:rsidRPr="00DB5E2A">
        <w:t>innovation</w:t>
      </w:r>
      <w:r>
        <w:t xml:space="preserve"> trajectories and hence on the </w:t>
      </w:r>
      <w:r w:rsidR="00DB5E2A">
        <w:t xml:space="preserve">future </w:t>
      </w:r>
      <w:r>
        <w:t>emergence of effects on biodiversity, both positive and negative.</w:t>
      </w:r>
      <w:r w:rsidR="00DB5E2A">
        <w:t xml:space="preserve"> </w:t>
      </w:r>
      <w:r w:rsidR="00A8260C">
        <w:t xml:space="preserve">Regulation/innovation interactions go well beyond merely preventing products with unacceptable risks from being marketed. </w:t>
      </w:r>
      <w:r w:rsidR="0029694D">
        <w:t>The</w:t>
      </w:r>
      <w:r w:rsidR="00A8260C">
        <w:t>y will determine the innovation trajectory of entire industry sectors, including the research choices of scientists, the extent to which small companies are able to participate in shaping the product range of a sector, the balance between disruptive and incremental innovation in a sector, and eventually the relative competitive advantage of nations and regions</w:t>
      </w:r>
      <w:r w:rsidR="00377604">
        <w:rPr>
          <w:rStyle w:val="FootnoteReference"/>
        </w:rPr>
        <w:footnoteReference w:id="1"/>
      </w:r>
      <w:r w:rsidR="00A8260C">
        <w:t>.</w:t>
      </w:r>
      <w:r w:rsidR="006758E4">
        <w:t xml:space="preserve"> </w:t>
      </w:r>
    </w:p>
    <w:p w:rsidR="00DD540D" w:rsidRDefault="00DB5E2A" w:rsidP="006758E4">
      <w:r>
        <w:t>We should</w:t>
      </w:r>
      <w:r w:rsidR="00DD540D">
        <w:t xml:space="preserve"> recognise that </w:t>
      </w:r>
      <w:r>
        <w:t xml:space="preserve">these issues are also of concern for citizens in both positive and negative senses. </w:t>
      </w:r>
      <w:r w:rsidR="008627D2">
        <w:t xml:space="preserve">In many cases, particularly in the less developed parts of the world (see the references to Africa below), innovations arising from synthetic biology and gene editing can contribute significantly to major societal needs. </w:t>
      </w:r>
      <w:r>
        <w:t xml:space="preserve">It will be important to achieve a governance framework that allows </w:t>
      </w:r>
      <w:r w:rsidR="00DB7552">
        <w:t xml:space="preserve">citizens </w:t>
      </w:r>
      <w:r>
        <w:t xml:space="preserve">to take advantage of safe and effective benefits in a range of sectors, e.g. health, food security, </w:t>
      </w:r>
      <w:r w:rsidR="00AA0B2A">
        <w:t xml:space="preserve">and </w:t>
      </w:r>
      <w:r>
        <w:t xml:space="preserve">environmental protection. Failure in this endeavour will lead to such benefits being foregone </w:t>
      </w:r>
      <w:r w:rsidR="00980862">
        <w:t xml:space="preserve">and potentially avoidable harms being allowed to occur. </w:t>
      </w:r>
      <w:r w:rsidR="00DB7552">
        <w:t>As with potential adverse effects (already widely discussed under Topic 1), evidence of such benefits will not necessarily emerge from a short-term focus on specific technological solutions. This further emphasises the need: (</w:t>
      </w:r>
      <w:proofErr w:type="spellStart"/>
      <w:r w:rsidR="00DB7552">
        <w:t>i</w:t>
      </w:r>
      <w:proofErr w:type="spellEnd"/>
      <w:r w:rsidR="00DB7552">
        <w:t xml:space="preserve">) to ensure that the regulatory decisions we make today do not lead to serious </w:t>
      </w:r>
      <w:r w:rsidR="00683EB0">
        <w:t xml:space="preserve">deficits in </w:t>
      </w:r>
      <w:r w:rsidR="00DB7552">
        <w:t xml:space="preserve">innovation and </w:t>
      </w:r>
      <w:r w:rsidR="00683EB0">
        <w:t xml:space="preserve">its </w:t>
      </w:r>
      <w:r w:rsidR="00DB7552">
        <w:t>governance in ten to fifteen years’ time; and therefore (ii) to ensure that future regulatory systems are able to be adaptive to the needs of innovative technologies as our knowledge and understanding progresses.</w:t>
      </w:r>
    </w:p>
    <w:p w:rsidR="006C5012" w:rsidRDefault="00074F1B" w:rsidP="006758E4">
      <w:r>
        <w:t>Current r</w:t>
      </w:r>
      <w:r w:rsidR="006C5012">
        <w:t>egulatory systems</w:t>
      </w:r>
      <w:r>
        <w:t xml:space="preserve"> for GMOs are often described loosely as being </w:t>
      </w:r>
      <w:r w:rsidR="00586FA8">
        <w:t xml:space="preserve">either </w:t>
      </w:r>
      <w:r>
        <w:t>‘product-bas</w:t>
      </w:r>
      <w:r w:rsidR="00586FA8">
        <w:t>ed’ (in the USA and Canada), or</w:t>
      </w:r>
      <w:r>
        <w:t xml:space="preserve"> ‘process-based’ (particularly the EU and the CBD).The process-based regulatory approach has been </w:t>
      </w:r>
      <w:r w:rsidR="00683EB0">
        <w:t xml:space="preserve">most </w:t>
      </w:r>
      <w:r>
        <w:t>widely criticised</w:t>
      </w:r>
      <w:r w:rsidR="00B0326E">
        <w:t xml:space="preserve"> as having no rational basis</w:t>
      </w:r>
      <w:r>
        <w:t xml:space="preserve">, </w:t>
      </w:r>
      <w:r>
        <w:lastRenderedPageBreak/>
        <w:t>particularly that of the EU</w:t>
      </w:r>
      <w:r>
        <w:rPr>
          <w:rStyle w:val="FootnoteReference"/>
        </w:rPr>
        <w:footnoteReference w:id="2"/>
      </w:r>
      <w:r w:rsidR="00B0326E" w:rsidRPr="00B0326E">
        <w:rPr>
          <w:vertAlign w:val="superscript"/>
        </w:rPr>
        <w:t>,</w:t>
      </w:r>
      <w:r w:rsidR="00B0326E">
        <w:t xml:space="preserve"> </w:t>
      </w:r>
      <w:r w:rsidR="00B0326E">
        <w:rPr>
          <w:rStyle w:val="FootnoteReference"/>
        </w:rPr>
        <w:footnoteReference w:id="3"/>
      </w:r>
      <w:r>
        <w:t xml:space="preserve"> which is closely modelled on the CBD and its conventions. </w:t>
      </w:r>
      <w:r w:rsidR="00B0326E">
        <w:t>However, the US attempts to adapt their product-based system to the regulatory needs of gene editing have also been criticised</w:t>
      </w:r>
      <w:r w:rsidR="00B0326E">
        <w:rPr>
          <w:rStyle w:val="FootnoteReference"/>
        </w:rPr>
        <w:footnoteReference w:id="4"/>
      </w:r>
      <w:r w:rsidR="00B0326E">
        <w:t xml:space="preserve"> and there is a growing consensus that the regulation of innovations based on advanced biotechnologies needs a radical re-think.</w:t>
      </w:r>
    </w:p>
    <w:p w:rsidR="006758E4" w:rsidRDefault="006758E4" w:rsidP="006758E4">
      <w:r>
        <w:t>Governments internationally are now aware of these interactions</w:t>
      </w:r>
      <w:r w:rsidR="00F32585">
        <w:t xml:space="preserve"> and are </w:t>
      </w:r>
      <w:r w:rsidR="00FB6116">
        <w:t>adjusting their guidance to regulators accordingly</w:t>
      </w:r>
      <w:r w:rsidR="00F32585">
        <w:t>.</w:t>
      </w:r>
      <w:r>
        <w:t xml:space="preserve"> </w:t>
      </w:r>
      <w:r w:rsidR="00F32585">
        <w:t>F</w:t>
      </w:r>
      <w:r>
        <w:t xml:space="preserve">or example in the EU three principles are now in place to guide </w:t>
      </w:r>
      <w:r w:rsidR="00F32585">
        <w:t xml:space="preserve">regulatory </w:t>
      </w:r>
      <w:r>
        <w:t xml:space="preserve">decision making - </w:t>
      </w:r>
      <w:r w:rsidRPr="004D48DB">
        <w:t xml:space="preserve">the </w:t>
      </w:r>
      <w:r w:rsidRPr="006758E4">
        <w:t>innovation principle</w:t>
      </w:r>
      <w:r>
        <w:rPr>
          <w:rStyle w:val="FootnoteReference"/>
          <w:b/>
        </w:rPr>
        <w:footnoteReference w:id="5"/>
      </w:r>
      <w:r>
        <w:t>, backed up by</w:t>
      </w:r>
      <w:r w:rsidRPr="004D48DB">
        <w:t xml:space="preserve"> the</w:t>
      </w:r>
      <w:r>
        <w:t xml:space="preserve"> regulatory</w:t>
      </w:r>
      <w:r w:rsidRPr="004D48DB">
        <w:t xml:space="preserve"> </w:t>
      </w:r>
      <w:r w:rsidRPr="006758E4">
        <w:t>principles of proportionality and adaptation</w:t>
      </w:r>
      <w:r w:rsidRPr="006758E4">
        <w:rPr>
          <w:vertAlign w:val="superscript"/>
        </w:rPr>
        <w:footnoteReference w:id="6"/>
      </w:r>
      <w:r w:rsidRPr="006758E4">
        <w:t>.</w:t>
      </w:r>
      <w:r w:rsidR="00F32585">
        <w:t xml:space="preserve"> </w:t>
      </w:r>
      <w:r w:rsidR="00377604">
        <w:t xml:space="preserve">A </w:t>
      </w:r>
      <w:r w:rsidR="00A31981">
        <w:t xml:space="preserve">recent </w:t>
      </w:r>
      <w:r w:rsidR="00377604">
        <w:t>report</w:t>
      </w:r>
      <w:r w:rsidR="00A31981">
        <w:rPr>
          <w:rStyle w:val="FootnoteReference"/>
        </w:rPr>
        <w:footnoteReference w:id="7"/>
      </w:r>
      <w:r w:rsidR="00377604">
        <w:t xml:space="preserve"> from the Netherlands Commission on Genetic Modification (</w:t>
      </w:r>
      <w:proofErr w:type="spellStart"/>
      <w:r w:rsidR="00377604">
        <w:t>Cogem</w:t>
      </w:r>
      <w:proofErr w:type="spellEnd"/>
      <w:r w:rsidR="00377604">
        <w:t xml:space="preserve">) makes the points that: </w:t>
      </w:r>
      <w:r w:rsidR="00013873">
        <w:t>(</w:t>
      </w:r>
      <w:proofErr w:type="spellStart"/>
      <w:r w:rsidR="00013873">
        <w:t>i</w:t>
      </w:r>
      <w:proofErr w:type="spellEnd"/>
      <w:r w:rsidR="00013873">
        <w:t xml:space="preserve">) </w:t>
      </w:r>
      <w:r w:rsidR="00377604">
        <w:t>only large companies can afford the high costs of meeting the current EU regulatory requirements and so avoiding the GMO legislation has become a driver for innovation</w:t>
      </w:r>
      <w:r w:rsidR="00545BC1">
        <w:t xml:space="preserve"> in synthetic biology and gene editing</w:t>
      </w:r>
      <w:r w:rsidR="00377604">
        <w:t xml:space="preserve">; </w:t>
      </w:r>
      <w:r w:rsidR="00013873">
        <w:t xml:space="preserve">(ii) </w:t>
      </w:r>
      <w:r w:rsidR="00377604">
        <w:t xml:space="preserve">given the need for regulatory reform, in future more emphasis will be placed on ‘the product’ rather than the techniques used to create it; and </w:t>
      </w:r>
      <w:r w:rsidR="00013873">
        <w:t xml:space="preserve">(iii) </w:t>
      </w:r>
      <w:r w:rsidR="00377604">
        <w:t xml:space="preserve">analysis of the risks of biotechnology applications should be weighed against the benefits or value. </w:t>
      </w:r>
      <w:r w:rsidR="00013873">
        <w:t>Similar moves are under way in other parts of the world, particularly Africa</w:t>
      </w:r>
      <w:r w:rsidR="000577D7">
        <w:rPr>
          <w:rStyle w:val="FootnoteReference"/>
        </w:rPr>
        <w:footnoteReference w:id="8"/>
      </w:r>
      <w:r w:rsidR="000577D7" w:rsidRPr="000577D7">
        <w:rPr>
          <w:vertAlign w:val="superscript"/>
        </w:rPr>
        <w:t>,</w:t>
      </w:r>
      <w:r w:rsidR="00A31981">
        <w:t xml:space="preserve"> </w:t>
      </w:r>
      <w:r w:rsidR="000577D7">
        <w:rPr>
          <w:rStyle w:val="FootnoteReference"/>
        </w:rPr>
        <w:footnoteReference w:id="9"/>
      </w:r>
      <w:r w:rsidR="000577D7">
        <w:t>.</w:t>
      </w:r>
      <w:r w:rsidR="00F13985">
        <w:t xml:space="preserve"> </w:t>
      </w:r>
    </w:p>
    <w:p w:rsidR="000577D7" w:rsidRDefault="000577D7" w:rsidP="008627D2">
      <w:r>
        <w:t>These factors are behind the</w:t>
      </w:r>
      <w:r w:rsidR="00545BC1">
        <w:t xml:space="preserve"> frequent contributions to</w:t>
      </w:r>
      <w:r>
        <w:t xml:space="preserve"> this Online Forum</w:t>
      </w:r>
      <w:r w:rsidR="00336389">
        <w:t xml:space="preserve"> </w:t>
      </w:r>
      <w:r w:rsidR="00DD540D">
        <w:t xml:space="preserve">that </w:t>
      </w:r>
      <w:r w:rsidR="00336389">
        <w:t>r</w:t>
      </w:r>
      <w:r w:rsidR="00764B11">
        <w:t>e</w:t>
      </w:r>
      <w:r w:rsidR="00336389">
        <w:t xml:space="preserve">open discussion of </w:t>
      </w:r>
      <w:r>
        <w:t xml:space="preserve">the definition </w:t>
      </w:r>
      <w:r w:rsidR="00336389">
        <w:t xml:space="preserve">of </w:t>
      </w:r>
      <w:r>
        <w:t xml:space="preserve">synthetic biology. </w:t>
      </w:r>
      <w:r w:rsidR="00B0326E">
        <w:t xml:space="preserve">This is inevitable because </w:t>
      </w:r>
      <w:r w:rsidR="00FB243D">
        <w:t>h</w:t>
      </w:r>
      <w:r>
        <w:t xml:space="preserve">ow we define </w:t>
      </w:r>
      <w:r w:rsidR="00764B11">
        <w:t xml:space="preserve">the process of </w:t>
      </w:r>
      <w:r>
        <w:t>synthetic biology</w:t>
      </w:r>
      <w:r w:rsidR="00764B11">
        <w:t xml:space="preserve"> or gene editing</w:t>
      </w:r>
      <w:r w:rsidR="00336389">
        <w:t xml:space="preserve"> is not a neutral decision – it</w:t>
      </w:r>
      <w:r>
        <w:t xml:space="preserve"> will determine the extent to which </w:t>
      </w:r>
      <w:r w:rsidR="004F21EA">
        <w:t>these technologies are</w:t>
      </w:r>
      <w:r>
        <w:t xml:space="preserve"> captured by </w:t>
      </w:r>
      <w:r w:rsidR="00FB243D">
        <w:t xml:space="preserve">the </w:t>
      </w:r>
      <w:r>
        <w:t>existing regulatory system</w:t>
      </w:r>
      <w:r w:rsidR="00FB243D">
        <w:t xml:space="preserve"> with all its perceived disadvantages</w:t>
      </w:r>
      <w:r w:rsidR="00336389">
        <w:t xml:space="preserve">. </w:t>
      </w:r>
      <w:r w:rsidR="008627D2">
        <w:t>A</w:t>
      </w:r>
      <w:r w:rsidR="00980862">
        <w:t xml:space="preserve">nd once a definition has been accepted as the basis of a </w:t>
      </w:r>
      <w:r w:rsidR="00980862">
        <w:lastRenderedPageBreak/>
        <w:t>regulatory system, it is no longer able to be modified</w:t>
      </w:r>
      <w:r w:rsidR="00942643">
        <w:t>, limiting the extent to which the regulatory system can be adapted to future needs of an innovative technology</w:t>
      </w:r>
      <w:r w:rsidR="00980862">
        <w:t xml:space="preserve">. </w:t>
      </w:r>
      <w:r w:rsidR="00AD723C">
        <w:t>There is very considerable</w:t>
      </w:r>
      <w:r w:rsidR="00147EE2">
        <w:t>, and justified,</w:t>
      </w:r>
      <w:r w:rsidR="00AD723C">
        <w:t xml:space="preserve"> concern among many people working in this area that th</w:t>
      </w:r>
      <w:r w:rsidR="004F21EA">
        <w:t>e current</w:t>
      </w:r>
      <w:r w:rsidR="00AD723C">
        <w:t xml:space="preserve"> temporary operational definition</w:t>
      </w:r>
      <w:r w:rsidR="004F21EA">
        <w:t xml:space="preserve"> </w:t>
      </w:r>
      <w:r w:rsidR="00147EE2">
        <w:t xml:space="preserve">of synthetic biology </w:t>
      </w:r>
      <w:r w:rsidR="004F21EA">
        <w:t>will become de facto the formal accepted definition</w:t>
      </w:r>
      <w:r w:rsidR="00AD723C">
        <w:t xml:space="preserve"> if it is not further explored and discussed</w:t>
      </w:r>
      <w:r w:rsidR="004F21EA">
        <w:t xml:space="preserve"> when opportunities like this arise. </w:t>
      </w:r>
      <w:r w:rsidR="008627D2">
        <w:t xml:space="preserve">However, the central importance of the definition of synthetic biology </w:t>
      </w:r>
      <w:r w:rsidR="00AA0B2A">
        <w:t xml:space="preserve">would </w:t>
      </w:r>
      <w:r w:rsidR="008627D2">
        <w:t>disappear in a regulatory system that is based on the properties of the product rather than the process (synthetic biology) by which it was developed.</w:t>
      </w:r>
    </w:p>
    <w:p w:rsidR="00AB4046" w:rsidRDefault="004F21EA" w:rsidP="001311EA">
      <w:r>
        <w:t>The above comments make the case that t</w:t>
      </w:r>
      <w:r w:rsidR="00962052">
        <w:t>he</w:t>
      </w:r>
      <w:r w:rsidR="00AF737F">
        <w:t xml:space="preserve"> nature and mode of operation of the CBD and </w:t>
      </w:r>
      <w:r w:rsidR="00A31981">
        <w:t xml:space="preserve">of </w:t>
      </w:r>
      <w:r w:rsidR="00AF737F">
        <w:t>its protocols</w:t>
      </w:r>
      <w:r w:rsidR="006A7776">
        <w:t xml:space="preserve"> should be part of th</w:t>
      </w:r>
      <w:r w:rsidR="00FB6116">
        <w:t>e</w:t>
      </w:r>
      <w:r w:rsidR="006A7776">
        <w:t>s</w:t>
      </w:r>
      <w:r w:rsidR="00FB6116">
        <w:t>e</w:t>
      </w:r>
      <w:r w:rsidR="006A7776">
        <w:t xml:space="preserve"> discussion</w:t>
      </w:r>
      <w:r w:rsidR="00FB6116">
        <w:t>s</w:t>
      </w:r>
      <w:r w:rsidR="006A7776">
        <w:t>. They</w:t>
      </w:r>
      <w:r w:rsidR="00AF737F">
        <w:t xml:space="preserve"> will greatly influence the extent of the </w:t>
      </w:r>
      <w:r w:rsidR="00A31981">
        <w:t xml:space="preserve">potential </w:t>
      </w:r>
      <w:r w:rsidR="00962052">
        <w:t xml:space="preserve">contribution of </w:t>
      </w:r>
      <w:r w:rsidR="00AF737F">
        <w:t>synthetic biology and gene editing</w:t>
      </w:r>
      <w:r w:rsidR="00962052">
        <w:t xml:space="preserve"> to </w:t>
      </w:r>
      <w:r w:rsidR="00962052" w:rsidRPr="00962052">
        <w:t>the conservation of biological diversity</w:t>
      </w:r>
      <w:r w:rsidR="00962052">
        <w:t>, t</w:t>
      </w:r>
      <w:r w:rsidR="00962052" w:rsidRPr="00962052">
        <w:t>he sustainable use of the components of biological diversity</w:t>
      </w:r>
      <w:r w:rsidR="00962052">
        <w:t>, and t</w:t>
      </w:r>
      <w:r w:rsidR="00962052" w:rsidRPr="00962052">
        <w:t>he fair and equitable sharing of the benefits</w:t>
      </w:r>
      <w:r w:rsidR="00962052">
        <w:t>.</w:t>
      </w:r>
      <w:r w:rsidR="006A7776" w:rsidRPr="006A7776">
        <w:t xml:space="preserve"> </w:t>
      </w:r>
      <w:r w:rsidR="006A7776">
        <w:t>Rather than treating the regulatory system itself as an immutable constant and developing only those innovations that are able to meet its requirements, i</w:t>
      </w:r>
      <w:r w:rsidR="00AF737F">
        <w:t xml:space="preserve">t is important to consider how we </w:t>
      </w:r>
      <w:r w:rsidR="006A7776">
        <w:t xml:space="preserve">could, where necessary and appropriate, </w:t>
      </w:r>
      <w:r w:rsidR="00AF737F">
        <w:t xml:space="preserve">adapt </w:t>
      </w:r>
      <w:r w:rsidR="00A31981">
        <w:t xml:space="preserve">the </w:t>
      </w:r>
      <w:r w:rsidR="001311EA">
        <w:t xml:space="preserve">CBD and its protocols </w:t>
      </w:r>
      <w:r w:rsidR="00AF737F">
        <w:t>to the needs of innovative technologies</w:t>
      </w:r>
      <w:r w:rsidR="006A7776">
        <w:t>, in order to maximise the</w:t>
      </w:r>
      <w:r w:rsidR="00DF5ADD">
        <w:t>ir</w:t>
      </w:r>
      <w:r w:rsidR="006A7776">
        <w:t xml:space="preserve"> benefits and the</w:t>
      </w:r>
      <w:r w:rsidR="00DF5ADD">
        <w:t>ir</w:t>
      </w:r>
      <w:r w:rsidR="006A7776">
        <w:t xml:space="preserve"> contributions to the CBD objectives.</w:t>
      </w:r>
      <w:r w:rsidR="00AF737F">
        <w:t xml:space="preserve"> </w:t>
      </w:r>
    </w:p>
    <w:p w:rsidR="00AF737F" w:rsidRDefault="007E4D45" w:rsidP="001311EA">
      <w:r>
        <w:t xml:space="preserve">Discussions so far in this Forum have demonstrated that the scale and diversity of scientific discoveries and potential innovative developments in this area cannot be addressed without evolution </w:t>
      </w:r>
      <w:r w:rsidR="00980862">
        <w:t xml:space="preserve">and adaptation </w:t>
      </w:r>
      <w:r>
        <w:t>of the regulatory provisions of the CBD</w:t>
      </w:r>
      <w:r w:rsidR="00980862">
        <w:t xml:space="preserve"> itself, to </w:t>
      </w:r>
      <w:r>
        <w:t>allow a range of different regulatory provisions to be applied to different developments of syn</w:t>
      </w:r>
      <w:r w:rsidR="00DD540D">
        <w:t>thetic biology and gene editing</w:t>
      </w:r>
      <w:r w:rsidR="00AB4046">
        <w:t>, rather than the current process based approach that has only two options – to capture or not to capture synthetic biology and gene editing within the provisions of the current CBD and its protocols</w:t>
      </w:r>
      <w:r w:rsidR="00DD540D">
        <w:t xml:space="preserve">. </w:t>
      </w:r>
    </w:p>
    <w:p w:rsidR="00AA0B2A" w:rsidRPr="00AB4046" w:rsidRDefault="00B66824" w:rsidP="00EA3F7F">
      <w:pPr>
        <w:rPr>
          <w:rFonts w:cs="Arial"/>
          <w:bCs/>
        </w:rPr>
      </w:pPr>
      <w:r>
        <w:t>Considering how</w:t>
      </w:r>
      <w:r w:rsidR="00DD540D">
        <w:t xml:space="preserve"> such adaptations</w:t>
      </w:r>
      <w:r>
        <w:t xml:space="preserve"> might be achieved, a</w:t>
      </w:r>
      <w:r w:rsidR="006A7776">
        <w:t xml:space="preserve"> project</w:t>
      </w:r>
      <w:r>
        <w:t xml:space="preserve"> </w:t>
      </w:r>
      <w:r w:rsidR="006A7776">
        <w:t>funded by the British Standards Institution</w:t>
      </w:r>
      <w:r w:rsidR="001311EA">
        <w:t xml:space="preserve"> and the UK Economic and Social Research Council,</w:t>
      </w:r>
      <w:r w:rsidR="006A7776">
        <w:t xml:space="preserve"> has consider</w:t>
      </w:r>
      <w:r w:rsidR="00DB7552">
        <w:t>ed</w:t>
      </w:r>
      <w:r w:rsidR="006A7776">
        <w:t xml:space="preserve"> how standards can contribute to such an adaptation process</w:t>
      </w:r>
      <w:r w:rsidR="00BD1D8F">
        <w:rPr>
          <w:rStyle w:val="FootnoteReference"/>
        </w:rPr>
        <w:footnoteReference w:id="10"/>
      </w:r>
      <w:r w:rsidR="00DB7552">
        <w:t xml:space="preserve">. </w:t>
      </w:r>
      <w:r w:rsidR="00BD1D8F">
        <w:t>This project has bee</w:t>
      </w:r>
      <w:r w:rsidR="00EA3F7F">
        <w:t>n</w:t>
      </w:r>
      <w:r w:rsidR="00BD1D8F">
        <w:t xml:space="preserve"> supported by the SBLC, as contributing to</w:t>
      </w:r>
      <w:r w:rsidR="00EA3F7F">
        <w:t xml:space="preserve"> Recommendation 4 of its Synthetic Biology Strategy: “</w:t>
      </w:r>
      <w:r w:rsidR="00EA3F7F">
        <w:t>Develop a supportive business environment by ensuring that regulation and governance systems are proportionate and appropriate to the needs of industry and that these are aligned with the needs and desires of stakeholders</w:t>
      </w:r>
      <w:r w:rsidR="00EA3F7F">
        <w:t>”</w:t>
      </w:r>
      <w:r w:rsidR="00EA3F7F">
        <w:rPr>
          <w:rStyle w:val="FootnoteReference"/>
        </w:rPr>
        <w:footnoteReference w:id="11"/>
      </w:r>
      <w:r w:rsidR="00EA3F7F">
        <w:t>.</w:t>
      </w:r>
      <w:r w:rsidR="00BD1D8F">
        <w:t xml:space="preserve"> </w:t>
      </w:r>
      <w:r w:rsidR="00EA3F7F">
        <w:t xml:space="preserve">Standards </w:t>
      </w:r>
      <w:r w:rsidR="00AB4046">
        <w:t xml:space="preserve">can have an important role </w:t>
      </w:r>
      <w:r w:rsidR="006A7776">
        <w:t>in adapting existing regulations to meet the needs of innovative technologies</w:t>
      </w:r>
      <w:r w:rsidR="00AB4046">
        <w:t>.</w:t>
      </w:r>
      <w:r w:rsidR="00BD1D8F">
        <w:t xml:space="preserve"> In addition, most relevant to this discussion, they can have a role</w:t>
      </w:r>
      <w:r w:rsidR="006A7776">
        <w:t xml:space="preserve"> in the early stages of considering how to regulate a </w:t>
      </w:r>
      <w:r w:rsidR="00AA0B2A">
        <w:t xml:space="preserve">new and </w:t>
      </w:r>
      <w:r w:rsidR="006A7776">
        <w:t>disruptive innovative technology</w:t>
      </w:r>
      <w:r w:rsidR="00BD1D8F">
        <w:t>. In advance of making</w:t>
      </w:r>
      <w:r w:rsidR="006A7776">
        <w:t xml:space="preserve"> a final decision on the relevant regulatory </w:t>
      </w:r>
      <w:r w:rsidR="00BD1D8F">
        <w:t>regime</w:t>
      </w:r>
      <w:r w:rsidR="00AB4046">
        <w:t xml:space="preserve"> they can allow considerations of safety, quality and efficacy to be included in the development of an innovation while discussions</w:t>
      </w:r>
      <w:r w:rsidR="00BD1D8F">
        <w:t xml:space="preserve"> on the most appropriate mode of future regulation</w:t>
      </w:r>
      <w:r w:rsidR="00AB4046">
        <w:t xml:space="preserve"> take place</w:t>
      </w:r>
      <w:r w:rsidR="006A7776">
        <w:t xml:space="preserve">. </w:t>
      </w:r>
      <w:r w:rsidR="00BD1D8F">
        <w:t xml:space="preserve">In some cases, through this </w:t>
      </w:r>
      <w:r w:rsidR="001311EA">
        <w:t>approach</w:t>
      </w:r>
      <w:r w:rsidR="00BD1D8F">
        <w:t>, decision makers</w:t>
      </w:r>
      <w:r w:rsidR="001311EA">
        <w:t xml:space="preserve"> could </w:t>
      </w:r>
      <w:r w:rsidR="00EA3F7F">
        <w:t xml:space="preserve">conclude </w:t>
      </w:r>
      <w:r w:rsidR="00BD1D8F">
        <w:t xml:space="preserve">that there is no need </w:t>
      </w:r>
      <w:r w:rsidR="001311EA">
        <w:rPr>
          <w:rFonts w:cs="Arial"/>
          <w:bCs/>
        </w:rPr>
        <w:t>for</w:t>
      </w:r>
      <w:r w:rsidR="00BD1D8F">
        <w:rPr>
          <w:rFonts w:cs="Arial"/>
          <w:bCs/>
        </w:rPr>
        <w:t xml:space="preserve"> formal regulatory </w:t>
      </w:r>
      <w:r w:rsidR="00EA3F7F">
        <w:rPr>
          <w:rFonts w:cs="Arial"/>
          <w:bCs/>
        </w:rPr>
        <w:t xml:space="preserve">oversight and that </w:t>
      </w:r>
      <w:r w:rsidR="001311EA">
        <w:rPr>
          <w:rFonts w:cs="Arial"/>
          <w:bCs/>
        </w:rPr>
        <w:t xml:space="preserve">standards and guidelines could be used to deliver an acceptable outcome, thereby </w:t>
      </w:r>
      <w:r w:rsidR="00AB4046">
        <w:rPr>
          <w:rFonts w:cs="Arial"/>
          <w:bCs/>
        </w:rPr>
        <w:t>mov</w:t>
      </w:r>
      <w:r w:rsidR="00EA3F7F">
        <w:rPr>
          <w:rFonts w:cs="Arial"/>
          <w:bCs/>
        </w:rPr>
        <w:t>ing</w:t>
      </w:r>
      <w:r w:rsidR="00AB4046">
        <w:rPr>
          <w:rFonts w:cs="Arial"/>
          <w:bCs/>
        </w:rPr>
        <w:t xml:space="preserve"> some </w:t>
      </w:r>
      <w:r w:rsidR="001311EA">
        <w:rPr>
          <w:rFonts w:cs="Arial"/>
          <w:bCs/>
        </w:rPr>
        <w:t xml:space="preserve">innovative developments into a </w:t>
      </w:r>
      <w:r w:rsidR="00AB4046">
        <w:rPr>
          <w:rFonts w:cs="Arial"/>
          <w:bCs/>
        </w:rPr>
        <w:t xml:space="preserve">more proportionate </w:t>
      </w:r>
      <w:r w:rsidR="001311EA">
        <w:rPr>
          <w:rFonts w:cs="Arial"/>
          <w:bCs/>
        </w:rPr>
        <w:t>regulatory space.</w:t>
      </w:r>
      <w:bookmarkStart w:id="0" w:name="_GoBack"/>
      <w:bookmarkEnd w:id="0"/>
    </w:p>
    <w:sectPr w:rsidR="00AA0B2A" w:rsidRPr="00AB40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8E4" w:rsidRDefault="006758E4" w:rsidP="006758E4">
      <w:pPr>
        <w:spacing w:after="0"/>
      </w:pPr>
      <w:r>
        <w:separator/>
      </w:r>
    </w:p>
  </w:endnote>
  <w:endnote w:type="continuationSeparator" w:id="0">
    <w:p w:rsidR="006758E4" w:rsidRDefault="006758E4" w:rsidP="006758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8E4" w:rsidRDefault="006758E4" w:rsidP="006758E4">
      <w:pPr>
        <w:spacing w:after="0"/>
      </w:pPr>
      <w:r>
        <w:separator/>
      </w:r>
    </w:p>
  </w:footnote>
  <w:footnote w:type="continuationSeparator" w:id="0">
    <w:p w:rsidR="006758E4" w:rsidRDefault="006758E4" w:rsidP="006758E4">
      <w:pPr>
        <w:spacing w:after="0"/>
      </w:pPr>
      <w:r>
        <w:continuationSeparator/>
      </w:r>
    </w:p>
  </w:footnote>
  <w:footnote w:id="1">
    <w:p w:rsidR="00377604" w:rsidRDefault="00377604">
      <w:pPr>
        <w:pStyle w:val="FootnoteText"/>
      </w:pPr>
      <w:r>
        <w:rPr>
          <w:rStyle w:val="FootnoteReference"/>
        </w:rPr>
        <w:footnoteRef/>
      </w:r>
      <w:r>
        <w:t xml:space="preserve"> Tait, J. (2007) Systemic Interactions in Life Science Innovation. </w:t>
      </w:r>
      <w:r>
        <w:rPr>
          <w:i/>
        </w:rPr>
        <w:t>Technology Analysis and Strategic Management, 19(3),</w:t>
      </w:r>
      <w:r>
        <w:t xml:space="preserve"> 257-277, May 2007</w:t>
      </w:r>
    </w:p>
  </w:footnote>
  <w:footnote w:id="2">
    <w:p w:rsidR="00074F1B" w:rsidRDefault="00074F1B" w:rsidP="00074F1B">
      <w:r>
        <w:rPr>
          <w:rStyle w:val="FootnoteReference"/>
        </w:rPr>
        <w:footnoteRef/>
      </w:r>
      <w:r>
        <w:t xml:space="preserve"> </w:t>
      </w:r>
      <w:proofErr w:type="spellStart"/>
      <w:r>
        <w:t>Baulcombe</w:t>
      </w:r>
      <w:proofErr w:type="spellEnd"/>
      <w:r>
        <w:t>, D.</w:t>
      </w:r>
      <w:r w:rsidR="00B0326E">
        <w:rPr>
          <w:i/>
        </w:rPr>
        <w:t>et al.</w:t>
      </w:r>
      <w:r>
        <w:t xml:space="preserve"> (2014). </w:t>
      </w:r>
      <w:r>
        <w:rPr>
          <w:i/>
        </w:rPr>
        <w:t xml:space="preserve">GM Science Update: a report to the Council for Science and Technology. </w:t>
      </w:r>
      <w:hyperlink r:id="rId1" w:history="1">
        <w:r w:rsidRPr="0024633A">
          <w:rPr>
            <w:rStyle w:val="Hyperlink"/>
          </w:rPr>
          <w:t>https://www.gov.uk/government/uploads/system/uploads/attachment_data/file/292174/cst-14-634a-gm-science-update.pdf</w:t>
        </w:r>
      </w:hyperlink>
    </w:p>
  </w:footnote>
  <w:footnote w:id="3">
    <w:p w:rsidR="00B0326E" w:rsidRPr="00B0326E" w:rsidRDefault="00B0326E">
      <w:pPr>
        <w:pStyle w:val="FootnoteText"/>
      </w:pPr>
      <w:r>
        <w:rPr>
          <w:rStyle w:val="FootnoteReference"/>
        </w:rPr>
        <w:footnoteRef/>
      </w:r>
      <w:r>
        <w:t xml:space="preserve"> Carroll, D. </w:t>
      </w:r>
      <w:r>
        <w:rPr>
          <w:i/>
        </w:rPr>
        <w:t xml:space="preserve">et al. </w:t>
      </w:r>
      <w:r>
        <w:t xml:space="preserve">(2016) Regulate genome edited products, not genome editing itself. </w:t>
      </w:r>
      <w:r>
        <w:rPr>
          <w:i/>
        </w:rPr>
        <w:t>Nature Biotechnology</w:t>
      </w:r>
      <w:r>
        <w:t>, 34(5), 478-479.</w:t>
      </w:r>
    </w:p>
  </w:footnote>
  <w:footnote w:id="4">
    <w:p w:rsidR="00B0326E" w:rsidRDefault="00B0326E">
      <w:pPr>
        <w:pStyle w:val="FootnoteText"/>
      </w:pPr>
      <w:r>
        <w:rPr>
          <w:rStyle w:val="FootnoteReference"/>
        </w:rPr>
        <w:footnoteRef/>
      </w:r>
      <w:r>
        <w:t xml:space="preserve"> </w:t>
      </w:r>
      <w:proofErr w:type="spellStart"/>
      <w:r>
        <w:t>Kuzma</w:t>
      </w:r>
      <w:proofErr w:type="spellEnd"/>
      <w:r>
        <w:t xml:space="preserve">, J. (2016) Re-boot the debate on genetic engineering. Nature, 531, 165-167. </w:t>
      </w:r>
    </w:p>
  </w:footnote>
  <w:footnote w:id="5">
    <w:p w:rsidR="006758E4" w:rsidRDefault="006758E4" w:rsidP="006758E4">
      <w:pPr>
        <w:pStyle w:val="FootnoteText"/>
      </w:pPr>
      <w:r>
        <w:rPr>
          <w:rStyle w:val="FootnoteReference"/>
        </w:rPr>
        <w:footnoteRef/>
      </w:r>
      <w:r>
        <w:t xml:space="preserve"> European Political Strategy Centre, (2016) </w:t>
      </w:r>
      <w:r>
        <w:rPr>
          <w:i/>
        </w:rPr>
        <w:t xml:space="preserve">Opportunity Now: Europe’s Mission to Innovate. </w:t>
      </w:r>
      <w:r>
        <w:t>EPSC Strategic Notes, Issue 15, 5 July, 2016.  (</w:t>
      </w:r>
      <w:hyperlink r:id="rId2" w:history="1">
        <w:r w:rsidRPr="00C5135C">
          <w:rPr>
            <w:rStyle w:val="Hyperlink"/>
          </w:rPr>
          <w:t>https://ec.europa.eu/epsc/sites/epsc/files/strategic_note_issue_15.pdf</w:t>
        </w:r>
      </w:hyperlink>
      <w:r>
        <w:t>)</w:t>
      </w:r>
    </w:p>
  </w:footnote>
  <w:footnote w:id="6">
    <w:p w:rsidR="006758E4" w:rsidRDefault="006758E4" w:rsidP="006758E4">
      <w:pPr>
        <w:pStyle w:val="FootnoteText"/>
      </w:pPr>
      <w:r>
        <w:rPr>
          <w:rStyle w:val="FootnoteReference"/>
        </w:rPr>
        <w:footnoteRef/>
      </w:r>
      <w:r>
        <w:t xml:space="preserve"> European Political Strategy Centre, (2016) </w:t>
      </w:r>
      <w:r>
        <w:rPr>
          <w:i/>
        </w:rPr>
        <w:t>Towards an Innovation Principle Endorsed by Better Regulation.</w:t>
      </w:r>
      <w:r>
        <w:t xml:space="preserve"> EPSC Strategic Notes, Issue 14, 30 June 2016.   </w:t>
      </w:r>
      <w:hyperlink r:id="rId3" w:history="1">
        <w:r w:rsidRPr="00C5135C">
          <w:rPr>
            <w:rStyle w:val="Hyperlink"/>
          </w:rPr>
          <w:t>https://ec.europa.eu/epsc/sites/epsc/files/strategic_note_issue_14.pdf</w:t>
        </w:r>
      </w:hyperlink>
      <w:r>
        <w:t xml:space="preserve"> </w:t>
      </w:r>
    </w:p>
  </w:footnote>
  <w:footnote w:id="7">
    <w:p w:rsidR="00A31981" w:rsidRDefault="00A31981">
      <w:pPr>
        <w:pStyle w:val="FootnoteText"/>
      </w:pPr>
      <w:r>
        <w:rPr>
          <w:rStyle w:val="FootnoteReference"/>
        </w:rPr>
        <w:footnoteRef/>
      </w:r>
      <w:r>
        <w:t xml:space="preserve"> </w:t>
      </w:r>
      <w:proofErr w:type="spellStart"/>
      <w:r>
        <w:t>Cogem</w:t>
      </w:r>
      <w:proofErr w:type="spellEnd"/>
      <w:r>
        <w:t xml:space="preserve"> (2016) </w:t>
      </w:r>
      <w:r w:rsidRPr="00A31981">
        <w:rPr>
          <w:i/>
        </w:rPr>
        <w:t xml:space="preserve">Trend Analysis Biotechnology, 2016: Summary. </w:t>
      </w:r>
      <w:r>
        <w:t>(</w:t>
      </w:r>
      <w:hyperlink r:id="rId4" w:history="1">
        <w:r w:rsidRPr="000B37F0">
          <w:rPr>
            <w:rStyle w:val="Hyperlink"/>
          </w:rPr>
          <w:t>http://www.cogem.net/showdownload.cfm?objectId=1DB4E295-F1D3-E390-8C0673E8CC3C625D&amp;objectType=mark.hive.contentobjects.download.pdf</w:t>
        </w:r>
      </w:hyperlink>
      <w:r>
        <w:t xml:space="preserve">) </w:t>
      </w:r>
    </w:p>
  </w:footnote>
  <w:footnote w:id="8">
    <w:p w:rsidR="000577D7" w:rsidRPr="000577D7" w:rsidRDefault="000577D7">
      <w:pPr>
        <w:pStyle w:val="FootnoteText"/>
      </w:pPr>
      <w:r>
        <w:rPr>
          <w:rStyle w:val="FootnoteReference"/>
        </w:rPr>
        <w:footnoteRef/>
      </w:r>
      <w:r>
        <w:t xml:space="preserve"> </w:t>
      </w:r>
      <w:proofErr w:type="spellStart"/>
      <w:r>
        <w:t>Karembu</w:t>
      </w:r>
      <w:proofErr w:type="spellEnd"/>
      <w:r>
        <w:t xml:space="preserve">, M. (2017) Beyond the Science: </w:t>
      </w:r>
      <w:r>
        <w:rPr>
          <w:i/>
        </w:rPr>
        <w:t>How European-based NGOs blocked crop biotechnology adoption in Africa.</w:t>
      </w:r>
      <w:r>
        <w:t xml:space="preserve"> (</w:t>
      </w:r>
      <w:hyperlink r:id="rId5" w:history="1">
        <w:r w:rsidRPr="000B37F0">
          <w:rPr>
            <w:rStyle w:val="Hyperlink"/>
          </w:rPr>
          <w:t>https://geneticliteracyproject.org/wp-content/uploads/2017/03/Karembu_edits_v5.pdf</w:t>
        </w:r>
      </w:hyperlink>
      <w:r>
        <w:t xml:space="preserve">) </w:t>
      </w:r>
    </w:p>
  </w:footnote>
  <w:footnote w:id="9">
    <w:p w:rsidR="000577D7" w:rsidRPr="000577D7" w:rsidRDefault="000577D7">
      <w:pPr>
        <w:pStyle w:val="FootnoteText"/>
      </w:pPr>
      <w:r>
        <w:rPr>
          <w:rStyle w:val="FootnoteReference"/>
        </w:rPr>
        <w:footnoteRef/>
      </w:r>
      <w:r>
        <w:t xml:space="preserve"> </w:t>
      </w:r>
      <w:proofErr w:type="spellStart"/>
      <w:r>
        <w:t>Cerier</w:t>
      </w:r>
      <w:proofErr w:type="spellEnd"/>
      <w:r>
        <w:t xml:space="preserve">, S. (2007) </w:t>
      </w:r>
      <w:r>
        <w:rPr>
          <w:i/>
        </w:rPr>
        <w:t>Led by Nigeria, Africa opening door to genetically modified crop cultivation.</w:t>
      </w:r>
      <w:r>
        <w:t xml:space="preserve"> (</w:t>
      </w:r>
      <w:hyperlink r:id="rId6" w:history="1">
        <w:r w:rsidRPr="000B37F0">
          <w:rPr>
            <w:rStyle w:val="Hyperlink"/>
          </w:rPr>
          <w:t>https://geneticliteracyproject.org/2017/03/06/led-nigeria-africa-gradually-opening-door-genetically-modified-crop-cultivation/</w:t>
        </w:r>
      </w:hyperlink>
      <w:r>
        <w:t xml:space="preserve">) </w:t>
      </w:r>
    </w:p>
  </w:footnote>
  <w:footnote w:id="10">
    <w:p w:rsidR="00BD1D8F" w:rsidRDefault="00BD1D8F" w:rsidP="00BD1D8F">
      <w:pPr>
        <w:pStyle w:val="FootnoteText"/>
      </w:pPr>
      <w:r>
        <w:rPr>
          <w:rStyle w:val="FootnoteReference"/>
        </w:rPr>
        <w:footnoteRef/>
      </w:r>
      <w:r>
        <w:t xml:space="preserve"> Tait, J., Banda, G. and Watkins, A. (2017) </w:t>
      </w:r>
      <w:r>
        <w:rPr>
          <w:i/>
        </w:rPr>
        <w:t xml:space="preserve">Proportionate and Adaptive Governance of Innovative Technologies: a framework to guide policy and regulatory decision making. </w:t>
      </w:r>
      <w:r>
        <w:t>Innogen Institute Report to the British Standards Institution. (</w:t>
      </w:r>
      <w:hyperlink r:id="rId7" w:history="1">
        <w:r w:rsidRPr="000B37F0">
          <w:rPr>
            <w:rStyle w:val="Hyperlink"/>
          </w:rPr>
          <w:t>http://innogen.ac.uk/reports/1222</w:t>
        </w:r>
      </w:hyperlink>
      <w:r>
        <w:t xml:space="preserve">)  </w:t>
      </w:r>
    </w:p>
  </w:footnote>
  <w:footnote w:id="11">
    <w:p w:rsidR="00EA3F7F" w:rsidRPr="00EA3F7F" w:rsidRDefault="00EA3F7F">
      <w:pPr>
        <w:pStyle w:val="FootnoteText"/>
      </w:pPr>
      <w:r>
        <w:rPr>
          <w:rStyle w:val="FootnoteReference"/>
        </w:rPr>
        <w:footnoteRef/>
      </w:r>
      <w:r>
        <w:t xml:space="preserve"> SBLC (2016) </w:t>
      </w:r>
      <w:r w:rsidRPr="00E26665">
        <w:rPr>
          <w:i/>
        </w:rPr>
        <w:t>Biodesign for the Bioeconomy: UK Synthetic Biology Strategic Plan.</w:t>
      </w:r>
      <w:r>
        <w:t xml:space="preserve"> (</w:t>
      </w:r>
      <w:hyperlink r:id="rId8" w:history="1">
        <w:r w:rsidRPr="00A23095">
          <w:rPr>
            <w:rStyle w:val="Hyperlink"/>
          </w:rPr>
          <w:t>https://connect.innovateuk.org/web/synthetic-biology-special-interest-group/2016-uk-synbio-strategic-plan</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C7F42"/>
    <w:multiLevelType w:val="hybridMultilevel"/>
    <w:tmpl w:val="EC609D70"/>
    <w:lvl w:ilvl="0" w:tplc="91F61BD4">
      <w:start w:val="1"/>
      <w:numFmt w:val="decimal"/>
      <w:lvlText w:val="%1."/>
      <w:lvlJc w:val="left"/>
      <w:pPr>
        <w:ind w:left="720" w:hanging="360"/>
      </w:pPr>
      <w:rPr>
        <w:rFonts w:ascii="Calibri" w:hAnsi="Calibri" w:hint="default"/>
        <w:b w:val="0"/>
        <w:i w:val="0"/>
        <w:sz w:val="20"/>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0F202A"/>
    <w:multiLevelType w:val="multilevel"/>
    <w:tmpl w:val="565808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39B431C"/>
    <w:multiLevelType w:val="multilevel"/>
    <w:tmpl w:val="8B12CA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973544F"/>
    <w:multiLevelType w:val="multilevel"/>
    <w:tmpl w:val="FCD88C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3"/>
  </w:num>
  <w:num w:numId="3">
    <w:abstractNumId w:val="1"/>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CDB"/>
    <w:rsid w:val="0000139C"/>
    <w:rsid w:val="00013873"/>
    <w:rsid w:val="000577D7"/>
    <w:rsid w:val="00074F1B"/>
    <w:rsid w:val="00086ADE"/>
    <w:rsid w:val="0009469D"/>
    <w:rsid w:val="001311EA"/>
    <w:rsid w:val="00147EE2"/>
    <w:rsid w:val="00162C9B"/>
    <w:rsid w:val="00172EF8"/>
    <w:rsid w:val="001C6475"/>
    <w:rsid w:val="001F05F1"/>
    <w:rsid w:val="00207930"/>
    <w:rsid w:val="00264B2C"/>
    <w:rsid w:val="0029694D"/>
    <w:rsid w:val="002A40CE"/>
    <w:rsid w:val="002D222A"/>
    <w:rsid w:val="00336389"/>
    <w:rsid w:val="0036311E"/>
    <w:rsid w:val="00377604"/>
    <w:rsid w:val="00412698"/>
    <w:rsid w:val="00473D96"/>
    <w:rsid w:val="004D6EB3"/>
    <w:rsid w:val="004F21EA"/>
    <w:rsid w:val="00545BC1"/>
    <w:rsid w:val="00571542"/>
    <w:rsid w:val="00586FA8"/>
    <w:rsid w:val="005E0E77"/>
    <w:rsid w:val="00647781"/>
    <w:rsid w:val="006758E4"/>
    <w:rsid w:val="00676CDB"/>
    <w:rsid w:val="00683EB0"/>
    <w:rsid w:val="006A7776"/>
    <w:rsid w:val="006C5012"/>
    <w:rsid w:val="0071156F"/>
    <w:rsid w:val="00764B11"/>
    <w:rsid w:val="00783E62"/>
    <w:rsid w:val="007E0881"/>
    <w:rsid w:val="007E4D45"/>
    <w:rsid w:val="007F296B"/>
    <w:rsid w:val="008627D2"/>
    <w:rsid w:val="00903B5D"/>
    <w:rsid w:val="00942643"/>
    <w:rsid w:val="00962052"/>
    <w:rsid w:val="009666DD"/>
    <w:rsid w:val="00980862"/>
    <w:rsid w:val="0098467A"/>
    <w:rsid w:val="0099411E"/>
    <w:rsid w:val="009C3662"/>
    <w:rsid w:val="00A11266"/>
    <w:rsid w:val="00A11F41"/>
    <w:rsid w:val="00A31981"/>
    <w:rsid w:val="00A363DC"/>
    <w:rsid w:val="00A463B7"/>
    <w:rsid w:val="00A8260C"/>
    <w:rsid w:val="00AA0B2A"/>
    <w:rsid w:val="00AB4046"/>
    <w:rsid w:val="00AC7A4D"/>
    <w:rsid w:val="00AD723C"/>
    <w:rsid w:val="00AF737F"/>
    <w:rsid w:val="00B0326E"/>
    <w:rsid w:val="00B36046"/>
    <w:rsid w:val="00B66824"/>
    <w:rsid w:val="00B97D9D"/>
    <w:rsid w:val="00BC7708"/>
    <w:rsid w:val="00BD1D8F"/>
    <w:rsid w:val="00BD1E30"/>
    <w:rsid w:val="00C12403"/>
    <w:rsid w:val="00C97077"/>
    <w:rsid w:val="00CF7F79"/>
    <w:rsid w:val="00D16068"/>
    <w:rsid w:val="00DB5E2A"/>
    <w:rsid w:val="00DB7552"/>
    <w:rsid w:val="00DD0754"/>
    <w:rsid w:val="00DD540D"/>
    <w:rsid w:val="00DF5ADD"/>
    <w:rsid w:val="00E26665"/>
    <w:rsid w:val="00E51D7F"/>
    <w:rsid w:val="00EA3F7F"/>
    <w:rsid w:val="00EC0E38"/>
    <w:rsid w:val="00EC64CC"/>
    <w:rsid w:val="00ED5227"/>
    <w:rsid w:val="00F0154F"/>
    <w:rsid w:val="00F13985"/>
    <w:rsid w:val="00F32585"/>
    <w:rsid w:val="00F82EB1"/>
    <w:rsid w:val="00FB243D"/>
    <w:rsid w:val="00FB6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AE8E6-2725-4030-9A45-78811010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39C"/>
    <w:pPr>
      <w:spacing w:after="120"/>
    </w:pPr>
    <w:rPr>
      <w:rFonts w:ascii="Calibri" w:hAnsi="Calibri"/>
      <w:sz w:val="24"/>
      <w:szCs w:val="24"/>
      <w:lang w:eastAsia="en-GB"/>
    </w:rPr>
  </w:style>
  <w:style w:type="paragraph" w:styleId="Heading1">
    <w:name w:val="heading 1"/>
    <w:basedOn w:val="Normal"/>
    <w:next w:val="Normal"/>
    <w:link w:val="Heading1Char"/>
    <w:uiPriority w:val="9"/>
    <w:qFormat/>
    <w:rsid w:val="00162C9B"/>
    <w:pPr>
      <w:keepNext/>
      <w:keepLines/>
      <w:outlineLvl w:val="0"/>
    </w:pPr>
    <w:rPr>
      <w:rFonts w:eastAsiaTheme="majorEastAsia" w:cstheme="majorBidi"/>
      <w:b/>
      <w:color w:val="1F4E79" w:themeColor="accent1" w:themeShade="80"/>
      <w:szCs w:val="32"/>
    </w:rPr>
  </w:style>
  <w:style w:type="paragraph" w:styleId="Heading2">
    <w:name w:val="heading 2"/>
    <w:basedOn w:val="Normal"/>
    <w:next w:val="Normal"/>
    <w:link w:val="Heading2Char"/>
    <w:uiPriority w:val="9"/>
    <w:unhideWhenUsed/>
    <w:qFormat/>
    <w:rsid w:val="00ED5227"/>
    <w:pPr>
      <w:keepNext/>
      <w:keepLines/>
      <w:suppressAutoHyphens/>
      <w:outlineLvl w:val="1"/>
    </w:pPr>
    <w:rPr>
      <w:rFonts w:eastAsiaTheme="majorEastAsia" w:cstheme="majorBidi"/>
      <w:b/>
      <w:i/>
      <w:color w:val="1F4E79" w:themeColor="accent1" w:themeShade="80"/>
      <w:szCs w:val="26"/>
      <w:lang w:eastAsia="ar-SA"/>
    </w:rPr>
  </w:style>
  <w:style w:type="paragraph" w:styleId="Heading3">
    <w:name w:val="heading 3"/>
    <w:basedOn w:val="Normal"/>
    <w:next w:val="Normal"/>
    <w:link w:val="Heading3Char"/>
    <w:uiPriority w:val="9"/>
    <w:unhideWhenUsed/>
    <w:qFormat/>
    <w:rsid w:val="00ED5227"/>
    <w:pPr>
      <w:keepNext/>
      <w:keepLines/>
      <w:suppressAutoHyphens/>
      <w:outlineLvl w:val="2"/>
    </w:pPr>
    <w:rPr>
      <w:rFonts w:eastAsiaTheme="majorEastAsia" w:cstheme="majorBidi"/>
      <w:i/>
      <w:color w:val="1F3864" w:themeColor="accent5" w:themeShade="8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C9B"/>
    <w:rPr>
      <w:rFonts w:asciiTheme="minorHAnsi" w:eastAsiaTheme="majorEastAsia" w:hAnsiTheme="minorHAnsi" w:cstheme="majorBidi"/>
      <w:b/>
      <w:color w:val="1F4E79" w:themeColor="accent1" w:themeShade="80"/>
      <w:sz w:val="22"/>
      <w:szCs w:val="32"/>
    </w:rPr>
  </w:style>
  <w:style w:type="character" w:customStyle="1" w:styleId="Heading2Char">
    <w:name w:val="Heading 2 Char"/>
    <w:basedOn w:val="DefaultParagraphFont"/>
    <w:link w:val="Heading2"/>
    <w:uiPriority w:val="9"/>
    <w:rsid w:val="00ED5227"/>
    <w:rPr>
      <w:rFonts w:asciiTheme="minorHAnsi" w:eastAsiaTheme="majorEastAsia" w:hAnsiTheme="minorHAnsi" w:cstheme="majorBidi"/>
      <w:b/>
      <w:i/>
      <w:color w:val="1F4E79" w:themeColor="accent1" w:themeShade="80"/>
      <w:sz w:val="24"/>
      <w:szCs w:val="26"/>
      <w:lang w:eastAsia="ar-SA"/>
    </w:rPr>
  </w:style>
  <w:style w:type="paragraph" w:styleId="ListParagraph">
    <w:name w:val="List Paragraph"/>
    <w:basedOn w:val="Normal"/>
    <w:uiPriority w:val="34"/>
    <w:qFormat/>
    <w:rsid w:val="005E0E77"/>
    <w:pPr>
      <w:ind w:left="720"/>
    </w:pPr>
    <w:rPr>
      <w:rFonts w:eastAsia="Times New Roman" w:cstheme="majorBidi"/>
    </w:rPr>
  </w:style>
  <w:style w:type="character" w:customStyle="1" w:styleId="Heading3Char">
    <w:name w:val="Heading 3 Char"/>
    <w:basedOn w:val="DefaultParagraphFont"/>
    <w:link w:val="Heading3"/>
    <w:uiPriority w:val="9"/>
    <w:rsid w:val="00ED5227"/>
    <w:rPr>
      <w:rFonts w:asciiTheme="minorHAnsi" w:eastAsiaTheme="majorEastAsia" w:hAnsiTheme="minorHAnsi" w:cstheme="majorBidi"/>
      <w:i/>
      <w:color w:val="1F3864" w:themeColor="accent5" w:themeShade="80"/>
      <w:sz w:val="24"/>
      <w:szCs w:val="24"/>
      <w:lang w:eastAsia="ar-SA"/>
    </w:rPr>
  </w:style>
  <w:style w:type="paragraph" w:customStyle="1" w:styleId="footnote">
    <w:name w:val="footnote"/>
    <w:basedOn w:val="Normal"/>
    <w:link w:val="footnoteChar"/>
    <w:qFormat/>
    <w:rsid w:val="00086ADE"/>
  </w:style>
  <w:style w:type="character" w:customStyle="1" w:styleId="footnoteChar">
    <w:name w:val="footnote Char"/>
    <w:link w:val="footnote"/>
    <w:rsid w:val="00086ADE"/>
    <w:rPr>
      <w:sz w:val="20"/>
      <w:szCs w:val="24"/>
    </w:rPr>
  </w:style>
  <w:style w:type="paragraph" w:styleId="FootnoteText">
    <w:name w:val="footnote text"/>
    <w:basedOn w:val="Normal"/>
    <w:link w:val="FootnoteTextChar"/>
    <w:uiPriority w:val="99"/>
    <w:qFormat/>
    <w:rsid w:val="00BD1E30"/>
    <w:pPr>
      <w:tabs>
        <w:tab w:val="num" w:pos="720"/>
      </w:tabs>
    </w:pPr>
  </w:style>
  <w:style w:type="character" w:customStyle="1" w:styleId="FootnoteTextChar">
    <w:name w:val="Footnote Text Char"/>
    <w:link w:val="FootnoteText"/>
    <w:uiPriority w:val="99"/>
    <w:rsid w:val="00BD1E30"/>
    <w:rPr>
      <w:rFonts w:ascii="Calibri" w:hAnsi="Calibri" w:cs="Times New Roman"/>
      <w:sz w:val="20"/>
      <w:szCs w:val="24"/>
      <w:lang w:eastAsia="en-GB"/>
    </w:rPr>
  </w:style>
  <w:style w:type="paragraph" w:styleId="Title">
    <w:name w:val="Title"/>
    <w:basedOn w:val="Normal"/>
    <w:next w:val="Normal"/>
    <w:link w:val="TitleChar"/>
    <w:uiPriority w:val="10"/>
    <w:qFormat/>
    <w:rsid w:val="0036311E"/>
    <w:pPr>
      <w:contextualSpacing/>
      <w:jc w:val="center"/>
    </w:pPr>
    <w:rPr>
      <w:rFonts w:ascii="Times New Roman" w:eastAsiaTheme="majorEastAsia" w:hAnsi="Times New Roman" w:cstheme="majorBidi"/>
      <w:b/>
      <w:smallCaps/>
      <w:color w:val="1F4E79" w:themeColor="accent1" w:themeShade="80"/>
      <w:spacing w:val="-10"/>
      <w:kern w:val="28"/>
      <w:sz w:val="20"/>
      <w:szCs w:val="56"/>
    </w:rPr>
  </w:style>
  <w:style w:type="character" w:customStyle="1" w:styleId="TitleChar">
    <w:name w:val="Title Char"/>
    <w:basedOn w:val="DefaultParagraphFont"/>
    <w:link w:val="Title"/>
    <w:uiPriority w:val="10"/>
    <w:rsid w:val="0036311E"/>
    <w:rPr>
      <w:rFonts w:eastAsiaTheme="majorEastAsia" w:cstheme="majorBidi"/>
      <w:b/>
      <w:smallCaps/>
      <w:color w:val="1F4E79" w:themeColor="accent1" w:themeShade="80"/>
      <w:spacing w:val="-10"/>
      <w:kern w:val="28"/>
      <w:szCs w:val="56"/>
    </w:rPr>
  </w:style>
  <w:style w:type="paragraph" w:styleId="BodyText">
    <w:name w:val="Body Text"/>
    <w:basedOn w:val="Normal"/>
    <w:link w:val="BodyTextChar"/>
    <w:uiPriority w:val="99"/>
    <w:semiHidden/>
    <w:unhideWhenUsed/>
    <w:rsid w:val="00F82EB1"/>
  </w:style>
  <w:style w:type="character" w:customStyle="1" w:styleId="BodyTextChar">
    <w:name w:val="Body Text Char"/>
    <w:basedOn w:val="DefaultParagraphFont"/>
    <w:link w:val="BodyText"/>
    <w:uiPriority w:val="99"/>
    <w:semiHidden/>
    <w:rsid w:val="00F82EB1"/>
    <w:rPr>
      <w:rFonts w:ascii="Calibri" w:hAnsi="Calibri" w:cs="Times New Roman"/>
      <w:sz w:val="24"/>
      <w:szCs w:val="24"/>
      <w:lang w:eastAsia="en-GB"/>
    </w:rPr>
  </w:style>
  <w:style w:type="paragraph" w:styleId="PlainText">
    <w:name w:val="Plain Text"/>
    <w:basedOn w:val="Normal"/>
    <w:link w:val="PlainTextChar"/>
    <w:uiPriority w:val="99"/>
    <w:semiHidden/>
    <w:unhideWhenUsed/>
    <w:rsid w:val="00D16068"/>
    <w:pPr>
      <w:spacing w:after="0"/>
    </w:pPr>
    <w:rPr>
      <w:rFonts w:cstheme="minorBidi"/>
      <w:sz w:val="22"/>
      <w:szCs w:val="21"/>
      <w:lang w:eastAsia="en-US"/>
    </w:rPr>
  </w:style>
  <w:style w:type="character" w:customStyle="1" w:styleId="PlainTextChar">
    <w:name w:val="Plain Text Char"/>
    <w:basedOn w:val="DefaultParagraphFont"/>
    <w:link w:val="PlainText"/>
    <w:uiPriority w:val="99"/>
    <w:semiHidden/>
    <w:rsid w:val="00D16068"/>
    <w:rPr>
      <w:rFonts w:ascii="Calibri" w:hAnsi="Calibri" w:cstheme="minorBidi"/>
      <w:sz w:val="22"/>
      <w:szCs w:val="21"/>
    </w:rPr>
  </w:style>
  <w:style w:type="character" w:styleId="Hyperlink">
    <w:name w:val="Hyperlink"/>
    <w:basedOn w:val="DefaultParagraphFont"/>
    <w:uiPriority w:val="99"/>
    <w:unhideWhenUsed/>
    <w:rsid w:val="00D16068"/>
    <w:rPr>
      <w:color w:val="0563C1" w:themeColor="hyperlink"/>
      <w:u w:val="single"/>
    </w:rPr>
  </w:style>
  <w:style w:type="character" w:styleId="FootnoteReference">
    <w:name w:val="footnote reference"/>
    <w:basedOn w:val="DefaultParagraphFont"/>
    <w:uiPriority w:val="99"/>
    <w:unhideWhenUsed/>
    <w:rsid w:val="006758E4"/>
    <w:rPr>
      <w:vertAlign w:val="superscript"/>
    </w:rPr>
  </w:style>
  <w:style w:type="character" w:styleId="FollowedHyperlink">
    <w:name w:val="FollowedHyperlink"/>
    <w:basedOn w:val="DefaultParagraphFont"/>
    <w:uiPriority w:val="99"/>
    <w:semiHidden/>
    <w:unhideWhenUsed/>
    <w:rsid w:val="00A31981"/>
    <w:rPr>
      <w:color w:val="954F72" w:themeColor="followedHyperlink"/>
      <w:u w:val="single"/>
    </w:rPr>
  </w:style>
  <w:style w:type="paragraph" w:styleId="BalloonText">
    <w:name w:val="Balloon Text"/>
    <w:basedOn w:val="Normal"/>
    <w:link w:val="BalloonTextChar"/>
    <w:uiPriority w:val="99"/>
    <w:semiHidden/>
    <w:unhideWhenUsed/>
    <w:rsid w:val="00147EE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EE2"/>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642482">
      <w:bodyDiv w:val="1"/>
      <w:marLeft w:val="0"/>
      <w:marRight w:val="0"/>
      <w:marTop w:val="0"/>
      <w:marBottom w:val="0"/>
      <w:divBdr>
        <w:top w:val="none" w:sz="0" w:space="0" w:color="auto"/>
        <w:left w:val="none" w:sz="0" w:space="0" w:color="auto"/>
        <w:bottom w:val="none" w:sz="0" w:space="0" w:color="auto"/>
        <w:right w:val="none" w:sz="0" w:space="0" w:color="auto"/>
      </w:divBdr>
    </w:div>
    <w:div w:id="1367438712">
      <w:bodyDiv w:val="1"/>
      <w:marLeft w:val="0"/>
      <w:marRight w:val="0"/>
      <w:marTop w:val="0"/>
      <w:marBottom w:val="0"/>
      <w:divBdr>
        <w:top w:val="none" w:sz="0" w:space="0" w:color="auto"/>
        <w:left w:val="none" w:sz="0" w:space="0" w:color="auto"/>
        <w:bottom w:val="none" w:sz="0" w:space="0" w:color="auto"/>
        <w:right w:val="none" w:sz="0" w:space="0" w:color="auto"/>
      </w:divBdr>
    </w:div>
    <w:div w:id="1848057958">
      <w:bodyDiv w:val="1"/>
      <w:marLeft w:val="0"/>
      <w:marRight w:val="0"/>
      <w:marTop w:val="0"/>
      <w:marBottom w:val="0"/>
      <w:divBdr>
        <w:top w:val="none" w:sz="0" w:space="0" w:color="auto"/>
        <w:left w:val="none" w:sz="0" w:space="0" w:color="auto"/>
        <w:bottom w:val="none" w:sz="0" w:space="0" w:color="auto"/>
        <w:right w:val="none" w:sz="0" w:space="0" w:color="auto"/>
      </w:divBdr>
    </w:div>
    <w:div w:id="188536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groups/synthetic-biology-leadership-counc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onnect.innovateuk.org/web/synthetic-biology-special-interest-group/2016-uk-synbio-strategic-plan" TargetMode="External"/><Relationship Id="rId3" Type="http://schemas.openxmlformats.org/officeDocument/2006/relationships/hyperlink" Target="https://ec.europa.eu/epsc/sites/epsc/files/strategic_note_issue_14.pdf" TargetMode="External"/><Relationship Id="rId7" Type="http://schemas.openxmlformats.org/officeDocument/2006/relationships/hyperlink" Target="http://innogen.ac.uk/reports/1222" TargetMode="External"/><Relationship Id="rId2" Type="http://schemas.openxmlformats.org/officeDocument/2006/relationships/hyperlink" Target="https://ec.europa.eu/epsc/sites/epsc/files/strategic_note_issue_15.pdf" TargetMode="External"/><Relationship Id="rId1" Type="http://schemas.openxmlformats.org/officeDocument/2006/relationships/hyperlink" Target="https://www.gov.uk/government/uploads/system/uploads/attachment_data/file/292174/cst-14-634a-gm-science-update.pdf" TargetMode="External"/><Relationship Id="rId6" Type="http://schemas.openxmlformats.org/officeDocument/2006/relationships/hyperlink" Target="https://geneticliteracyproject.org/2017/03/06/led-nigeria-africa-gradually-opening-door-genetically-modified-crop-cultivation/" TargetMode="External"/><Relationship Id="rId5" Type="http://schemas.openxmlformats.org/officeDocument/2006/relationships/hyperlink" Target="https://geneticliteracyproject.org/wp-content/uploads/2017/03/Karembu_edits_v5.pdf" TargetMode="External"/><Relationship Id="rId4" Type="http://schemas.openxmlformats.org/officeDocument/2006/relationships/hyperlink" Target="http://www.cogem.net/showdownload.cfm?objectId=1DB4E295-F1D3-E390-8C0673E8CC3C625D&amp;objectType=mark.hive.contentobjects.downlo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E08EB-6FFF-4FF3-9367-891288E1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Tait</dc:creator>
  <cp:keywords/>
  <dc:description/>
  <cp:lastModifiedBy>Joyce Tait</cp:lastModifiedBy>
  <cp:revision>3</cp:revision>
  <cp:lastPrinted>2017-07-20T14:10:00Z</cp:lastPrinted>
  <dcterms:created xsi:type="dcterms:W3CDTF">2017-07-20T14:05:00Z</dcterms:created>
  <dcterms:modified xsi:type="dcterms:W3CDTF">2017-07-20T14:42:00Z</dcterms:modified>
</cp:coreProperties>
</file>