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714"/>
        <w:gridCol w:w="2683"/>
      </w:tblGrid>
      <w:tr w:rsidR="00687C9C" w:rsidTr="002D66C8">
        <w:tc>
          <w:tcPr>
            <w:tcW w:w="8856" w:type="dxa"/>
            <w:gridSpan w:val="3"/>
            <w:shd w:val="clear" w:color="auto" w:fill="auto"/>
          </w:tcPr>
          <w:p w:rsidR="00687C9C" w:rsidRPr="00C77675" w:rsidRDefault="00687C9C" w:rsidP="002D66C8">
            <w:pPr>
              <w:rPr>
                <w:b/>
              </w:rPr>
            </w:pPr>
            <w:r w:rsidRPr="00AA7DDB">
              <w:rPr>
                <w:b/>
              </w:rPr>
              <w:t>Theme: 15</w:t>
            </w:r>
            <w:r w:rsidRPr="00AA7DDB">
              <w:rPr>
                <w:b/>
                <w:vertAlign w:val="superscript"/>
              </w:rPr>
              <w:t>th</w:t>
            </w:r>
            <w:r w:rsidRPr="00C77675">
              <w:rPr>
                <w:b/>
              </w:rPr>
              <w:t xml:space="preserve"> anniversary of the entry into force of the Cartagena Protocol &amp; the entry into force of the Supplementary Protocol on Liability and Redress</w:t>
            </w:r>
          </w:p>
        </w:tc>
      </w:tr>
      <w:tr w:rsidR="00687C9C" w:rsidTr="002D66C8">
        <w:tc>
          <w:tcPr>
            <w:tcW w:w="2974" w:type="dxa"/>
            <w:shd w:val="clear" w:color="auto" w:fill="auto"/>
          </w:tcPr>
          <w:p w:rsidR="00687C9C" w:rsidRDefault="00687C9C" w:rsidP="002D66C8">
            <w:r>
              <w:t>Citizens (adults) with no education (high level of illiterate people)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r>
              <w:t>Educated citizens (participating as owners of business and opportunities)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r>
              <w:t>Young people (as their future is most probable will be marked by LMOs)</w:t>
            </w:r>
          </w:p>
        </w:tc>
      </w:tr>
      <w:tr w:rsidR="00687C9C" w:rsidTr="002D66C8">
        <w:tc>
          <w:tcPr>
            <w:tcW w:w="2974" w:type="dxa"/>
            <w:shd w:val="clear" w:color="auto" w:fill="auto"/>
          </w:tcPr>
          <w:p w:rsidR="00687C9C" w:rsidRDefault="00687C9C" w:rsidP="002D66C8">
            <w:r>
              <w:t>Livelihoods shared with LMOs is the future.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r>
              <w:t>The safe handling and use of LMOs is everyone´s responsibility.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r>
              <w:t>LMOs are part of the future without forgetting the origins.</w:t>
            </w:r>
          </w:p>
        </w:tc>
      </w:tr>
      <w:tr w:rsidR="00687C9C" w:rsidTr="002D66C8">
        <w:tc>
          <w:tcPr>
            <w:tcW w:w="2974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1.1</w:t>
            </w:r>
          </w:p>
          <w:p w:rsidR="00687C9C" w:rsidRDefault="00687C9C" w:rsidP="002D66C8">
            <w:r>
              <w:t>Food security and livelihoods are compatibles with LMOs in the future.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2.1</w:t>
            </w:r>
          </w:p>
          <w:p w:rsidR="00687C9C" w:rsidRDefault="00687C9C" w:rsidP="002D66C8">
            <w:r>
              <w:t>The use of LMOs is about information not obligation.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3.1</w:t>
            </w:r>
          </w:p>
          <w:p w:rsidR="00687C9C" w:rsidRDefault="00687C9C" w:rsidP="002D66C8">
            <w:r>
              <w:t>A proper use of LMOs will not jeopardise our biodiversity.</w:t>
            </w:r>
          </w:p>
        </w:tc>
      </w:tr>
      <w:tr w:rsidR="00687C9C" w:rsidTr="002D66C8">
        <w:tc>
          <w:tcPr>
            <w:tcW w:w="2974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1.2</w:t>
            </w:r>
          </w:p>
          <w:p w:rsidR="00687C9C" w:rsidRDefault="00687C9C" w:rsidP="002D66C8">
            <w:r>
              <w:t>F</w:t>
            </w:r>
            <w:r w:rsidRPr="008B4080">
              <w:t>ood sovereign</w:t>
            </w:r>
            <w:r>
              <w:t>t</w:t>
            </w:r>
            <w:r w:rsidRPr="008B4080">
              <w:t>y</w:t>
            </w:r>
            <w:r>
              <w:t xml:space="preserve"> is ensured with LMOs in the future.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2.2</w:t>
            </w:r>
          </w:p>
          <w:p w:rsidR="00687C9C" w:rsidRDefault="00687C9C" w:rsidP="002D66C8">
            <w:r>
              <w:t>A clear understanding of LMOs is about education.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3.2</w:t>
            </w:r>
          </w:p>
          <w:p w:rsidR="00687C9C" w:rsidRDefault="00687C9C" w:rsidP="002D66C8">
            <w:r>
              <w:t>LMOs are options not imposition.</w:t>
            </w:r>
          </w:p>
        </w:tc>
      </w:tr>
      <w:tr w:rsidR="00687C9C" w:rsidTr="002D66C8">
        <w:tc>
          <w:tcPr>
            <w:tcW w:w="2974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1.3</w:t>
            </w:r>
          </w:p>
          <w:p w:rsidR="00687C9C" w:rsidRDefault="00687C9C" w:rsidP="002D66C8"/>
        </w:tc>
        <w:tc>
          <w:tcPr>
            <w:tcW w:w="2941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2.3</w:t>
            </w:r>
          </w:p>
          <w:p w:rsidR="00687C9C" w:rsidRDefault="00687C9C" w:rsidP="002D66C8">
            <w:r>
              <w:t>The acceptance of LMOs is on the label.</w:t>
            </w:r>
          </w:p>
        </w:tc>
        <w:tc>
          <w:tcPr>
            <w:tcW w:w="2941" w:type="dxa"/>
            <w:shd w:val="clear" w:color="auto" w:fill="auto"/>
          </w:tcPr>
          <w:p w:rsidR="00687C9C" w:rsidRDefault="00687C9C" w:rsidP="002D66C8">
            <w:proofErr w:type="spellStart"/>
            <w:r>
              <w:t>Submessage</w:t>
            </w:r>
            <w:proofErr w:type="spellEnd"/>
            <w:r>
              <w:t xml:space="preserve"> 3.3</w:t>
            </w:r>
          </w:p>
          <w:p w:rsidR="002D66C8" w:rsidRDefault="002D66C8" w:rsidP="002D66C8">
            <w:bookmarkStart w:id="0" w:name="_GoBack"/>
            <w:bookmarkEnd w:id="0"/>
          </w:p>
        </w:tc>
      </w:tr>
    </w:tbl>
    <w:p w:rsidR="002D66C8" w:rsidRDefault="002D66C8"/>
    <w:sectPr w:rsidR="002D66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C"/>
    <w:rsid w:val="002D66C8"/>
    <w:rsid w:val="00395DCE"/>
    <w:rsid w:val="00492DFF"/>
    <w:rsid w:val="00651BBC"/>
    <w:rsid w:val="0068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F2069"/>
  <w15:chartTrackingRefBased/>
  <w15:docId w15:val="{0CC6F15F-06B4-4141-ADA7-A95130D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9C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Rios-Gonzalez</dc:creator>
  <cp:keywords/>
  <dc:description/>
  <cp:lastModifiedBy>Krisztina Rios-Gonzalez</cp:lastModifiedBy>
  <cp:revision>2</cp:revision>
  <dcterms:created xsi:type="dcterms:W3CDTF">2018-03-19T03:19:00Z</dcterms:created>
  <dcterms:modified xsi:type="dcterms:W3CDTF">2018-03-19T07:04:00Z</dcterms:modified>
</cp:coreProperties>
</file>