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lastRenderedPageBreak/>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Historically, agricultural crop cultivars have been produced through the domestication of wild crop relatives through a continuous process of selection and controlled breeding</w:t>
      </w:r>
      <w:r w:rsidR="005D74EE">
        <w:rPr>
          <w:rFonts w:ascii="Times New Roman" w:eastAsia="Times New Roman" w:hAnsi="Times New Roman" w:cs="Times New Roman"/>
          <w:lang w:val="en-US"/>
        </w:rPr>
        <w:t xml:space="preserve"> by humans,</w:t>
      </w:r>
      <w:r w:rsidRPr="00B4451F">
        <w:rPr>
          <w:rFonts w:ascii="Times New Roman" w:eastAsia="Times New Roman" w:hAnsi="Times New Roman" w:cs="Times New Roman"/>
          <w:lang w:val="en-US"/>
        </w:rPr>
        <w:t xml:space="preserve"> for the development of more 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that produce better or different quality of products than previous ancestral lines. Such changes involve</w:t>
      </w:r>
      <w:r w:rsidR="005D74EE">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for </w:t>
      </w:r>
      <w:r w:rsidR="005D74EE">
        <w:rPr>
          <w:rFonts w:ascii="Times New Roman" w:eastAsia="Times New Roman" w:hAnsi="Times New Roman" w:cs="Times New Roman"/>
          <w:lang w:val="en-US"/>
        </w:rPr>
        <w:t>example</w:t>
      </w:r>
      <w:r w:rsidR="00347DB1">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the cross breeding of sexually compatible plants of the same species or closely related species resulting in the introduction and/ or culling of traits, and their associated genes. In recent decades, advances in breeding technologies have made it possible to produce, not only crosses between plants that are sexually compatible, but also between plants that are considered as naturally cross sterile.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could be induced, for instance, through seed irradiation.</w:t>
      </w:r>
    </w:p>
    <w:p w14:paraId="0F96B108" w14:textId="656111A9" w:rsidR="00E44FFA" w:rsidRPr="00B4451F" w:rsidRDefault="00E44FFA" w:rsidP="0003608B">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There are a number of </w:t>
      </w:r>
      <w:r w:rsidR="00347DB1">
        <w:rPr>
          <w:rFonts w:ascii="Times New Roman" w:eastAsia="Times New Roman" w:hAnsi="Times New Roman" w:cs="Times New Roman"/>
          <w:lang w:val="en-US"/>
        </w:rPr>
        <w:t xml:space="preserve">limitations </w:t>
      </w:r>
      <w:r w:rsidRPr="00B4451F">
        <w:rPr>
          <w:rFonts w:ascii="Times New Roman" w:eastAsia="Times New Roman" w:hAnsi="Times New Roman" w:cs="Times New Roman"/>
          <w:lang w:val="en-US"/>
        </w:rPr>
        <w:t xml:space="preserve"> to traditional hybridization and selection methods. One major disadvantage is that breeders often wish to introduce single selected traits rather than transferring and recombining entire genomes. </w:t>
      </w:r>
      <w:r w:rsidR="0003608B">
        <w:rPr>
          <w:rFonts w:ascii="Times New Roman" w:eastAsia="Times New Roman" w:hAnsi="Times New Roman" w:cs="Times New Roman"/>
          <w:lang w:val="en-US"/>
        </w:rPr>
        <w:t>In addition</w:t>
      </w:r>
      <w:r w:rsidRPr="00B4451F">
        <w:rPr>
          <w:rFonts w:ascii="Times New Roman" w:eastAsia="Times New Roman" w:hAnsi="Times New Roman" w:cs="Times New Roman"/>
          <w:lang w:val="en-US"/>
        </w:rPr>
        <w:t>, the selection and sorting of genetically stable varieties is a slow process.</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These drawbacks may be alleviated through the use of modern biotechnology techniques. 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of:</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that overcome natural physiological reproductive or recombination barriers and that are not techniques used in traditional breeding and selection. </w:t>
      </w:r>
    </w:p>
    <w:p w14:paraId="49388AD1" w14:textId="2E9BA2C3" w:rsidR="00E44FFA" w:rsidRPr="00B4451F" w:rsidRDefault="00E44FFA" w:rsidP="00B3640C">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use of </w:t>
      </w:r>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techniques result</w:t>
      </w:r>
      <w:r w:rsidR="00B3640C">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production of living modified organisms (LMOs)</w:t>
      </w:r>
      <w:r w:rsidR="00B3640C">
        <w:rPr>
          <w:rFonts w:ascii="Times New Roman" w:eastAsia="Times New Roman" w:hAnsi="Times New Roman" w:cs="Times New Roman"/>
          <w:lang w:val="en-US"/>
        </w:rPr>
        <w:t>, which are</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also </w:t>
      </w:r>
      <w:r w:rsidR="00B3640C">
        <w:rPr>
          <w:rFonts w:ascii="Times New Roman" w:eastAsia="Times New Roman" w:hAnsi="Times New Roman" w:cs="Times New Roman"/>
          <w:lang w:val="en-US"/>
        </w:rPr>
        <w:t>referred to as</w:t>
      </w:r>
      <w:r w:rsidRPr="00B4451F">
        <w:rPr>
          <w:rFonts w:ascii="Times New Roman" w:eastAsia="Times New Roman" w:hAnsi="Times New Roman" w:cs="Times New Roman"/>
          <w:lang w:val="en-US"/>
        </w:rPr>
        <w:t xml:space="preserve"> genetically modified organisms (GMOs)</w:t>
      </w:r>
      <w:r w:rsidR="00B3640C">
        <w:rPr>
          <w:rFonts w:ascii="Times New Roman" w:eastAsia="Times New Roman" w:hAnsi="Times New Roman" w:cs="Times New Roman"/>
          <w:lang w:val="en-US"/>
        </w:rPr>
        <w:t xml:space="preserve"> by some other </w:t>
      </w:r>
      <w:r w:rsidR="00B3640C" w:rsidRPr="00B3640C">
        <w:rPr>
          <w:rFonts w:ascii="Times New Roman" w:eastAsia="Times New Roman" w:hAnsi="Times New Roman" w:cs="Times New Roman"/>
          <w:lang w:val="en-ZA"/>
        </w:rPr>
        <w:t>bodies and legislations</w:t>
      </w:r>
      <w:r w:rsidRPr="00B4451F">
        <w:rPr>
          <w:rFonts w:ascii="Times New Roman" w:eastAsia="Times New Roman" w:hAnsi="Times New Roman" w:cs="Times New Roman"/>
          <w:lang w:val="en-US"/>
        </w:rPr>
        <w:t xml:space="preserve">. The </w:t>
      </w:r>
      <w:r w:rsidR="00B3640C">
        <w:rPr>
          <w:rFonts w:ascii="Times New Roman" w:eastAsia="Times New Roman" w:hAnsi="Times New Roman" w:cs="Times New Roman"/>
          <w:lang w:val="en-US"/>
        </w:rPr>
        <w:t>Cartagena P</w:t>
      </w:r>
      <w:r w:rsidRPr="00B4451F">
        <w:rPr>
          <w:rFonts w:ascii="Times New Roman" w:eastAsia="Times New Roman" w:hAnsi="Times New Roman" w:cs="Times New Roman"/>
          <w:lang w:val="en-US"/>
        </w:rPr>
        <w:t xml:space="preserve">rotocol specifically focuses on </w:t>
      </w:r>
      <w:r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Pr="00B4451F">
        <w:rPr>
          <w:rFonts w:ascii="Times New Roman" w:eastAsia="Times New Roman" w:hAnsi="Times New Roman" w:cs="Times New Roman"/>
          <w:lang w:val="en-ZA"/>
        </w:rPr>
        <w:t xml:space="preserve"> organism that possesses a novel combination of genetic material obtained through the use of modern biotechnology. </w:t>
      </w:r>
    </w:p>
    <w:p w14:paraId="19325350" w14:textId="5385ECF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In the context of agricultural crops, the</w:t>
      </w:r>
      <w:r w:rsidR="005E36A2">
        <w:rPr>
          <w:rFonts w:ascii="Times New Roman" w:eastAsia="Times New Roman" w:hAnsi="Times New Roman" w:cs="Times New Roman"/>
          <w:lang w:val="en-US"/>
        </w:rPr>
        <w:t>se</w:t>
      </w:r>
      <w:r w:rsidRPr="00B4451F">
        <w:rPr>
          <w:rFonts w:ascii="Times New Roman" w:eastAsia="Times New Roman" w:hAnsi="Times New Roman" w:cs="Times New Roman"/>
          <w:lang w:val="en-US"/>
        </w:rPr>
        <w:t xml:space="preserve"> terms refer to plants in which genetic material </w:t>
      </w:r>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 into a host genome using modern biotechnology techniques</w:t>
      </w:r>
      <w:r w:rsidR="008B7364">
        <w:rPr>
          <w:rFonts w:ascii="Times New Roman" w:eastAsia="Times New Roman" w:hAnsi="Times New Roman" w:cs="Times New Roman"/>
          <w:lang w:val="en-US"/>
        </w:rPr>
        <w:t xml:space="preserve">. This genetic material may have </w:t>
      </w:r>
      <w:r w:rsidR="004C390A">
        <w:rPr>
          <w:rFonts w:ascii="Times New Roman" w:eastAsia="Times New Roman" w:hAnsi="Times New Roman" w:cs="Times New Roman"/>
          <w:lang w:val="en-US"/>
        </w:rPr>
        <w:t xml:space="preserve"> originate</w:t>
      </w:r>
      <w:r w:rsidR="008B7364">
        <w:rPr>
          <w:rFonts w:ascii="Times New Roman" w:eastAsia="Times New Roman" w:hAnsi="Times New Roman" w:cs="Times New Roman"/>
          <w:lang w:val="en-US"/>
        </w:rPr>
        <w:t>d</w:t>
      </w:r>
      <w:r w:rsidR="004C390A">
        <w:rPr>
          <w:rFonts w:ascii="Times New Roman" w:eastAsia="Times New Roman" w:hAnsi="Times New Roman" w:cs="Times New Roman"/>
          <w:lang w:val="en-US"/>
        </w:rPr>
        <w:t xml:space="preserve"> from a different species, giving rise to a “transgenic” plant</w:t>
      </w:r>
      <w:r w:rsidR="008B7364">
        <w:rPr>
          <w:rFonts w:ascii="Times New Roman" w:eastAsia="Times New Roman" w:hAnsi="Times New Roman" w:cs="Times New Roman"/>
          <w:lang w:val="en-US"/>
        </w:rPr>
        <w:t>. A</w:t>
      </w:r>
      <w:r w:rsidR="004C390A">
        <w:rPr>
          <w:rFonts w:ascii="Times New Roman" w:eastAsia="Times New Roman" w:hAnsi="Times New Roman" w:cs="Times New Roman"/>
          <w:lang w:val="en-US"/>
        </w:rPr>
        <w:t>lternatively, if the genetic material originated from a plant of 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r w:rsidR="008B7364">
        <w:rPr>
          <w:rFonts w:ascii="Times New Roman" w:eastAsia="Times New Roman" w:hAnsi="Times New Roman" w:cs="Times New Roman"/>
          <w:lang w:val="en-US"/>
        </w:rPr>
        <w:t xml:space="preserve"> then this gives rise to a “</w:t>
      </w:r>
      <w:proofErr w:type="spellStart"/>
      <w:r w:rsidR="008B7364">
        <w:rPr>
          <w:rFonts w:ascii="Times New Roman" w:eastAsia="Times New Roman" w:hAnsi="Times New Roman" w:cs="Times New Roman"/>
          <w:lang w:val="en-US"/>
        </w:rPr>
        <w:t>cisgenic</w:t>
      </w:r>
      <w:proofErr w:type="spellEnd"/>
      <w:r w:rsidR="008B7364">
        <w:rPr>
          <w:rFonts w:ascii="Times New Roman" w:eastAsia="Times New Roman" w:hAnsi="Times New Roman" w:cs="Times New Roman"/>
          <w:lang w:val="en-US"/>
        </w:rPr>
        <w:t>” plant</w:t>
      </w:r>
      <w:r w:rsidR="004C390A">
        <w:rPr>
          <w:rFonts w:ascii="Times New Roman" w:eastAsia="Times New Roman" w:hAnsi="Times New Roman" w:cs="Times New Roman"/>
          <w:lang w:val="en-US"/>
        </w:rPr>
        <w:t xml:space="preserve">. </w:t>
      </w:r>
      <w:r w:rsidR="008B7364">
        <w:rPr>
          <w:rFonts w:ascii="Times New Roman" w:eastAsia="Times New Roman" w:hAnsi="Times New Roman" w:cs="Times New Roman"/>
          <w:lang w:val="en-US"/>
        </w:rPr>
        <w:t>In either case, t</w:t>
      </w:r>
      <w:r w:rsidR="004C390A">
        <w:rPr>
          <w:rFonts w:ascii="Times New Roman" w:eastAsia="Times New Roman" w:hAnsi="Times New Roman" w:cs="Times New Roman"/>
          <w:lang w:val="en-US"/>
        </w:rPr>
        <w:t xml:space="preserve">he introduction </w:t>
      </w:r>
      <w:r w:rsidR="008B7364">
        <w:rPr>
          <w:rFonts w:ascii="Times New Roman" w:eastAsia="Times New Roman" w:hAnsi="Times New Roman" w:cs="Times New Roman"/>
          <w:lang w:val="en-US"/>
        </w:rPr>
        <w:t>a</w:t>
      </w:r>
      <w:r w:rsidR="004C390A">
        <w:rPr>
          <w:rFonts w:ascii="Times New Roman" w:eastAsia="Times New Roman" w:hAnsi="Times New Roman" w:cs="Times New Roman"/>
          <w:lang w:val="en-US"/>
        </w:rPr>
        <w:t xml:space="preserve"> modification</w:t>
      </w:r>
      <w:r w:rsidRPr="00B4451F">
        <w:rPr>
          <w:rFonts w:ascii="Times New Roman" w:eastAsia="Times New Roman" w:hAnsi="Times New Roman" w:cs="Times New Roman"/>
          <w:lang w:val="en-US"/>
        </w:rPr>
        <w:t xml:space="preserve"> result</w:t>
      </w:r>
      <w:r w:rsidR="004C390A">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r w:rsidR="008B7364">
        <w:rPr>
          <w:rFonts w:ascii="Times New Roman" w:eastAsia="Times New Roman" w:hAnsi="Times New Roman" w:cs="Times New Roman"/>
          <w:lang w:val="en-US"/>
        </w:rPr>
        <w:t xml:space="preserve">. In some modified plants the desired effect is the </w:t>
      </w:r>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Some of the most common traits that are introduced into crops using modern biotechnology include</w:t>
      </w:r>
      <w:r w:rsidR="004C390A">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herbicide tolerance, male sterility/fertility restoration, Bt-derived 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lastRenderedPageBreak/>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most commonly developed through the use of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by 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are often used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provisions also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p>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eastAsia="Times New Roman" w:hAnsi="Times New Roman" w:cs="Times New Roman"/>
          <w:b/>
          <w:bCs/>
          <w:noProof/>
          <w:lang w:val="es-MX" w:eastAsia="es-MX"/>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Figure 1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2D0DCFE3"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can be achieved through a variety of methodologies. </w:t>
      </w:r>
      <w:r w:rsidR="00461964">
        <w:rPr>
          <w:rFonts w:ascii="Times New Roman" w:eastAsia="MS Mincho" w:hAnsi="Times New Roman" w:cs="Times New Roman"/>
          <w:lang w:val="en-US" w:eastAsia="ja-JP"/>
        </w:rPr>
        <w:t>Below is a description of the principal steps</w:t>
      </w:r>
      <w:r w:rsidR="00461964"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that are commonly used in the development of LM plants can be summarized as follows:</w:t>
      </w:r>
      <w:r w:rsidRPr="00B4451F">
        <w:rPr>
          <w:rFonts w:ascii="Times New Roman" w:eastAsia="MS Mincho" w:hAnsi="Times New Roman" w:cs="Times New Roman"/>
          <w:u w:val="single"/>
          <w:vertAlign w:val="superscript"/>
          <w:lang w:val="en-US" w:eastAsia="ja-JP"/>
        </w:rPr>
        <w:footnoteReference w:id="1"/>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has been identified and isolated from a donor organism, it is manipulated in the laboratory </w:t>
      </w:r>
      <w:r w:rsidR="00461964">
        <w:rPr>
          <w:rFonts w:ascii="Times New Roman" w:eastAsia="MS Mincho" w:hAnsi="Times New Roman" w:cs="Times New Roman"/>
          <w:lang w:val="en-US" w:eastAsia="ja-JP"/>
        </w:rPr>
        <w:t>in order for it to be</w:t>
      </w:r>
      <w:r w:rsidRPr="00B4451F">
        <w:rPr>
          <w:rFonts w:ascii="Times New Roman" w:eastAsia="MS Mincho" w:hAnsi="Times New Roman" w:cs="Times New Roman"/>
          <w:lang w:val="en-US" w:eastAsia="ja-JP"/>
        </w:rPr>
        <w:t xml:space="preserve"> inserted effectively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so as to enhance or modulate the expression of the gene once it </w:t>
      </w:r>
      <w:r w:rsidR="00461964">
        <w:rPr>
          <w:rFonts w:ascii="Times New Roman" w:eastAsia="MS Mincho" w:hAnsi="Times New Roman" w:cs="Times New Roman"/>
          <w:lang w:val="en-US" w:eastAsia="ja-JP"/>
        </w:rPr>
        <w:t>has been inserted</w:t>
      </w:r>
      <w:r w:rsidRPr="00B4451F">
        <w:rPr>
          <w:rFonts w:ascii="Times New Roman" w:eastAsia="MS Mincho" w:hAnsi="Times New Roman" w:cs="Times New Roman"/>
          <w:lang w:val="en-US" w:eastAsia="ja-JP"/>
        </w:rPr>
        <w:t xml:space="preserve"> into the intended recipient organism. </w:t>
      </w:r>
    </w:p>
    <w:p w14:paraId="5373EB9D" w14:textId="60603B98"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 xml:space="preserve">The gene(s) of </w:t>
      </w:r>
      <w:r w:rsidR="00E44FFA" w:rsidRPr="00B4451F">
        <w:rPr>
          <w:rFonts w:ascii="Times New Roman" w:eastAsia="MS Mincho" w:hAnsi="Times New Roman" w:cs="Times New Roman"/>
          <w:lang w:val="en-US" w:eastAsia="ja-JP"/>
        </w:rPr>
        <w:t xml:space="preserve">interest, </w:t>
      </w:r>
      <w:r w:rsidR="008F6742">
        <w:rPr>
          <w:rFonts w:ascii="Times New Roman" w:eastAsia="MS Mincho" w:hAnsi="Times New Roman" w:cs="Times New Roman"/>
          <w:lang w:val="en-US" w:eastAsia="ja-JP"/>
        </w:rPr>
        <w:t xml:space="preserve">is </w:t>
      </w:r>
      <w:r>
        <w:rPr>
          <w:rFonts w:ascii="Times New Roman" w:eastAsia="MS Mincho" w:hAnsi="Times New Roman" w:cs="Times New Roman"/>
          <w:lang w:val="en-US" w:eastAsia="ja-JP"/>
        </w:rPr>
        <w:t>placed in between</w:t>
      </w:r>
      <w:r w:rsidR="008F6742">
        <w:rPr>
          <w:rFonts w:ascii="Times New Roman" w:eastAsia="MS Mincho" w:hAnsi="Times New Roman" w:cs="Times New Roman"/>
          <w:lang w:val="en-US" w:eastAsia="ja-JP"/>
        </w:rPr>
        <w:t xml:space="preserve"> a</w:t>
      </w:r>
      <w:r>
        <w:rPr>
          <w:rFonts w:ascii="Times New Roman" w:eastAsia="MS Mincho" w:hAnsi="Times New Roman" w:cs="Times New Roman"/>
          <w:lang w:val="en-US" w:eastAsia="ja-JP"/>
        </w:rPr>
        <w:t xml:space="preserve"> </w:t>
      </w:r>
      <w:r w:rsidR="008F6742" w:rsidRPr="008F6742">
        <w:rPr>
          <w:rFonts w:ascii="Times New Roman" w:eastAsia="MS Mincho" w:hAnsi="Times New Roman" w:cs="Times New Roman"/>
          <w:lang w:val="en-US" w:eastAsia="ja-JP"/>
        </w:rPr>
        <w:t xml:space="preserve">“promoter sequence” and a “terminator sequence” </w:t>
      </w:r>
      <w:r w:rsidR="008F6742">
        <w:rPr>
          <w:rFonts w:ascii="Times New Roman" w:eastAsia="MS Mincho" w:hAnsi="Times New Roman" w:cs="Times New Roman"/>
          <w:lang w:val="en-US" w:eastAsia="ja-JP"/>
        </w:rPr>
        <w:t>which</w:t>
      </w:r>
      <w:r>
        <w:rPr>
          <w:rFonts w:ascii="Times New Roman" w:eastAsia="MS Mincho" w:hAnsi="Times New Roman" w:cs="Times New Roman"/>
          <w:lang w:val="en-US" w:eastAsia="ja-JP"/>
        </w:rPr>
        <w:t xml:space="preserve"> are</w:t>
      </w:r>
      <w:r w:rsidRPr="00B4451F">
        <w:rPr>
          <w:rFonts w:ascii="Times New Roman" w:eastAsia="MS Mincho" w:hAnsi="Times New Roman" w:cs="Times New Roman"/>
          <w:lang w:val="en-US" w:eastAsia="ja-JP"/>
        </w:rPr>
        <w:t xml:space="preserve"> needed for the proper </w:t>
      </w:r>
      <w:r>
        <w:rPr>
          <w:rFonts w:ascii="Times New Roman" w:eastAsia="MS Mincho" w:hAnsi="Times New Roman" w:cs="Times New Roman"/>
          <w:lang w:val="en-US" w:eastAsia="ja-JP"/>
        </w:rPr>
        <w:t xml:space="preserve">expression and </w:t>
      </w:r>
      <w:r w:rsidRPr="00B4451F">
        <w:rPr>
          <w:rFonts w:ascii="Times New Roman" w:eastAsia="MS Mincho" w:hAnsi="Times New Roman" w:cs="Times New Roman"/>
          <w:lang w:val="en-US" w:eastAsia="ja-JP"/>
        </w:rPr>
        <w:t xml:space="preserve">functioning of the gene(s) of interest in an orderly </w:t>
      </w:r>
      <w:r w:rsidR="008F6742">
        <w:rPr>
          <w:rFonts w:ascii="Times New Roman" w:eastAsia="MS Mincho" w:hAnsi="Times New Roman" w:cs="Times New Roman"/>
          <w:lang w:val="en-US" w:eastAsia="ja-JP"/>
        </w:rPr>
        <w:t xml:space="preserve">manner. This combination of genetic elements is known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2"/>
      </w:r>
      <w:r w:rsidRPr="00B4451F">
        <w:rPr>
          <w:rFonts w:ascii="Times New Roman" w:eastAsia="MS Mincho" w:hAnsi="Times New Roman" w:cs="Times New Roman"/>
          <w:lang w:val="en-US" w:eastAsia="ja-JP"/>
        </w:rPr>
        <w:t xml:space="preserve"> as shown in figure 2.</w:t>
      </w:r>
      <w:r w:rsidR="00E44FFA" w:rsidRPr="00B4451F">
        <w:rPr>
          <w:rFonts w:ascii="Times New Roman" w:eastAsia="MS Mincho" w:hAnsi="Times New Roman" w:cs="Times New Roman"/>
          <w:lang w:val="en-US" w:eastAsia="ja-JP"/>
        </w:rPr>
        <w:t xml:space="preserve"> </w:t>
      </w:r>
      <w:r w:rsidR="00E44FFA" w:rsidRPr="008F6742">
        <w:rPr>
          <w:rFonts w:ascii="Times New Roman" w:eastAsia="MS Mincho" w:hAnsi="Times New Roman" w:cs="Times New Roman"/>
          <w:lang w:val="en-US" w:eastAsia="ja-JP"/>
        </w:rPr>
        <w:t>Different promoter sequences 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r w:rsidR="00933A4B" w:rsidRPr="008F6742">
        <w:rPr>
          <w:rFonts w:ascii="Times New Roman" w:eastAsia="MS Mincho" w:hAnsi="Times New Roman" w:cs="Times New Roman"/>
          <w:lang w:val="en-US" w:eastAsia="ja-JP"/>
        </w:rPr>
        <w:t>,</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for example, </w:t>
      </w:r>
      <w:r w:rsidR="00E44FFA" w:rsidRPr="008F6742">
        <w:rPr>
          <w:rFonts w:ascii="Times New Roman" w:eastAsia="MS Mincho" w:hAnsi="Times New Roman" w:cs="Times New Roman"/>
          <w:lang w:val="en-US" w:eastAsia="ja-JP"/>
        </w:rPr>
        <w:t xml:space="preserve">some 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w:t>
      </w:r>
      <w:r w:rsidR="00E44FFA" w:rsidRPr="008F6742">
        <w:rPr>
          <w:rFonts w:ascii="Times New Roman" w:eastAsia="MS Mincho" w:hAnsi="Times New Roman" w:cs="Times New Roman"/>
          <w:lang w:val="en-US" w:eastAsia="ja-JP"/>
        </w:rPr>
        <w:lastRenderedPageBreak/>
        <w:t xml:space="preserve">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 </w:t>
      </w:r>
      <w:r w:rsidRPr="008F6742">
        <w:rPr>
          <w:rFonts w:ascii="Times New Roman" w:eastAsia="MS Mincho" w:hAnsi="Times New Roman" w:cs="Times New Roman"/>
          <w:lang w:val="en-US" w:eastAsia="ja-JP"/>
        </w:rPr>
        <w:t xml:space="preserve">Some promoters may 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 into the transformation cassette to help identify and/or select cells or individuals in which the transformation cassette(s) was successfully introduced. Marker genes may, in some cases, be removed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eastAsia="Times New Roman" w:hAnsi="Times New Roman" w:cs="Times New Roman"/>
          <w:noProof/>
          <w:lang w:val="es-MX" w:eastAsia="es-MX"/>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77777777"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Figure 2 –</w:t>
      </w:r>
      <w:r w:rsidRPr="00B4451F">
        <w:rPr>
          <w:rFonts w:ascii="Times New Roman" w:eastAsia="MS Mincho" w:hAnsi="Times New Roman" w:cs="Times New Roman"/>
          <w:bCs/>
          <w:iCs/>
          <w:lang w:val="en-US" w:eastAsia="ja-JP"/>
        </w:rPr>
        <w:t xml:space="preserve"> Scheme of a transformation cassette and vector</w:t>
      </w:r>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2D3B845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transformation cassettes are integrated into the genome of the recipient organism through a process known as transformation, as outlined in figure 3. This can be carried out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r w:rsidR="008F6742" w:rsidRPr="008F6742">
        <w:rPr>
          <w:rFonts w:ascii="Times New Roman" w:eastAsia="MS Mincho" w:hAnsi="Times New Roman" w:cs="Times New Roman"/>
          <w:i/>
          <w:lang w:eastAsia="ja-JP"/>
        </w:rPr>
        <w:t>tumefaciens</w:t>
      </w:r>
      <w:r w:rsidRPr="00B4451F">
        <w:rPr>
          <w:rFonts w:ascii="Times New Roman" w:eastAsia="MS Mincho" w:hAnsi="Times New Roman" w:cs="Times New Roman"/>
          <w:lang w:eastAsia="ja-JP"/>
        </w:rPr>
        <w:t>, particle bombardment or microinjection.</w:t>
      </w:r>
    </w:p>
    <w:p w14:paraId="42407149" w14:textId="134B74A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into </w:t>
      </w:r>
      <w:r w:rsidR="00C50D1A">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organisms</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through further manipulations such as cell culture and breeding techniques</w:t>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resulting organisms are f</w:t>
      </w:r>
      <w:r w:rsidR="00C50D1A">
        <w:rPr>
          <w:rFonts w:ascii="Times New Roman" w:eastAsia="MS Mincho" w:hAnsi="Times New Roman" w:cs="Times New Roman"/>
          <w:lang w:eastAsia="ja-JP"/>
        </w:rPr>
        <w:t xml:space="preserve">urther characterized </w:t>
      </w:r>
      <w:r w:rsidR="00C0390F">
        <w:rPr>
          <w:rFonts w:ascii="Times New Roman" w:eastAsia="MS Mincho" w:hAnsi="Times New Roman" w:cs="Times New Roman"/>
          <w:lang w:eastAsia="ja-JP"/>
        </w:rPr>
        <w:t xml:space="preserve">in order 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4"/>
      </w:r>
      <w:r w:rsidRPr="00B4451F">
        <w:rPr>
          <w:rFonts w:ascii="Times New Roman" w:eastAsia="MS Mincho" w:hAnsi="Times New Roman" w:cs="Times New Roman"/>
          <w:lang w:eastAsia="ja-JP"/>
        </w:rPr>
        <w:t xml:space="preserve"> or modification. Through selection, many experimental LMOs are discarded and only a few events may reach the stage of commercialization. </w:t>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eastAsia="Times New Roman" w:hAnsi="Times New Roman" w:cs="Times New Roman"/>
          <w:noProof/>
          <w:lang w:val="es-MX" w:eastAsia="es-MX"/>
        </w:rPr>
        <w:lastRenderedPageBreak/>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Figure 3 –</w:t>
      </w:r>
      <w:r w:rsidRPr="00B4451F">
        <w:rPr>
          <w:rFonts w:ascii="Times New Roman" w:eastAsia="MS Mincho" w:hAnsi="Times New Roman" w:cs="Times New Roman"/>
          <w:lang w:eastAsia="ja-JP"/>
        </w:rPr>
        <w:t xml:space="preserve"> Genetic modification of plants. Source: </w:t>
      </w:r>
      <w:proofErr w:type="spellStart"/>
      <w:r w:rsidRPr="00B4451F">
        <w:rPr>
          <w:rFonts w:ascii="Times New Roman" w:eastAsia="MS Mincho" w:hAnsi="Times New Roman" w:cs="Times New Roman"/>
          <w:lang w:eastAsia="ja-JP"/>
        </w:rPr>
        <w:t>Mirkov</w:t>
      </w:r>
      <w:proofErr w:type="spellEnd"/>
      <w:r w:rsidRPr="00B4451F">
        <w:rPr>
          <w:rFonts w:ascii="Times New Roman" w:eastAsia="MS Mincho" w:hAnsi="Times New Roman" w:cs="Times New Roman"/>
          <w:lang w:eastAsia="ja-JP"/>
        </w:rPr>
        <w:t xml:space="preserve"> (2003).</w:t>
      </w:r>
    </w:p>
    <w:p w14:paraId="3CF9680E" w14:textId="4719AEC9" w:rsidR="00461964" w:rsidRPr="00B4451F" w:rsidRDefault="00461964" w:rsidP="00461964">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can also be produced through cell fusion where cells from two different organisms that do not belong to the same taxonomic family are fused resulting in an organism containing the genetic information from both parental cells. The resulting LMO may contain the complete genomes of the parental organisms or parts of their genomes. Cell fusion can be applied to bacterial, fungal, plant or animal cells, using a variety of techniques to promote fusion. </w:t>
      </w:r>
      <w:r>
        <w:rPr>
          <w:rFonts w:ascii="Times New Roman" w:eastAsia="Times New Roman" w:hAnsi="Times New Roman" w:cs="Times New Roman"/>
          <w:lang w:val="en-US"/>
        </w:rPr>
        <w:t xml:space="preserve">To date no LMOs have been produced using this technique. </w:t>
      </w:r>
    </w:p>
    <w:p w14:paraId="17E106AF"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t>Overview of available detection and identification methods</w:t>
      </w:r>
      <w:r w:rsidRPr="0070629E">
        <w:rPr>
          <w:rFonts w:ascii="Times New Roman" w:eastAsia="Calibri" w:hAnsi="Times New Roman" w:cs="Times New Roman"/>
          <w:b/>
          <w:bCs/>
          <w:i/>
          <w:iCs/>
          <w:sz w:val="28"/>
          <w:szCs w:val="28"/>
          <w:vertAlign w:val="superscript"/>
          <w:lang w:val="en-CA" w:eastAsia="x-none"/>
        </w:rPr>
        <w:footnoteReference w:id="5"/>
      </w:r>
    </w:p>
    <w:p w14:paraId="543C1984" w14:textId="6073FBFA" w:rsidR="002A0B14" w:rsidRDefault="00E44FFA" w:rsidP="00E44FFA">
      <w:pPr>
        <w:tabs>
          <w:tab w:val="left" w:pos="900"/>
        </w:tabs>
        <w:spacing w:before="240" w:after="240"/>
        <w:jc w:val="both"/>
        <w:rPr>
          <w:rFonts w:ascii="Times New Roman" w:eastAsia="MS Mincho" w:hAnsi="Times New Roman" w:cs="Times New Roman"/>
          <w:lang w:eastAsia="ja-JP"/>
        </w:rPr>
      </w:pPr>
      <w:bookmarkStart w:id="0" w:name="1GeneralintroductionintoGMdetectionmetho"/>
      <w:bookmarkEnd w:id="0"/>
      <w:r w:rsidRPr="00B4451F">
        <w:rPr>
          <w:rFonts w:ascii="Times New Roman" w:eastAsia="MS Mincho" w:hAnsi="Times New Roman" w:cs="Times New Roman"/>
          <w:lang w:eastAsia="ja-JP"/>
        </w:rPr>
        <w:t xml:space="preserve">A number of methodologies and techniques are available to detect, identify and quantify living modified organisms. These methodologies range from fast and cost-effective, such as lateral flow </w:t>
      </w:r>
      <w:r w:rsidR="00C0390F">
        <w:rPr>
          <w:rFonts w:ascii="Times New Roman" w:eastAsia="MS Mincho" w:hAnsi="Times New Roman" w:cs="Times New Roman"/>
          <w:lang w:eastAsia="ja-JP"/>
        </w:rPr>
        <w:t>strip</w:t>
      </w:r>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endpoint </w:t>
      </w:r>
      <w:r w:rsidR="00C0390F" w:rsidRPr="00C0390F">
        <w:rPr>
          <w:rFonts w:ascii="Times New Roman" w:eastAsia="MS Mincho" w:hAnsi="Times New Roman" w:cs="Times New Roman"/>
          <w:lang w:eastAsia="ja-JP"/>
        </w:rPr>
        <w:lastRenderedPageBreak/>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to those that can be more complex,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42025B7D"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When planning and setting up a laboratory for the detection and identification of LMOs choice</w:t>
      </w:r>
      <w:r w:rsidR="00952851">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can</w:t>
      </w:r>
      <w:r w:rsidRPr="00B4451F">
        <w:rPr>
          <w:rFonts w:ascii="Times New Roman" w:eastAsia="MS Mincho" w:hAnsi="Times New Roman" w:cs="Times New Roman"/>
          <w:lang w:eastAsia="ja-JP"/>
        </w:rPr>
        <w:t xml:space="preserve"> be made regarding which methods and protocols will be adopted. For service-oriented laboratories, particularly those serving regulatory authorities, the selection of methods is guided by, among other </w:t>
      </w:r>
      <w:r w:rsidR="002A0B14">
        <w:rPr>
          <w:rFonts w:ascii="Times New Roman" w:eastAsia="MS Mincho" w:hAnsi="Times New Roman" w:cs="Times New Roman"/>
          <w:lang w:eastAsia="ja-JP"/>
        </w:rPr>
        <w:t>considerations</w:t>
      </w:r>
      <w:r w:rsidRPr="00B4451F">
        <w:rPr>
          <w:rFonts w:ascii="Times New Roman" w:eastAsia="MS Mincho" w:hAnsi="Times New Roman" w:cs="Times New Roman"/>
          <w:lang w:eastAsia="ja-JP"/>
        </w:rPr>
        <w:t xml:space="preserve">, the country’s specific regulatory requirements in accordance with national biosafety laws. The </w:t>
      </w:r>
      <w:r w:rsidR="002A0B14">
        <w:rPr>
          <w:rFonts w:ascii="Times New Roman" w:eastAsia="MS Mincho" w:hAnsi="Times New Roman" w:cs="Times New Roman"/>
          <w:lang w:eastAsia="ja-JP"/>
        </w:rPr>
        <w:t>m</w:t>
      </w:r>
      <w:r w:rsidRPr="00B4451F">
        <w:rPr>
          <w:rFonts w:ascii="Times New Roman" w:eastAsia="MS Mincho" w:hAnsi="Times New Roman" w:cs="Times New Roman"/>
          <w:lang w:eastAsia="ja-JP"/>
        </w:rPr>
        <w:t xml:space="preserve">ethodologies may  range from qualitative methods </w:t>
      </w:r>
      <w:r w:rsidR="002A0B14">
        <w:rPr>
          <w:rFonts w:ascii="Times New Roman" w:eastAsia="MS Mincho" w:hAnsi="Times New Roman" w:cs="Times New Roman"/>
          <w:lang w:eastAsia="ja-JP"/>
        </w:rPr>
        <w:t>that are used to</w:t>
      </w:r>
      <w:r w:rsidR="006E0A36">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6E0A36">
        <w:rPr>
          <w:rFonts w:ascii="Times New Roman" w:eastAsia="MS Mincho" w:hAnsi="Times New Roman" w:cs="Times New Roman"/>
          <w:lang w:eastAsia="ja-JP"/>
        </w:rPr>
        <w:t xml:space="preserve"> </w:t>
      </w:r>
      <w:r w:rsidR="002A0B14">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presence of LMOs</w:t>
      </w:r>
      <w:r w:rsidR="002A0B14">
        <w:rPr>
          <w:rFonts w:ascii="Times New Roman" w:eastAsia="MS Mincho" w:hAnsi="Times New Roman" w:cs="Times New Roman"/>
          <w:lang w:eastAsia="ja-JP"/>
        </w:rPr>
        <w:t xml:space="preserve"> in general. Other tests allow for the identification of</w:t>
      </w:r>
      <w:r w:rsidRPr="00B4451F">
        <w:rPr>
          <w:rFonts w:ascii="Times New Roman" w:eastAsia="MS Mincho" w:hAnsi="Times New Roman" w:cs="Times New Roman"/>
          <w:lang w:eastAsia="ja-JP"/>
        </w:rPr>
        <w:t xml:space="preserve"> individual LMOs</w:t>
      </w:r>
      <w:r w:rsidR="002A0B14">
        <w:rPr>
          <w:rFonts w:ascii="Times New Roman" w:eastAsia="MS Mincho" w:hAnsi="Times New Roman" w:cs="Times New Roman"/>
          <w:lang w:eastAsia="ja-JP"/>
        </w:rPr>
        <w:t xml:space="preserve"> while others are  </w:t>
      </w:r>
      <w:r w:rsidRPr="00B4451F">
        <w:rPr>
          <w:rFonts w:ascii="Times New Roman" w:eastAsia="MS Mincho" w:hAnsi="Times New Roman" w:cs="Times New Roman"/>
          <w:lang w:eastAsia="ja-JP"/>
        </w:rPr>
        <w:t xml:space="preserve">quantitative tests that </w:t>
      </w:r>
      <w:r w:rsidR="002A0B14">
        <w:rPr>
          <w:rFonts w:ascii="Times New Roman" w:eastAsia="MS Mincho" w:hAnsi="Times New Roman" w:cs="Times New Roman"/>
          <w:lang w:eastAsia="ja-JP"/>
        </w:rPr>
        <w:t>provide information on the quantity</w:t>
      </w:r>
      <w:r w:rsidRPr="00B4451F">
        <w:rPr>
          <w:rFonts w:ascii="Times New Roman" w:eastAsia="MS Mincho" w:hAnsi="Times New Roman" w:cs="Times New Roman"/>
          <w:lang w:eastAsia="ja-JP"/>
        </w:rPr>
        <w:t xml:space="preserve"> of LMOs present in a sample. </w:t>
      </w:r>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r w:rsidRPr="00694B07">
        <w:rPr>
          <w:rFonts w:ascii="Times New Roman" w:eastAsia="MS Mincho" w:hAnsi="Times New Roman" w:cs="Times New Roman"/>
          <w:lang w:eastAsia="ja-JP"/>
        </w:rPr>
        <w:t>Either the DNA or the protein molecules can be targeted for the detection or identification of such LMOs. Both approaches have advantages and disadvantages and the adoption of one over the other, or both, depends largely on the available expertise, infrastructure, capacity to handle samples, laboratory equipment, required assay sensitivity and regulatory requirements.</w:t>
      </w:r>
    </w:p>
    <w:p w14:paraId="22A6BA97" w14:textId="6F7C9689" w:rsidR="001C23DC"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Below is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tbl>
      <w:tblPr>
        <w:tblW w:w="9087" w:type="dxa"/>
        <w:jc w:val="center"/>
        <w:tblLook w:val="04A0" w:firstRow="1" w:lastRow="0" w:firstColumn="1" w:lastColumn="0" w:noHBand="0" w:noVBand="1"/>
      </w:tblPr>
      <w:tblGrid>
        <w:gridCol w:w="1371"/>
        <w:gridCol w:w="1031"/>
        <w:gridCol w:w="3340"/>
        <w:gridCol w:w="3345"/>
      </w:tblGrid>
      <w:tr w:rsidR="001C23DC" w:rsidRPr="001C23DC" w14:paraId="19D6860A" w14:textId="77777777" w:rsidTr="0051503D">
        <w:trPr>
          <w:trHeight w:val="300"/>
          <w:jc w:val="center"/>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3B1A1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lastRenderedPageBreak/>
              <w:t>Analysis</w:t>
            </w: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763C5F5"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Test</w:t>
            </w:r>
          </w:p>
        </w:tc>
        <w:tc>
          <w:tcPr>
            <w:tcW w:w="3405" w:type="dxa"/>
            <w:tcBorders>
              <w:top w:val="single" w:sz="8" w:space="0" w:color="auto"/>
              <w:left w:val="nil"/>
              <w:bottom w:val="single" w:sz="8" w:space="0" w:color="auto"/>
              <w:right w:val="single" w:sz="8" w:space="0" w:color="auto"/>
            </w:tcBorders>
            <w:shd w:val="clear" w:color="auto" w:fill="auto"/>
            <w:vAlign w:val="center"/>
            <w:hideMark/>
          </w:tcPr>
          <w:p w14:paraId="68666C5D"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Advantages</w:t>
            </w:r>
          </w:p>
        </w:tc>
        <w:tc>
          <w:tcPr>
            <w:tcW w:w="3407" w:type="dxa"/>
            <w:tcBorders>
              <w:top w:val="single" w:sz="8" w:space="0" w:color="auto"/>
              <w:left w:val="nil"/>
              <w:bottom w:val="single" w:sz="8" w:space="0" w:color="auto"/>
              <w:right w:val="single" w:sz="8" w:space="0" w:color="auto"/>
            </w:tcBorders>
            <w:shd w:val="clear" w:color="auto" w:fill="auto"/>
            <w:vAlign w:val="center"/>
            <w:hideMark/>
          </w:tcPr>
          <w:p w14:paraId="3C5812D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Disadvantages</w:t>
            </w:r>
          </w:p>
        </w:tc>
      </w:tr>
      <w:tr w:rsidR="001C23DC" w:rsidRPr="001C23DC" w14:paraId="01ABE600" w14:textId="77777777" w:rsidTr="0051503D">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55E0E441" w14:textId="57E5BECF"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Protein Based Method</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2FA17B6A"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Strip test</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1808A9AA"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rapid and can be performed onsite, this method is very useful as an initial screen for seed and grain</w:t>
            </w:r>
          </w:p>
        </w:tc>
        <w:tc>
          <w:tcPr>
            <w:tcW w:w="3407" w:type="dxa"/>
            <w:tcBorders>
              <w:top w:val="nil"/>
              <w:left w:val="nil"/>
              <w:bottom w:val="single" w:sz="8" w:space="0" w:color="auto"/>
              <w:right w:val="single" w:sz="8" w:space="0" w:color="auto"/>
            </w:tcBorders>
            <w:shd w:val="clear" w:color="auto" w:fill="auto"/>
            <w:vAlign w:val="center"/>
            <w:hideMark/>
          </w:tcPr>
          <w:p w14:paraId="1F61B00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 xml:space="preserve">Often low sensitivity (Limit of </w:t>
            </w:r>
            <w:commentRangeStart w:id="1"/>
            <w:r w:rsidRPr="0051503D">
              <w:rPr>
                <w:rFonts w:asciiTheme="majorBidi" w:eastAsia="Calibri" w:hAnsiTheme="majorBidi" w:cstheme="majorBidi"/>
                <w:color w:val="000000"/>
                <w:lang w:eastAsia="en-CA"/>
              </w:rPr>
              <w:t>detection 0.1-1%)</w:t>
            </w:r>
            <w:commentRangeEnd w:id="1"/>
            <w:r w:rsidR="002D2B42">
              <w:rPr>
                <w:rStyle w:val="Refdecomentario"/>
              </w:rPr>
              <w:commentReference w:id="1"/>
            </w:r>
          </w:p>
        </w:tc>
      </w:tr>
      <w:tr w:rsidR="001C23DC" w:rsidRPr="001C23DC" w14:paraId="69F4B5F8"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AA34A7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256CA77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54AE39D"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650ACA03"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not performed with laboratory controls, operator error resulting in inaccurate test results can sometimes be an issue.</w:t>
            </w:r>
          </w:p>
        </w:tc>
      </w:tr>
      <w:tr w:rsidR="001C23DC" w:rsidRPr="001C23DC" w14:paraId="116A5C36"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6BF5E5F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847D76"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274AD59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7CEFAA6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Not appropriate for processed products</w:t>
            </w:r>
          </w:p>
        </w:tc>
      </w:tr>
      <w:tr w:rsidR="001C23DC" w:rsidRPr="001C23DC" w14:paraId="41083849"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8604F12"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1C63C0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3454FF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5519275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GM protein levels may vary between different commercial GM cultivars and different parts of the same GM plant</w:t>
            </w:r>
          </w:p>
        </w:tc>
      </w:tr>
      <w:tr w:rsidR="001C23DC" w:rsidRPr="001C23DC" w14:paraId="39ADB759"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73641B0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626D41C4"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ELISA</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30971387"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High sensitivity (Limit of detection 0.01-0.1%)</w:t>
            </w:r>
          </w:p>
        </w:tc>
        <w:tc>
          <w:tcPr>
            <w:tcW w:w="3407" w:type="dxa"/>
            <w:tcBorders>
              <w:top w:val="nil"/>
              <w:left w:val="nil"/>
              <w:bottom w:val="single" w:sz="8" w:space="0" w:color="auto"/>
              <w:right w:val="single" w:sz="8" w:space="0" w:color="auto"/>
            </w:tcBorders>
            <w:shd w:val="clear" w:color="auto" w:fill="auto"/>
            <w:vAlign w:val="center"/>
            <w:hideMark/>
          </w:tcPr>
          <w:p w14:paraId="2ED4EDA6"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Not appropriate for processed products</w:t>
            </w:r>
          </w:p>
        </w:tc>
      </w:tr>
      <w:tr w:rsidR="001C23DC" w:rsidRPr="001C23DC" w14:paraId="58813DA1" w14:textId="77777777" w:rsidTr="0051503D">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585F941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5C1307D"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7B39750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664AA3F8"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GM protein levels may vary between different commercial GM cultivars and different parts of the same GM plant</w:t>
            </w:r>
          </w:p>
        </w:tc>
      </w:tr>
      <w:tr w:rsidR="001C23DC" w:rsidRPr="001C23DC" w14:paraId="34B64F5A"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262FD6"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1062997"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0C8CBDF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0E60DACB"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0D358307" w14:textId="77777777" w:rsidTr="0051503D">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510EEC9C" w14:textId="73DDD2DC"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DNA Based Method</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4498105C"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commentRangeStart w:id="2"/>
            <w:r w:rsidRPr="0051503D">
              <w:rPr>
                <w:rFonts w:asciiTheme="majorBidi" w:eastAsia="Calibri" w:hAnsiTheme="majorBidi" w:cstheme="majorBidi"/>
                <w:color w:val="000000"/>
                <w:lang w:eastAsia="en-CA"/>
              </w:rPr>
              <w:t>PCR</w:t>
            </w:r>
            <w:commentRangeEnd w:id="2"/>
            <w:r w:rsidR="002D2B42">
              <w:rPr>
                <w:rStyle w:val="Refdecomentario"/>
              </w:rPr>
              <w:commentReference w:id="2"/>
            </w:r>
          </w:p>
        </w:tc>
        <w:tc>
          <w:tcPr>
            <w:tcW w:w="3405" w:type="dxa"/>
            <w:tcBorders>
              <w:top w:val="nil"/>
              <w:left w:val="nil"/>
              <w:bottom w:val="single" w:sz="8" w:space="0" w:color="auto"/>
              <w:right w:val="single" w:sz="8" w:space="0" w:color="auto"/>
            </w:tcBorders>
            <w:shd w:val="clear" w:color="auto" w:fill="auto"/>
            <w:vAlign w:val="center"/>
            <w:hideMark/>
          </w:tcPr>
          <w:p w14:paraId="79C58501"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High sensitivity (limit of detection 0.01%) and specificity</w:t>
            </w:r>
          </w:p>
        </w:tc>
        <w:tc>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p w14:paraId="298C7A1D"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 xml:space="preserve">Must be performed in a </w:t>
            </w:r>
            <w:commentRangeStart w:id="3"/>
            <w:r w:rsidRPr="0051503D">
              <w:rPr>
                <w:rFonts w:asciiTheme="majorBidi" w:eastAsia="Calibri" w:hAnsiTheme="majorBidi" w:cstheme="majorBidi"/>
                <w:color w:val="000000"/>
                <w:lang w:eastAsia="en-CA"/>
              </w:rPr>
              <w:t>laboratory</w:t>
            </w:r>
            <w:commentRangeEnd w:id="3"/>
            <w:r w:rsidR="002D2B42">
              <w:rPr>
                <w:rStyle w:val="Refdecomentario"/>
              </w:rPr>
              <w:commentReference w:id="3"/>
            </w:r>
          </w:p>
        </w:tc>
      </w:tr>
      <w:tr w:rsidR="001C23DC" w:rsidRPr="001C23DC" w14:paraId="100572D8"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8F06AE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1A40EA3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35F8DC6F"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Capable of detecting all GMOs</w:t>
            </w:r>
          </w:p>
        </w:tc>
        <w:tc>
          <w:tcPr>
            <w:tcW w:w="3407" w:type="dxa"/>
            <w:vMerge/>
            <w:tcBorders>
              <w:top w:val="nil"/>
              <w:left w:val="single" w:sz="8" w:space="0" w:color="auto"/>
              <w:bottom w:val="single" w:sz="8" w:space="0" w:color="000000"/>
              <w:right w:val="single" w:sz="8" w:space="0" w:color="auto"/>
            </w:tcBorders>
            <w:vAlign w:val="center"/>
            <w:hideMark/>
          </w:tcPr>
          <w:p w14:paraId="272D4D9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C11E326" w14:textId="77777777" w:rsidTr="0051503D">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C1380A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3BDC7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0BA1741B"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Allows definitive quantification</w:t>
            </w:r>
          </w:p>
        </w:tc>
        <w:tc>
          <w:tcPr>
            <w:tcW w:w="3407" w:type="dxa"/>
            <w:vMerge/>
            <w:tcBorders>
              <w:top w:val="nil"/>
              <w:left w:val="single" w:sz="8" w:space="0" w:color="auto"/>
              <w:bottom w:val="single" w:sz="8" w:space="0" w:color="000000"/>
              <w:right w:val="single" w:sz="8" w:space="0" w:color="auto"/>
            </w:tcBorders>
            <w:vAlign w:val="center"/>
            <w:hideMark/>
          </w:tcPr>
          <w:p w14:paraId="4BEFDD8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3A172A19"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65440C9B"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EA4946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1336DBF2"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Effective with broad range of sample types</w:t>
            </w:r>
          </w:p>
        </w:tc>
        <w:tc>
          <w:tcPr>
            <w:tcW w:w="3407" w:type="dxa"/>
            <w:vMerge/>
            <w:tcBorders>
              <w:top w:val="nil"/>
              <w:left w:val="single" w:sz="8" w:space="0" w:color="auto"/>
              <w:bottom w:val="single" w:sz="8" w:space="0" w:color="000000"/>
              <w:right w:val="single" w:sz="8" w:space="0" w:color="auto"/>
            </w:tcBorders>
            <w:vAlign w:val="center"/>
            <w:hideMark/>
          </w:tcPr>
          <w:p w14:paraId="3AA07E3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F7442EC" w14:textId="77777777" w:rsidTr="0051503D">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25B6CF4F"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13BD57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6F1752EE"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Industry standard used worldwide in surveillance and testing labs</w:t>
            </w:r>
          </w:p>
        </w:tc>
        <w:tc>
          <w:tcPr>
            <w:tcW w:w="3407" w:type="dxa"/>
            <w:vMerge/>
            <w:tcBorders>
              <w:top w:val="nil"/>
              <w:left w:val="single" w:sz="8" w:space="0" w:color="auto"/>
              <w:bottom w:val="single" w:sz="8" w:space="0" w:color="000000"/>
              <w:right w:val="single" w:sz="8" w:space="0" w:color="auto"/>
            </w:tcBorders>
            <w:vAlign w:val="center"/>
            <w:hideMark/>
          </w:tcPr>
          <w:p w14:paraId="6CD556E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rFonts w:ascii="Times New Roman" w:eastAsia="MS Mincho" w:hAnsi="Times New Roman" w:cs="Times New Roman"/>
          <w:lang w:eastAsia="ja-JP"/>
        </w:rPr>
      </w:pPr>
    </w:p>
    <w:p w14:paraId="40153EFD" w14:textId="77777777" w:rsidR="001C23DC" w:rsidRPr="0051503D" w:rsidRDefault="001C23DC" w:rsidP="001C23DC">
      <w:pPr>
        <w:spacing w:before="240" w:after="240"/>
        <w:jc w:val="both"/>
        <w:rPr>
          <w:rFonts w:asciiTheme="majorBidi" w:eastAsia="MS Minngs" w:hAnsiTheme="majorBidi" w:cstheme="majorBidi"/>
          <w:lang w:val="en-US"/>
        </w:rPr>
      </w:pPr>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hyperlink r:id="rId13" w:history="1">
        <w:r w:rsidRPr="0051503D">
          <w:rPr>
            <w:rFonts w:asciiTheme="majorBidi" w:eastAsia="MS Minngs" w:hAnsiTheme="majorBidi" w:cstheme="majorBidi"/>
            <w:color w:val="0000FF"/>
            <w:u w:val="single"/>
            <w:lang w:val="en-US"/>
          </w:rPr>
          <w:t>http://www.gmotesting.com/Testing-Options</w:t>
        </w:r>
      </w:hyperlink>
      <w:r w:rsidRPr="0051503D">
        <w:rPr>
          <w:rFonts w:asciiTheme="majorBidi" w:eastAsia="MS Minngs" w:hAnsiTheme="majorBidi" w:cstheme="majorBidi"/>
          <w:lang w:val="en-US"/>
        </w:rPr>
        <w:t xml:space="preserve"> </w:t>
      </w:r>
    </w:p>
    <w:tbl>
      <w:tblPr>
        <w:tblW w:w="10180" w:type="dxa"/>
        <w:jc w:val="center"/>
        <w:tblLook w:val="04A0" w:firstRow="1" w:lastRow="0" w:firstColumn="1" w:lastColumn="0" w:noHBand="0" w:noVBand="1"/>
      </w:tblPr>
      <w:tblGrid>
        <w:gridCol w:w="1384"/>
        <w:gridCol w:w="891"/>
        <w:gridCol w:w="1093"/>
        <w:gridCol w:w="3405"/>
        <w:gridCol w:w="3407"/>
      </w:tblGrid>
      <w:tr w:rsidR="001C23DC" w:rsidRPr="0074688C" w14:paraId="1BDC55D5" w14:textId="77777777" w:rsidTr="00F96C54">
        <w:trPr>
          <w:trHeight w:val="300"/>
          <w:jc w:val="center"/>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1A4AB6"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lastRenderedPageBreak/>
              <w:t>Analysis</w:t>
            </w:r>
          </w:p>
        </w:tc>
        <w:tc>
          <w:tcPr>
            <w:tcW w:w="891" w:type="dxa"/>
            <w:tcBorders>
              <w:top w:val="single" w:sz="8" w:space="0" w:color="auto"/>
              <w:left w:val="nil"/>
              <w:bottom w:val="single" w:sz="8" w:space="0" w:color="auto"/>
              <w:right w:val="single" w:sz="8" w:space="0" w:color="auto"/>
            </w:tcBorders>
            <w:shd w:val="clear" w:color="auto" w:fill="auto"/>
            <w:vAlign w:val="center"/>
            <w:hideMark/>
          </w:tcPr>
          <w:p w14:paraId="2BB0FBE3"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Test</w:t>
            </w:r>
          </w:p>
        </w:tc>
        <w:tc>
          <w:tcPr>
            <w:tcW w:w="1093" w:type="dxa"/>
            <w:tcBorders>
              <w:top w:val="single" w:sz="8" w:space="0" w:color="auto"/>
              <w:left w:val="nil"/>
              <w:bottom w:val="single" w:sz="8" w:space="0" w:color="auto"/>
              <w:right w:val="single" w:sz="8" w:space="0" w:color="auto"/>
            </w:tcBorders>
            <w:shd w:val="clear" w:color="auto" w:fill="auto"/>
            <w:vAlign w:val="center"/>
            <w:hideMark/>
          </w:tcPr>
          <w:p w14:paraId="3FBC1027"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Measures</w:t>
            </w:r>
          </w:p>
        </w:tc>
        <w:tc>
          <w:tcPr>
            <w:tcW w:w="3405" w:type="dxa"/>
            <w:tcBorders>
              <w:top w:val="single" w:sz="8" w:space="0" w:color="auto"/>
              <w:left w:val="nil"/>
              <w:bottom w:val="single" w:sz="8" w:space="0" w:color="auto"/>
              <w:right w:val="single" w:sz="8" w:space="0" w:color="auto"/>
            </w:tcBorders>
            <w:shd w:val="clear" w:color="auto" w:fill="auto"/>
            <w:vAlign w:val="center"/>
            <w:hideMark/>
          </w:tcPr>
          <w:p w14:paraId="2CC47618"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Advantages</w:t>
            </w:r>
          </w:p>
        </w:tc>
        <w:tc>
          <w:tcPr>
            <w:tcW w:w="3407" w:type="dxa"/>
            <w:tcBorders>
              <w:top w:val="single" w:sz="8" w:space="0" w:color="auto"/>
              <w:left w:val="nil"/>
              <w:bottom w:val="single" w:sz="8" w:space="0" w:color="auto"/>
              <w:right w:val="single" w:sz="8" w:space="0" w:color="auto"/>
            </w:tcBorders>
            <w:shd w:val="clear" w:color="auto" w:fill="auto"/>
            <w:vAlign w:val="center"/>
            <w:hideMark/>
          </w:tcPr>
          <w:p w14:paraId="07F34CF7" w14:textId="77777777" w:rsidR="001C23DC" w:rsidRPr="0074688C" w:rsidRDefault="001C23DC" w:rsidP="001C23DC">
            <w:pPr>
              <w:keepNext/>
              <w:keepLines/>
              <w:spacing w:after="0"/>
              <w:jc w:val="center"/>
              <w:rPr>
                <w:rFonts w:ascii="Calibri" w:eastAsia="Times New Roman" w:hAnsi="Calibri" w:cs="Times New Roman"/>
                <w:color w:val="000000"/>
                <w:lang w:eastAsia="en-CA"/>
              </w:rPr>
            </w:pPr>
            <w:r w:rsidRPr="0074688C">
              <w:rPr>
                <w:rFonts w:ascii="Calibri" w:eastAsia="Calibri" w:hAnsi="Calibri" w:cs="Arial"/>
                <w:color w:val="000000"/>
                <w:lang w:eastAsia="en-CA"/>
              </w:rPr>
              <w:t>Disadvantages</w:t>
            </w:r>
          </w:p>
        </w:tc>
      </w:tr>
      <w:tr w:rsidR="001C23DC" w:rsidRPr="0074688C" w14:paraId="32517DD4" w14:textId="77777777" w:rsidTr="00F96C54">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6ED5856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Immunologic</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106B7CA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Strip test</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069A3AB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65CC01E1"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Because the test is rapid and can be performed onsite, this method is very useful as an initial screen for seed and grain</w:t>
            </w:r>
          </w:p>
        </w:tc>
        <w:tc>
          <w:tcPr>
            <w:tcW w:w="3407" w:type="dxa"/>
            <w:tcBorders>
              <w:top w:val="nil"/>
              <w:left w:val="nil"/>
              <w:bottom w:val="single" w:sz="8" w:space="0" w:color="auto"/>
              <w:right w:val="single" w:sz="8" w:space="0" w:color="auto"/>
            </w:tcBorders>
            <w:shd w:val="clear" w:color="auto" w:fill="auto"/>
            <w:vAlign w:val="center"/>
            <w:hideMark/>
          </w:tcPr>
          <w:p w14:paraId="5E710EC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Often low sensitivity (Limit of detection 0.1-1%)</w:t>
            </w:r>
          </w:p>
        </w:tc>
      </w:tr>
      <w:tr w:rsidR="001C23DC" w:rsidRPr="0074688C" w14:paraId="0BC080E4"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7B55000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06F03BA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492E6258"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137FA589"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22FE2AE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Because the test is not performed with laboratory controls, operator error resulting in inaccurate test results can sometimes be an issue.</w:t>
            </w:r>
          </w:p>
        </w:tc>
      </w:tr>
      <w:tr w:rsidR="001C23DC" w:rsidRPr="0074688C" w14:paraId="1E6FB75E"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731D5B4E"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4844AD2E"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0DB4A2A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65D03AC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006ADB67"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1C23DC" w:rsidRPr="0074688C" w14:paraId="1DF71DCC"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EDA466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6CC883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F91B7FB"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144C25E0"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4855C86F"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GM protein levels may vary between different commercial GM cultivars and different parts of the same GM plant</w:t>
            </w:r>
          </w:p>
        </w:tc>
      </w:tr>
      <w:tr w:rsidR="001C23DC" w:rsidRPr="0074688C" w14:paraId="4DB85B84"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2C3EDBE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0287CB26"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ELISA</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2E891F30"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Protein</w:t>
            </w:r>
          </w:p>
        </w:tc>
        <w:tc>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p w14:paraId="5D7E38A0"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High sensitivity (Limit of detection 0.01-0.1%)</w:t>
            </w:r>
          </w:p>
        </w:tc>
        <w:tc>
          <w:tcPr>
            <w:tcW w:w="3407" w:type="dxa"/>
            <w:tcBorders>
              <w:top w:val="nil"/>
              <w:left w:val="nil"/>
              <w:bottom w:val="single" w:sz="8" w:space="0" w:color="auto"/>
              <w:right w:val="single" w:sz="8" w:space="0" w:color="auto"/>
            </w:tcBorders>
            <w:shd w:val="clear" w:color="auto" w:fill="auto"/>
            <w:vAlign w:val="center"/>
            <w:hideMark/>
          </w:tcPr>
          <w:p w14:paraId="4E4F27D8"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Not appropriate for processed products</w:t>
            </w:r>
          </w:p>
        </w:tc>
      </w:tr>
      <w:tr w:rsidR="001C23DC" w:rsidRPr="0074688C" w14:paraId="1F21DAE6" w14:textId="77777777" w:rsidTr="00F96C54">
        <w:trPr>
          <w:trHeight w:val="1170"/>
          <w:jc w:val="center"/>
        </w:trPr>
        <w:tc>
          <w:tcPr>
            <w:tcW w:w="1384" w:type="dxa"/>
            <w:vMerge/>
            <w:tcBorders>
              <w:top w:val="nil"/>
              <w:left w:val="single" w:sz="8" w:space="0" w:color="auto"/>
              <w:bottom w:val="single" w:sz="8" w:space="0" w:color="000000"/>
              <w:right w:val="single" w:sz="8" w:space="0" w:color="auto"/>
            </w:tcBorders>
            <w:vAlign w:val="center"/>
            <w:hideMark/>
          </w:tcPr>
          <w:p w14:paraId="349BACD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5341D44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1F794F0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0BDAACD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5F24BADF"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GM protein levels may vary between different commercial GM cultivars and different parts of the same GM plant</w:t>
            </w:r>
          </w:p>
        </w:tc>
      </w:tr>
      <w:tr w:rsidR="001C23DC" w:rsidRPr="0074688C" w14:paraId="05A0FC15"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D773E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14858623"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6177A8E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hideMark/>
          </w:tcPr>
          <w:p w14:paraId="4696BA79"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hideMark/>
          </w:tcPr>
          <w:p w14:paraId="1F7C7BA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1C23DC" w:rsidRPr="0074688C" w14:paraId="7C184BBF" w14:textId="77777777" w:rsidTr="00F96C54">
        <w:trPr>
          <w:trHeight w:val="590"/>
          <w:jc w:val="center"/>
        </w:trPr>
        <w:tc>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p w14:paraId="0BF3648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Genetic</w:t>
            </w:r>
          </w:p>
        </w:tc>
        <w:tc>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p w14:paraId="13638F85"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PCR</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6D858EF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DNA</w:t>
            </w:r>
          </w:p>
        </w:tc>
        <w:tc>
          <w:tcPr>
            <w:tcW w:w="3405" w:type="dxa"/>
            <w:tcBorders>
              <w:top w:val="nil"/>
              <w:left w:val="nil"/>
              <w:bottom w:val="single" w:sz="8" w:space="0" w:color="auto"/>
              <w:right w:val="single" w:sz="8" w:space="0" w:color="auto"/>
            </w:tcBorders>
            <w:shd w:val="clear" w:color="auto" w:fill="auto"/>
            <w:vAlign w:val="center"/>
            <w:hideMark/>
          </w:tcPr>
          <w:p w14:paraId="37C9CB8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High sensitivity (limit of detection 0.01%) and specificity</w:t>
            </w:r>
          </w:p>
        </w:tc>
        <w:tc>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p w14:paraId="5390FBCA"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Must be performed in a laboratory</w:t>
            </w:r>
          </w:p>
        </w:tc>
      </w:tr>
      <w:tr w:rsidR="001C23DC" w:rsidRPr="0074688C" w14:paraId="4254EDF4"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1ED6A5"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791D664F"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7EAD3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06CFC0F3"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Capable of detecting all GMOs</w:t>
            </w:r>
          </w:p>
        </w:tc>
        <w:tc>
          <w:tcPr>
            <w:tcW w:w="3407" w:type="dxa"/>
            <w:vMerge/>
            <w:tcBorders>
              <w:top w:val="nil"/>
              <w:left w:val="single" w:sz="8" w:space="0" w:color="auto"/>
              <w:bottom w:val="single" w:sz="8" w:space="0" w:color="000000"/>
              <w:right w:val="single" w:sz="8" w:space="0" w:color="auto"/>
            </w:tcBorders>
            <w:vAlign w:val="center"/>
            <w:hideMark/>
          </w:tcPr>
          <w:p w14:paraId="6B29EC23"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4256E0D" w14:textId="77777777" w:rsidTr="00F96C54">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F399191"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6E923F0A"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7B895AE4"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5F70CB32"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Allows definitive quantification</w:t>
            </w:r>
          </w:p>
        </w:tc>
        <w:tc>
          <w:tcPr>
            <w:tcW w:w="3407" w:type="dxa"/>
            <w:vMerge/>
            <w:tcBorders>
              <w:top w:val="nil"/>
              <w:left w:val="single" w:sz="8" w:space="0" w:color="auto"/>
              <w:bottom w:val="single" w:sz="8" w:space="0" w:color="000000"/>
              <w:right w:val="single" w:sz="8" w:space="0" w:color="auto"/>
            </w:tcBorders>
            <w:vAlign w:val="center"/>
            <w:hideMark/>
          </w:tcPr>
          <w:p w14:paraId="05302C70"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22FE8F7F"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4AFBA663"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332B109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1629190D"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41B2BC2C"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Effective with broad range of sample types</w:t>
            </w:r>
          </w:p>
        </w:tc>
        <w:tc>
          <w:tcPr>
            <w:tcW w:w="3407" w:type="dxa"/>
            <w:vMerge/>
            <w:tcBorders>
              <w:top w:val="nil"/>
              <w:left w:val="single" w:sz="8" w:space="0" w:color="auto"/>
              <w:bottom w:val="single" w:sz="8" w:space="0" w:color="000000"/>
              <w:right w:val="single" w:sz="8" w:space="0" w:color="auto"/>
            </w:tcBorders>
            <w:vAlign w:val="center"/>
            <w:hideMark/>
          </w:tcPr>
          <w:p w14:paraId="00E9C386" w14:textId="77777777" w:rsidR="001C23DC" w:rsidRPr="0074688C" w:rsidRDefault="001C23DC" w:rsidP="001C23DC">
            <w:pPr>
              <w:keepNext/>
              <w:keepLines/>
              <w:spacing w:after="0"/>
              <w:rPr>
                <w:rFonts w:ascii="Calibri" w:eastAsia="Times New Roman" w:hAnsi="Calibri" w:cs="Times New Roman"/>
                <w:color w:val="000000"/>
                <w:lang w:eastAsia="en-CA"/>
              </w:rPr>
            </w:pPr>
          </w:p>
        </w:tc>
      </w:tr>
      <w:tr w:rsidR="001C23DC" w:rsidRPr="0074688C" w14:paraId="3C6C8AF5" w14:textId="77777777" w:rsidTr="00F96C54">
        <w:trPr>
          <w:trHeight w:val="590"/>
          <w:jc w:val="center"/>
        </w:trPr>
        <w:tc>
          <w:tcPr>
            <w:tcW w:w="1384" w:type="dxa"/>
            <w:vMerge/>
            <w:tcBorders>
              <w:top w:val="nil"/>
              <w:left w:val="single" w:sz="8" w:space="0" w:color="auto"/>
              <w:bottom w:val="single" w:sz="8" w:space="0" w:color="000000"/>
              <w:right w:val="single" w:sz="8" w:space="0" w:color="auto"/>
            </w:tcBorders>
            <w:vAlign w:val="center"/>
            <w:hideMark/>
          </w:tcPr>
          <w:p w14:paraId="1AD3CE3C"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hideMark/>
          </w:tcPr>
          <w:p w14:paraId="4A9BA3A2"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hideMark/>
          </w:tcPr>
          <w:p w14:paraId="4FE15927" w14:textId="77777777" w:rsidR="001C23DC" w:rsidRPr="0074688C" w:rsidRDefault="001C23DC" w:rsidP="001C23DC">
            <w:pPr>
              <w:keepNext/>
              <w:keepLines/>
              <w:spacing w:after="0"/>
              <w:rPr>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hideMark/>
          </w:tcPr>
          <w:p w14:paraId="1326007E" w14:textId="77777777" w:rsidR="001C23DC" w:rsidRPr="0074688C" w:rsidRDefault="001C23DC" w:rsidP="001C23DC">
            <w:pPr>
              <w:keepNext/>
              <w:keepLines/>
              <w:spacing w:after="0"/>
              <w:jc w:val="both"/>
              <w:rPr>
                <w:rFonts w:ascii="Calibri" w:eastAsia="Times New Roman" w:hAnsi="Calibri" w:cs="Times New Roman"/>
                <w:color w:val="000000"/>
                <w:lang w:eastAsia="en-CA"/>
              </w:rPr>
            </w:pPr>
            <w:r w:rsidRPr="0074688C">
              <w:rPr>
                <w:rFonts w:ascii="Calibri" w:eastAsia="Calibri" w:hAnsi="Calibri" w:cs="Arial"/>
                <w:color w:val="000000"/>
                <w:lang w:eastAsia="en-CA"/>
              </w:rPr>
              <w:t>Industry standard used worldwide in surveillance and testing labs</w:t>
            </w:r>
          </w:p>
        </w:tc>
        <w:tc>
          <w:tcPr>
            <w:tcW w:w="3407" w:type="dxa"/>
            <w:vMerge/>
            <w:tcBorders>
              <w:top w:val="nil"/>
              <w:left w:val="single" w:sz="8" w:space="0" w:color="auto"/>
              <w:bottom w:val="single" w:sz="8" w:space="0" w:color="000000"/>
              <w:right w:val="single" w:sz="8" w:space="0" w:color="auto"/>
            </w:tcBorders>
            <w:vAlign w:val="center"/>
            <w:hideMark/>
          </w:tcPr>
          <w:p w14:paraId="33ED94A7" w14:textId="77777777" w:rsidR="001C23DC" w:rsidRPr="0074688C" w:rsidRDefault="001C23DC" w:rsidP="001C23DC">
            <w:pPr>
              <w:keepNext/>
              <w:keepLines/>
              <w:spacing w:after="0"/>
              <w:rPr>
                <w:rFonts w:ascii="Calibri" w:eastAsia="Times New Roman" w:hAnsi="Calibri" w:cs="Times New Roman"/>
                <w:color w:val="000000"/>
                <w:lang w:eastAsia="en-CA"/>
              </w:rPr>
            </w:pPr>
          </w:p>
        </w:tc>
      </w:tr>
    </w:tbl>
    <w:p w14:paraId="51081504" w14:textId="77777777" w:rsidR="00E44FFA" w:rsidRPr="00B4451F" w:rsidRDefault="00E44FFA" w:rsidP="0051503D">
      <w:pPr>
        <w:tabs>
          <w:tab w:val="left" w:pos="900"/>
        </w:tabs>
        <w:spacing w:before="240" w:after="240"/>
        <w:jc w:val="both"/>
        <w:rPr>
          <w:rFonts w:ascii="Times New Roman" w:eastAsia="Times New Roman" w:hAnsi="Times New Roman" w:cs="Times New Roman"/>
          <w:lang w:val="en-CA"/>
        </w:rPr>
      </w:pPr>
      <w:bookmarkStart w:id="4" w:name="2IntroductiontoproteinversusDNAapproache"/>
      <w:bookmarkEnd w:id="4"/>
      <w:r w:rsidRPr="00B4451F">
        <w:rPr>
          <w:rFonts w:ascii="Times New Roman" w:eastAsia="Times New Roman" w:hAnsi="Times New Roman" w:cs="Times New Roman"/>
          <w:b/>
          <w:bCs/>
          <w:lang w:val="en-CA"/>
        </w:rPr>
        <w:t>Protein-based methods for LMO detection</w:t>
      </w:r>
    </w:p>
    <w:p w14:paraId="3E1B2C92" w14:textId="70158DB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by the inserted genes) can be detected</w:t>
      </w:r>
      <w:r w:rsidR="00694B07">
        <w:rPr>
          <w:rFonts w:ascii="Times New Roman" w:eastAsia="MS Mincho" w:hAnsi="Times New Roman" w:cs="Times New Roman"/>
          <w:lang w:eastAsia="ja-JP"/>
        </w:rPr>
        <w:t xml:space="preserve"> using immunoassays</w:t>
      </w:r>
      <w:r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which are based on</w:t>
      </w:r>
      <w:r w:rsidRPr="00B4451F">
        <w:rPr>
          <w:rFonts w:ascii="Times New Roman" w:eastAsia="MS Mincho" w:hAnsi="Times New Roman" w:cs="Times New Roman"/>
          <w:lang w:eastAsia="ja-JP"/>
        </w:rPr>
        <w:t xml:space="preserve"> antibody recognition of an epitope specific to the transgenic protein. The method of protein testing is either in the form of a lateral flow strip test, a 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format </w:t>
      </w:r>
      <w:r w:rsidR="00694B07">
        <w:rPr>
          <w:rFonts w:ascii="Times New Roman" w:eastAsia="MS Mincho" w:hAnsi="Times New Roman" w:cs="Times New Roman"/>
          <w:lang w:eastAsia="ja-JP"/>
        </w:rPr>
        <w:t xml:space="preserve">such </w:t>
      </w:r>
      <w:r w:rsidRPr="00B4451F">
        <w:rPr>
          <w:rFonts w:ascii="Times New Roman" w:eastAsia="MS Mincho" w:hAnsi="Times New Roman" w:cs="Times New Roman"/>
          <w:lang w:eastAsia="ja-JP"/>
        </w:rPr>
        <w:t xml:space="preserve">as </w:t>
      </w:r>
      <w:r w:rsidR="00694B07">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enzyme-linked immunosorbent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(ELISA) or a gel electrophoresis protein immunoblot</w:t>
      </w:r>
      <w:r w:rsidR="00694B07">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also known as western blot</w:t>
      </w:r>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Since the process of antibody production is extremely complex and costly, detection using these methods typically relies on the availability of commercial antibodies.</w:t>
      </w:r>
    </w:p>
    <w:p w14:paraId="3E685B50" w14:textId="77777777"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 detection using lateral flow strip tests, ELISA or western blot is performed through a simple procedure of extracting total crude proteins from a sample by adding water or buffer followed by sample homogenization. </w:t>
      </w:r>
    </w:p>
    <w:p w14:paraId="3389A904" w14:textId="7BFF887F"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For lateral flow strip testing, </w:t>
      </w:r>
      <w:r w:rsidR="00B9268A">
        <w:rPr>
          <w:rFonts w:ascii="Times New Roman" w:eastAsia="MS Mincho" w:hAnsi="Times New Roman" w:cs="Times New Roman"/>
          <w:lang w:eastAsia="ja-JP"/>
        </w:rPr>
        <w:t>a</w:t>
      </w:r>
      <w:r w:rsidR="00B9268A"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strip is placed in the crude protein extract and a positive result is indicated by the appearance of a test line due to the antibody recognition of the transgenic protein. The advantages of this qualitative method are that it is</w:t>
      </w:r>
      <w:r w:rsidR="00B9268A">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r w:rsidR="00C61A2F">
        <w:rPr>
          <w:rFonts w:ascii="Times New Roman" w:eastAsia="MS Mincho" w:hAnsi="Times New Roman" w:cs="Times New Roman"/>
          <w:lang w:eastAsia="ja-JP"/>
        </w:rPr>
        <w:t xml:space="preserve"> for</w:t>
      </w:r>
      <w:r w:rsidRPr="00B4451F">
        <w:rPr>
          <w:rFonts w:ascii="Times New Roman" w:eastAsia="MS Mincho" w:hAnsi="Times New Roman" w:cs="Times New Roman"/>
          <w:lang w:eastAsia="ja-JP"/>
        </w:rPr>
        <w:t xml:space="preserve"> a semi-quantitative interpretation of the result. </w:t>
      </w:r>
    </w:p>
    <w:p w14:paraId="4325DF56" w14:textId="6E264EA4"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ELISA based approach to LMO detection follows the same </w:t>
      </w:r>
      <w:r w:rsidR="00C61A2F">
        <w:rPr>
          <w:rFonts w:ascii="Times New Roman" w:eastAsia="MS Mincho" w:hAnsi="Times New Roman" w:cs="Times New Roman"/>
          <w:lang w:eastAsia="ja-JP"/>
        </w:rPr>
        <w:t xml:space="preserve">principle as lateral flow strips, and as such it </w:t>
      </w:r>
      <w:r w:rsidR="008C38DB">
        <w:rPr>
          <w:rFonts w:ascii="Times New Roman" w:eastAsia="MS Mincho" w:hAnsi="Times New Roman" w:cs="Times New Roman"/>
          <w:lang w:eastAsia="ja-JP"/>
        </w:rPr>
        <w:t xml:space="preserve">also </w:t>
      </w:r>
      <w:r w:rsidR="00C61A2F">
        <w:rPr>
          <w:rFonts w:ascii="Times New Roman" w:eastAsia="MS Mincho" w:hAnsi="Times New Roman" w:cs="Times New Roman"/>
          <w:lang w:eastAsia="ja-JP"/>
        </w:rPr>
        <w:t xml:space="preserve">involves a </w:t>
      </w:r>
      <w:r w:rsidRPr="00B4451F">
        <w:rPr>
          <w:rFonts w:ascii="Times New Roman" w:eastAsia="MS Mincho" w:hAnsi="Times New Roman" w:cs="Times New Roman"/>
          <w:lang w:eastAsia="ja-JP"/>
        </w:rPr>
        <w:t>crude protein extraction step. However, the</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antibody is used to pre-coat the </w:t>
      </w:r>
      <w:r w:rsidR="008C38DB">
        <w:rPr>
          <w:rFonts w:ascii="Times New Roman" w:eastAsia="MS Mincho" w:hAnsi="Times New Roman" w:cs="Times New Roman"/>
          <w:lang w:eastAsia="ja-JP"/>
        </w:rPr>
        <w:t xml:space="preserve">internal surface </w:t>
      </w:r>
      <w:r w:rsidRPr="00B4451F">
        <w:rPr>
          <w:rFonts w:ascii="Times New Roman" w:eastAsia="MS Mincho" w:hAnsi="Times New Roman" w:cs="Times New Roman"/>
          <w:lang w:eastAsia="ja-JP"/>
        </w:rPr>
        <w:t>of a 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plate. Following a series of steps which allow the target protein to bind to the antibody, the 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 The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r w:rsidRPr="00B4451F">
        <w:rPr>
          <w:rFonts w:ascii="Times New Roman" w:eastAsia="MS Mincho" w:hAnsi="Times New Roman" w:cs="Times New Roman"/>
          <w:lang w:eastAsia="ja-JP"/>
        </w:rPr>
        <w:t xml:space="preserve"> that can be </w:t>
      </w:r>
      <w:r w:rsidR="008C38DB">
        <w:rPr>
          <w:rFonts w:ascii="Times New Roman" w:eastAsia="MS Mincho" w:hAnsi="Times New Roman" w:cs="Times New Roman"/>
          <w:lang w:eastAsia="ja-JP"/>
        </w:rPr>
        <w:t>evaluated</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through visual inspection or </w:t>
      </w:r>
      <w:r w:rsidR="008C38DB">
        <w:rPr>
          <w:rFonts w:ascii="Times New Roman" w:eastAsia="MS Mincho" w:hAnsi="Times New Roman" w:cs="Times New Roman"/>
          <w:lang w:eastAsia="ja-JP"/>
        </w:rPr>
        <w:t>using</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 optical plate reader. This method produces a qualitative result if read through visual inspection. However, a quantitative result can be obtained if</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necessary protein standards</w:t>
      </w:r>
      <w:r w:rsidR="008C38DB">
        <w:rPr>
          <w:rFonts w:ascii="Times New Roman" w:eastAsia="MS Mincho" w:hAnsi="Times New Roman" w:cs="Times New Roman"/>
          <w:lang w:eastAsia="ja-JP"/>
        </w:rPr>
        <w:t xml:space="preserve"> and calibration curves</w:t>
      </w:r>
      <w:r w:rsidRPr="00B4451F">
        <w:rPr>
          <w:rFonts w:ascii="Times New Roman" w:eastAsia="MS Mincho" w:hAnsi="Times New Roman" w:cs="Times New Roman"/>
          <w:lang w:eastAsia="ja-JP"/>
        </w:rPr>
        <w:t xml:space="preserve"> are included on the plate</w:t>
      </w:r>
      <w:r w:rsidR="008C38DB">
        <w:rPr>
          <w:rFonts w:ascii="Times New Roman" w:eastAsia="MS Mincho" w:hAnsi="Times New Roman" w:cs="Times New Roman"/>
          <w:lang w:eastAsia="ja-JP"/>
        </w:rPr>
        <w:t xml:space="preserve"> and</w:t>
      </w:r>
      <w:r w:rsidRPr="00B4451F">
        <w:rPr>
          <w:rFonts w:ascii="Times New Roman" w:eastAsia="MS Mincho" w:hAnsi="Times New Roman" w:cs="Times New Roman"/>
          <w:lang w:eastAsia="ja-JP"/>
        </w:rPr>
        <w:t xml:space="preserve"> an optical plate reader </w:t>
      </w:r>
      <w:r w:rsidR="008C38DB">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used to evaluate the intensity of the </w:t>
      </w:r>
      <w:r w:rsidR="008C38DB">
        <w:rPr>
          <w:rFonts w:ascii="Times New Roman" w:eastAsia="MS Mincho" w:hAnsi="Times New Roman" w:cs="Times New Roman"/>
          <w:lang w:eastAsia="ja-JP"/>
        </w:rPr>
        <w:t>c</w:t>
      </w:r>
      <w:r w:rsidR="008C38DB" w:rsidRPr="008C38DB">
        <w:rPr>
          <w:rFonts w:ascii="Times New Roman" w:eastAsia="MS Mincho" w:hAnsi="Times New Roman" w:cs="Times New Roman"/>
          <w:lang w:eastAsia="ja-JP"/>
        </w:rPr>
        <w:t>olorimetric</w:t>
      </w:r>
      <w:r w:rsidRPr="00B4451F">
        <w:rPr>
          <w:rFonts w:ascii="Times New Roman" w:eastAsia="MS Mincho" w:hAnsi="Times New Roman" w:cs="Times New Roman"/>
          <w:lang w:eastAsia="ja-JP"/>
        </w:rPr>
        <w:t xml:space="preserve"> reaction resulting from antibody recognition of the target protein in the </w:t>
      </w:r>
      <w:r w:rsidR="00C61A2F">
        <w:rPr>
          <w:rFonts w:ascii="Times New Roman" w:eastAsia="MS Mincho" w:hAnsi="Times New Roman" w:cs="Times New Roman"/>
          <w:lang w:eastAsia="ja-JP"/>
        </w:rPr>
        <w:t>sample</w:t>
      </w:r>
      <w:r w:rsidRPr="00B4451F">
        <w:rPr>
          <w:rFonts w:ascii="Times New Roman" w:eastAsia="MS Mincho" w:hAnsi="Times New Roman" w:cs="Times New Roman"/>
          <w:lang w:eastAsia="ja-JP"/>
        </w:rPr>
        <w:t>. 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are 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 qualitative or quantitative result</w:t>
      </w:r>
      <w:r w:rsidR="00C61A2F">
        <w:rPr>
          <w:rFonts w:ascii="Times New Roman" w:eastAsia="MS Mincho" w:hAnsi="Times New Roman" w:cs="Times New Roman"/>
          <w:lang w:eastAsia="ja-JP"/>
        </w:rPr>
        <w:t xml:space="preserve"> can be produced relatively </w:t>
      </w:r>
      <w:r w:rsidR="008C38DB">
        <w:rPr>
          <w:rFonts w:ascii="Times New Roman" w:eastAsia="MS Mincho" w:hAnsi="Times New Roman" w:cs="Times New Roman"/>
          <w:lang w:eastAsia="ja-JP"/>
        </w:rPr>
        <w:t>easily and that it is</w:t>
      </w:r>
      <w:r w:rsidRPr="00B4451F">
        <w:rPr>
          <w:rFonts w:ascii="Times New Roman" w:eastAsia="MS Mincho" w:hAnsi="Times New Roman" w:cs="Times New Roman"/>
          <w:lang w:eastAsia="ja-JP"/>
        </w:rPr>
        <w:t xml:space="preserve"> more sensitive than the lateral flow strip method.</w:t>
      </w:r>
    </w:p>
    <w:p w14:paraId="6754AA98" w14:textId="7B4EC49F" w:rsidR="00B9268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western blotting, the extracted proteins are separated according to their size by gel electrophoresis.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he proteins are</w:t>
      </w:r>
      <w:r w:rsidR="007711DD">
        <w:rPr>
          <w:rFonts w:ascii="Times New Roman" w:eastAsia="MS Mincho" w:hAnsi="Times New Roman" w:cs="Times New Roman"/>
          <w:lang w:eastAsia="ja-JP"/>
        </w:rPr>
        <w:t xml:space="preserve"> then</w:t>
      </w:r>
      <w:r w:rsidRPr="00B4451F">
        <w:rPr>
          <w:rFonts w:ascii="Times New Roman" w:eastAsia="MS Mincho" w:hAnsi="Times New Roman" w:cs="Times New Roman"/>
          <w:lang w:eastAsia="ja-JP"/>
        </w:rPr>
        <w:t xml:space="preserve"> transferred from the gel to a membrane for </w:t>
      </w:r>
      <w:r w:rsidR="00BE7795">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Pr="00B4451F">
        <w:rPr>
          <w:rFonts w:ascii="Times New Roman" w:eastAsia="MS Mincho" w:hAnsi="Times New Roman" w:cs="Times New Roman"/>
          <w:lang w:eastAsia="ja-JP"/>
        </w:rPr>
        <w:t xml:space="preserve"> involves two antibodies: first a primary antibody that is specific to the target protein followed by a secondary antibody, which is linked to a reporter molecule that binds to the primary antibody. After the excess antibody is removed from the membrane, the secondary antibody is typically visualized by colorimetric, chemiluminescent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Pr="00B4451F">
        <w:rPr>
          <w:rFonts w:ascii="Times New Roman" w:eastAsia="MS Mincho" w:hAnsi="Times New Roman" w:cs="Times New Roman"/>
          <w:lang w:eastAsia="ja-JP"/>
        </w:rPr>
        <w:t xml:space="preserve">protein is indicated as a distinct band on the membrane or film. The advantage of this method is that it is sensitive and may detect different isoforms of the target protein. </w:t>
      </w:r>
    </w:p>
    <w:p w14:paraId="1EF5BAC3" w14:textId="21342EB5"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all protein based</w:t>
      </w:r>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its sensitivity is dependent on the binding affinity 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r>
        <w:rPr>
          <w:rFonts w:ascii="Times New Roman" w:eastAsia="MS Mincho" w:hAnsi="Times New Roman" w:cs="Times New Roman"/>
          <w:lang w:eastAsia="ja-JP"/>
        </w:rPr>
        <w:t>, and may be affected by of cross-reactivity between the antibody and native forms of the same protein that may be present in the organism</w:t>
      </w:r>
      <w:r w:rsidRPr="00B4451F">
        <w:rPr>
          <w:rFonts w:ascii="Times New Roman" w:eastAsia="MS Mincho" w:hAnsi="Times New Roman" w:cs="Times New Roman"/>
          <w:lang w:eastAsia="ja-JP"/>
        </w:rPr>
        <w:t>.</w:t>
      </w:r>
      <w:r>
        <w:rPr>
          <w:rFonts w:ascii="Times New Roman" w:eastAsia="MS Mincho" w:hAnsi="Times New Roman" w:cs="Times New Roman"/>
          <w:lang w:eastAsia="ja-JP"/>
        </w:rPr>
        <w:t xml:space="preserve"> </w:t>
      </w:r>
    </w:p>
    <w:p w14:paraId="540AA07B" w14:textId="77777777" w:rsidR="00E44FFA" w:rsidRPr="00B4451F" w:rsidRDefault="00E44FFA" w:rsidP="0051503D">
      <w:pPr>
        <w:spacing w:before="240" w:after="240"/>
        <w:jc w:val="both"/>
        <w:rPr>
          <w:rFonts w:ascii="Times New Roman" w:eastAsia="Times New Roman" w:hAnsi="Times New Roman" w:cs="Times New Roman"/>
          <w:lang w:val="en-CA"/>
        </w:rPr>
      </w:pPr>
      <w:r w:rsidRPr="008052DE">
        <w:rPr>
          <w:rFonts w:ascii="Times New Roman" w:eastAsia="Times New Roman" w:hAnsi="Times New Roman" w:cs="Times New Roman"/>
          <w:b/>
          <w:bCs/>
          <w:lang w:val="en-CA"/>
        </w:rPr>
        <w:t>DNA-based methods for LMO detection</w:t>
      </w:r>
    </w:p>
    <w:p w14:paraId="36BB8020" w14:textId="16D38A9E" w:rsidR="00E44FF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DNA-based methods for LMO detection and identification </w:t>
      </w:r>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PCR is a method that </w:t>
      </w:r>
      <w:r w:rsidR="000C0E00">
        <w:rPr>
          <w:rFonts w:ascii="Times New Roman" w:eastAsia="MS Mincho" w:hAnsi="Times New Roman" w:cs="Times New Roman"/>
          <w:lang w:eastAsia="ja-JP"/>
        </w:rPr>
        <w:t>utilizes</w:t>
      </w:r>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synthetic DNA oligonucleotides, so called “primers”, to replicate or “amplify” targeted regions of an inserted DNA sequence that is present in the LMO. The amplified product can then be detected to determine whether or not DNA originating from an LMO is present in a sample.</w:t>
      </w:r>
      <w:r w:rsidR="000C0E00">
        <w:rPr>
          <w:rFonts w:ascii="Times New Roman" w:eastAsia="MS Mincho" w:hAnsi="Times New Roman" w:cs="Times New Roman"/>
          <w:lang w:eastAsia="ja-JP"/>
        </w:rPr>
        <w:t xml:space="preserve"> </w:t>
      </w:r>
    </w:p>
    <w:p w14:paraId="75C2D7A4" w14:textId="30166DFF" w:rsidR="00E44FFA" w:rsidRPr="00B4451F" w:rsidRDefault="00846F3B">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DNA </w:t>
      </w:r>
      <w:r w:rsidR="00E44FFA" w:rsidRPr="00286290">
        <w:rPr>
          <w:rFonts w:ascii="Times New Roman" w:eastAsia="MS Mincho" w:hAnsi="Times New Roman" w:cs="Times New Roman"/>
          <w:lang w:eastAsia="ja-JP"/>
        </w:rPr>
        <w:t xml:space="preserve">extraction </w:t>
      </w:r>
      <w:r>
        <w:rPr>
          <w:rFonts w:ascii="Times New Roman" w:eastAsia="MS Mincho" w:hAnsi="Times New Roman" w:cs="Times New Roman"/>
          <w:lang w:eastAsia="ja-JP"/>
        </w:rPr>
        <w:t>is required prior to</w:t>
      </w:r>
      <w:r w:rsidR="00E44FFA" w:rsidRPr="00286290">
        <w:rPr>
          <w:rFonts w:ascii="Times New Roman" w:eastAsia="MS Mincho" w:hAnsi="Times New Roman" w:cs="Times New Roman"/>
          <w:lang w:eastAsia="ja-JP"/>
        </w:rPr>
        <w:t xml:space="preserve"> PCR. </w:t>
      </w:r>
      <w:r>
        <w:rPr>
          <w:rFonts w:ascii="Times New Roman" w:eastAsia="MS Mincho" w:hAnsi="Times New Roman" w:cs="Times New Roman"/>
          <w:lang w:eastAsia="ja-JP"/>
        </w:rPr>
        <w:t xml:space="preserve">The choice of extraction method depends on the type of LMO being analysed, since some methods </w:t>
      </w:r>
      <w:r w:rsidR="00016DCA" w:rsidRPr="0051503D">
        <w:rPr>
          <w:rFonts w:ascii="Times New Roman" w:eastAsia="MS Mincho" w:hAnsi="Times New Roman" w:cs="Times New Roman"/>
          <w:lang w:eastAsia="ja-JP"/>
        </w:rPr>
        <w:t xml:space="preserve">are more </w:t>
      </w:r>
      <w:r w:rsidR="00286290" w:rsidRPr="0051503D">
        <w:rPr>
          <w:rFonts w:ascii="Times New Roman" w:eastAsia="MS Mincho" w:hAnsi="Times New Roman" w:cs="Times New Roman"/>
          <w:lang w:eastAsia="ja-JP"/>
        </w:rPr>
        <w:t>suitable</w:t>
      </w:r>
      <w:r w:rsidR="004F6814">
        <w:rPr>
          <w:rFonts w:ascii="Times New Roman" w:eastAsia="MS Mincho" w:hAnsi="Times New Roman" w:cs="Times New Roman"/>
          <w:lang w:eastAsia="ja-JP"/>
        </w:rPr>
        <w:t xml:space="preserve"> than others</w:t>
      </w:r>
      <w:r w:rsidR="00E44FFA" w:rsidRPr="00286290">
        <w:rPr>
          <w:rFonts w:ascii="Times New Roman" w:eastAsia="MS Mincho" w:hAnsi="Times New Roman" w:cs="Times New Roman"/>
          <w:lang w:eastAsia="ja-JP"/>
        </w:rPr>
        <w:t xml:space="preserve"> for particular </w:t>
      </w:r>
      <w:r w:rsidR="006C626E" w:rsidRPr="0051503D">
        <w:rPr>
          <w:rFonts w:ascii="Times New Roman" w:eastAsia="MS Mincho" w:hAnsi="Times New Roman" w:cs="Times New Roman"/>
          <w:lang w:eastAsia="ja-JP"/>
        </w:rPr>
        <w:t>type</w:t>
      </w:r>
      <w:r>
        <w:rPr>
          <w:rFonts w:ascii="Times New Roman" w:eastAsia="MS Mincho" w:hAnsi="Times New Roman" w:cs="Times New Roman"/>
          <w:lang w:eastAsia="ja-JP"/>
        </w:rPr>
        <w:t>s</w:t>
      </w:r>
      <w:r w:rsidR="006C626E" w:rsidRPr="0051503D">
        <w:rPr>
          <w:rFonts w:ascii="Times New Roman" w:eastAsia="MS Mincho" w:hAnsi="Times New Roman" w:cs="Times New Roman"/>
          <w:lang w:eastAsia="ja-JP"/>
        </w:rPr>
        <w:t xml:space="preserve"> of </w:t>
      </w:r>
      <w:r w:rsidR="00E44FFA" w:rsidRPr="00286290">
        <w:rPr>
          <w:rFonts w:ascii="Times New Roman" w:eastAsia="MS Mincho" w:hAnsi="Times New Roman" w:cs="Times New Roman"/>
          <w:lang w:eastAsia="ja-JP"/>
        </w:rPr>
        <w:t>LMO</w:t>
      </w:r>
      <w:r>
        <w:rPr>
          <w:rFonts w:ascii="Times New Roman" w:eastAsia="MS Mincho" w:hAnsi="Times New Roman" w:cs="Times New Roman"/>
          <w:lang w:eastAsia="ja-JP"/>
        </w:rPr>
        <w:t>s</w:t>
      </w:r>
      <w:r w:rsidR="004F6814">
        <w:rPr>
          <w:rFonts w:ascii="Times New Roman" w:eastAsia="MS Mincho" w:hAnsi="Times New Roman" w:cs="Times New Roman"/>
          <w:lang w:eastAsia="ja-JP"/>
        </w:rPr>
        <w:t>, for example leaves versus oil seeds</w:t>
      </w:r>
      <w:r w:rsidR="00E44FFA" w:rsidRP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Following </w:t>
      </w:r>
      <w:r w:rsidR="00937EC4">
        <w:rPr>
          <w:rFonts w:ascii="Times New Roman" w:eastAsia="MS Mincho" w:hAnsi="Times New Roman" w:cs="Times New Roman"/>
          <w:lang w:eastAsia="ja-JP"/>
        </w:rPr>
        <w:t xml:space="preserve"> DNA extraction</w:t>
      </w:r>
      <w:r w:rsidR="00E44FFA" w:rsidRPr="00B4451F">
        <w:rPr>
          <w:rFonts w:ascii="Times New Roman" w:eastAsia="MS Mincho" w:hAnsi="Times New Roman" w:cs="Times New Roman"/>
          <w:lang w:eastAsia="ja-JP"/>
        </w:rPr>
        <w:t>,</w:t>
      </w:r>
      <w:r w:rsid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target sequences are amplified using primers that </w:t>
      </w:r>
      <w:r w:rsidR="00286290">
        <w:rPr>
          <w:rFonts w:ascii="Times New Roman" w:eastAsia="MS Mincho" w:hAnsi="Times New Roman" w:cs="Times New Roman"/>
          <w:lang w:eastAsia="ja-JP"/>
        </w:rPr>
        <w:t>are</w:t>
      </w:r>
      <w:r w:rsidR="00E44FFA" w:rsidRPr="00B4451F">
        <w:rPr>
          <w:rFonts w:ascii="Times New Roman" w:eastAsia="MS Mincho" w:hAnsi="Times New Roman" w:cs="Times New Roman"/>
          <w:lang w:eastAsia="ja-JP"/>
        </w:rPr>
        <w:t xml:space="preserve"> designed to specifically bind</w:t>
      </w:r>
      <w:r w:rsidR="00937EC4">
        <w:rPr>
          <w:rFonts w:ascii="Times New Roman" w:eastAsia="MS Mincho" w:hAnsi="Times New Roman" w:cs="Times New Roman"/>
          <w:lang w:eastAsia="ja-JP"/>
        </w:rPr>
        <w:t xml:space="preserve"> to</w:t>
      </w:r>
      <w:r w:rsidR="00E44FFA" w:rsidRPr="00B4451F">
        <w:rPr>
          <w:rFonts w:ascii="Times New Roman" w:eastAsia="MS Mincho" w:hAnsi="Times New Roman" w:cs="Times New Roman"/>
          <w:lang w:eastAsia="ja-JP"/>
        </w:rPr>
        <w:t xml:space="preserve"> </w:t>
      </w:r>
      <w:r w:rsidR="00937EC4">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target sequence during the PCR reaction. The resulting PCR product </w:t>
      </w:r>
      <w:r w:rsidR="00E44FFA" w:rsidRPr="00B4451F">
        <w:rPr>
          <w:rFonts w:ascii="Times New Roman" w:eastAsia="MS Mincho" w:hAnsi="Times New Roman" w:cs="Times New Roman"/>
          <w:lang w:eastAsia="ja-JP"/>
        </w:rPr>
        <w:lastRenderedPageBreak/>
        <w:t>can either be detected during the amplification process</w:t>
      </w:r>
      <w:r w:rsidR="00937EC4">
        <w:rPr>
          <w:rFonts w:ascii="Times New Roman" w:eastAsia="MS Mincho" w:hAnsi="Times New Roman" w:cs="Times New Roman"/>
          <w:lang w:eastAsia="ja-JP"/>
        </w:rPr>
        <w:t xml:space="preserve"> (real-time PCR)</w:t>
      </w:r>
      <w:r w:rsidR="00E44FFA" w:rsidRPr="00B4451F">
        <w:rPr>
          <w:rFonts w:ascii="Times New Roman" w:eastAsia="MS Mincho" w:hAnsi="Times New Roman" w:cs="Times New Roman"/>
          <w:lang w:eastAsia="ja-JP"/>
        </w:rPr>
        <w:t xml:space="preserve"> or after the PCR is completed</w:t>
      </w:r>
      <w:r w:rsidR="00937EC4">
        <w:rPr>
          <w:rFonts w:ascii="Times New Roman" w:eastAsia="MS Mincho" w:hAnsi="Times New Roman" w:cs="Times New Roman"/>
          <w:lang w:eastAsia="ja-JP"/>
        </w:rPr>
        <w:t xml:space="preserve"> (end-point PCR)</w:t>
      </w:r>
      <w:r w:rsidR="00E44FFA" w:rsidRPr="00B4451F">
        <w:rPr>
          <w:rFonts w:ascii="Times New Roman" w:eastAsia="MS Mincho" w:hAnsi="Times New Roman" w:cs="Times New Roman"/>
          <w:lang w:eastAsia="ja-JP"/>
        </w:rPr>
        <w:t>.</w:t>
      </w:r>
    </w:p>
    <w:p w14:paraId="3F2FCA0C" w14:textId="5043F3E6" w:rsidR="00723C05" w:rsidRDefault="00723C05">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Visualising</w:t>
      </w:r>
      <w:r w:rsidR="00E44FFA" w:rsidRPr="00B4451F">
        <w:rPr>
          <w:rFonts w:ascii="Times New Roman" w:eastAsia="MS Mincho" w:hAnsi="Times New Roman" w:cs="Times New Roman"/>
          <w:lang w:eastAsia="ja-JP"/>
        </w:rPr>
        <w:t xml:space="preserve"> the presence of the target sequence </w:t>
      </w:r>
      <w:r>
        <w:rPr>
          <w:rFonts w:ascii="Times New Roman" w:eastAsia="MS Mincho" w:hAnsi="Times New Roman" w:cs="Times New Roman"/>
          <w:lang w:eastAsia="ja-JP"/>
        </w:rPr>
        <w:t xml:space="preserve">following </w:t>
      </w:r>
      <w:r w:rsidR="00E44FFA" w:rsidRPr="00B4451F">
        <w:rPr>
          <w:rFonts w:ascii="Times New Roman" w:eastAsia="MS Mincho" w:hAnsi="Times New Roman" w:cs="Times New Roman"/>
          <w:lang w:eastAsia="ja-JP"/>
        </w:rPr>
        <w:t>end-point PCR, is done through gel electrophoresis</w:t>
      </w:r>
      <w:r>
        <w:rPr>
          <w:rFonts w:ascii="Times New Roman" w:eastAsia="MS Mincho" w:hAnsi="Times New Roman" w:cs="Times New Roman"/>
          <w:lang w:eastAsia="ja-JP"/>
        </w:rPr>
        <w:t>. This process</w:t>
      </w:r>
      <w:r w:rsidR="00E44FFA"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separates the amplified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by allowing it to migrate</w:t>
      </w:r>
      <w:r w:rsidR="00E44FFA" w:rsidRPr="00B4451F">
        <w:rPr>
          <w:rFonts w:ascii="Times New Roman" w:eastAsia="MS Mincho" w:hAnsi="Times New Roman" w:cs="Times New Roman"/>
          <w:lang w:eastAsia="ja-JP"/>
        </w:rPr>
        <w:t xml:space="preserve"> through a gel matrix under the influence of an electric current. The </w:t>
      </w:r>
      <w:r w:rsidR="00861B79">
        <w:rPr>
          <w:rFonts w:ascii="Times New Roman" w:eastAsia="MS Mincho" w:hAnsi="Times New Roman" w:cs="Times New Roman"/>
          <w:lang w:eastAsia="ja-JP"/>
        </w:rPr>
        <w:t xml:space="preserve">amplified DNA </w:t>
      </w:r>
      <w:r w:rsidR="00E44FFA" w:rsidRPr="00B4451F">
        <w:rPr>
          <w:rFonts w:ascii="Times New Roman" w:eastAsia="MS Mincho" w:hAnsi="Times New Roman" w:cs="Times New Roman"/>
          <w:lang w:eastAsia="ja-JP"/>
        </w:rPr>
        <w:t xml:space="preserve">fragment </w:t>
      </w:r>
      <w:r w:rsidR="00861B79">
        <w:rPr>
          <w:rFonts w:ascii="Times New Roman" w:eastAsia="MS Mincho" w:hAnsi="Times New Roman" w:cs="Times New Roman"/>
          <w:lang w:eastAsia="ja-JP"/>
        </w:rPr>
        <w:t xml:space="preserve">that </w:t>
      </w:r>
      <w:r w:rsidR="00E44FFA" w:rsidRPr="00B4451F">
        <w:rPr>
          <w:rFonts w:ascii="Times New Roman" w:eastAsia="MS Mincho" w:hAnsi="Times New Roman" w:cs="Times New Roman"/>
          <w:lang w:eastAsia="ja-JP"/>
        </w:rPr>
        <w:t>correspon</w:t>
      </w:r>
      <w:r w:rsidR="00861B79">
        <w:rPr>
          <w:rFonts w:ascii="Times New Roman" w:eastAsia="MS Mincho" w:hAnsi="Times New Roman" w:cs="Times New Roman"/>
          <w:lang w:eastAsia="ja-JP"/>
        </w:rPr>
        <w:t>ds</w:t>
      </w:r>
      <w:r w:rsidR="00E44FFA" w:rsidRPr="00B4451F">
        <w:rPr>
          <w:rFonts w:ascii="Times New Roman" w:eastAsia="MS Mincho" w:hAnsi="Times New Roman" w:cs="Times New Roman"/>
          <w:lang w:eastAsia="ja-JP"/>
        </w:rPr>
        <w:t xml:space="preserve"> to the inserted DNA in the LMO can be visualised using a dye that binds to double stranded DNA and fluoresces under ultraviolet light.</w:t>
      </w:r>
      <w:r w:rsidR="00FE01AE">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Real-time PCR technology allows</w:t>
      </w:r>
      <w:r w:rsidR="00861B79">
        <w:rPr>
          <w:rFonts w:ascii="Times New Roman" w:eastAsia="MS Mincho" w:hAnsi="Times New Roman" w:cs="Times New Roman"/>
          <w:lang w:eastAsia="ja-JP"/>
        </w:rPr>
        <w:t xml:space="preserve"> for</w:t>
      </w:r>
      <w:r w:rsidR="00E44FFA" w:rsidRPr="00B4451F">
        <w:rPr>
          <w:rFonts w:ascii="Times New Roman" w:eastAsia="MS Mincho" w:hAnsi="Times New Roman" w:cs="Times New Roman"/>
          <w:lang w:eastAsia="ja-JP"/>
        </w:rPr>
        <w:t xml:space="preserve"> the detection of the amplified target sequence during the PCR amplification process</w:t>
      </w:r>
      <w:r w:rsidR="00861B79">
        <w:rPr>
          <w:rFonts w:ascii="Times New Roman" w:eastAsia="MS Mincho" w:hAnsi="Times New Roman" w:cs="Times New Roman"/>
          <w:lang w:eastAsia="ja-JP"/>
        </w:rPr>
        <w:t>, by</w:t>
      </w:r>
      <w:r w:rsidR="00E44FFA" w:rsidRPr="00B4451F">
        <w:rPr>
          <w:rFonts w:ascii="Times New Roman" w:eastAsia="MS Mincho" w:hAnsi="Times New Roman" w:cs="Times New Roman"/>
          <w:lang w:eastAsia="ja-JP"/>
        </w:rPr>
        <w:t xml:space="preserve"> using either a fluorescent DNA binding dye or </w:t>
      </w:r>
      <w:r w:rsidR="00861B79">
        <w:rPr>
          <w:rFonts w:ascii="Times New Roman" w:eastAsia="MS Mincho" w:hAnsi="Times New Roman" w:cs="Times New Roman"/>
          <w:lang w:eastAsia="ja-JP"/>
        </w:rPr>
        <w:t xml:space="preserve">a </w:t>
      </w:r>
      <w:r w:rsidR="00E44FFA" w:rsidRPr="00B4451F">
        <w:rPr>
          <w:rFonts w:ascii="Times New Roman" w:eastAsia="MS Mincho" w:hAnsi="Times New Roman" w:cs="Times New Roman"/>
          <w:lang w:eastAsia="ja-JP"/>
        </w:rPr>
        <w:t xml:space="preserve">fluorescence tagged probe. </w:t>
      </w:r>
    </w:p>
    <w:p w14:paraId="420B8F68" w14:textId="187DC90B" w:rsidR="00E44FFA" w:rsidRPr="00B4451F" w:rsidRDefault="00E44FFA" w:rsidP="004B5194">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DNA binding dye </w:t>
      </w:r>
      <w:r w:rsidR="004B207B">
        <w:rPr>
          <w:rFonts w:ascii="Times New Roman" w:eastAsia="MS Mincho" w:hAnsi="Times New Roman" w:cs="Times New Roman"/>
          <w:lang w:eastAsia="ja-JP"/>
        </w:rPr>
        <w:t xml:space="preserve">fluoresces </w:t>
      </w:r>
      <w:r w:rsidR="00FE01AE">
        <w:rPr>
          <w:rFonts w:ascii="Times New Roman" w:eastAsia="MS Mincho" w:hAnsi="Times New Roman" w:cs="Times New Roman"/>
          <w:lang w:eastAsia="ja-JP"/>
        </w:rPr>
        <w:t>when it intercalates within double stranded DNA molecules. As PCR progresses the level of fluorescence increases proportionately</w:t>
      </w:r>
      <w:r w:rsidR="004B5194">
        <w:rPr>
          <w:rFonts w:ascii="Times New Roman" w:eastAsia="MS Mincho" w:hAnsi="Times New Roman" w:cs="Times New Roman"/>
          <w:lang w:eastAsia="ja-JP"/>
        </w:rPr>
        <w:t xml:space="preserve"> with the amount of newly synthesised DNA</w:t>
      </w:r>
      <w:r w:rsidR="00FE01AE">
        <w:rPr>
          <w:rFonts w:ascii="Times New Roman" w:eastAsia="MS Mincho" w:hAnsi="Times New Roman" w:cs="Times New Roman"/>
          <w:lang w:eastAsia="ja-JP"/>
        </w:rPr>
        <w:t xml:space="preserve">. Therefore, such dyes </w:t>
      </w:r>
      <w:r w:rsidRPr="00B4451F">
        <w:rPr>
          <w:rFonts w:ascii="Times New Roman" w:eastAsia="MS Mincho" w:hAnsi="Times New Roman" w:cs="Times New Roman"/>
          <w:lang w:eastAsia="ja-JP"/>
        </w:rPr>
        <w:t xml:space="preserve">simply detect the </w:t>
      </w:r>
      <w:r w:rsidR="00FE01AE">
        <w:rPr>
          <w:rFonts w:ascii="Times New Roman" w:eastAsia="MS Mincho" w:hAnsi="Times New Roman" w:cs="Times New Roman"/>
          <w:lang w:eastAsia="ja-JP"/>
        </w:rPr>
        <w:t xml:space="preserve"> amount of PCR product </w:t>
      </w:r>
      <w:r w:rsidR="004B5194">
        <w:rPr>
          <w:rFonts w:ascii="Times New Roman" w:eastAsia="MS Mincho" w:hAnsi="Times New Roman" w:cs="Times New Roman"/>
          <w:lang w:eastAsia="ja-JP"/>
        </w:rPr>
        <w:t>generated</w:t>
      </w:r>
      <w:r w:rsidR="00FE01AE">
        <w:rPr>
          <w:rFonts w:ascii="Times New Roman" w:eastAsia="MS Mincho" w:hAnsi="Times New Roman" w:cs="Times New Roman"/>
          <w:lang w:eastAsia="ja-JP"/>
        </w:rPr>
        <w:t xml:space="preserve"> during the</w:t>
      </w:r>
      <w:r w:rsidRPr="00B4451F">
        <w:rPr>
          <w:rFonts w:ascii="Times New Roman" w:eastAsia="MS Mincho" w:hAnsi="Times New Roman" w:cs="Times New Roman"/>
          <w:lang w:eastAsia="ja-JP"/>
        </w:rPr>
        <w:t xml:space="preserve"> amplification but </w:t>
      </w:r>
      <w:r w:rsidR="00FE01AE">
        <w:rPr>
          <w:rFonts w:ascii="Times New Roman" w:eastAsia="MS Mincho" w:hAnsi="Times New Roman" w:cs="Times New Roman"/>
          <w:lang w:eastAsia="ja-JP"/>
        </w:rPr>
        <w:t>they do</w:t>
      </w:r>
      <w:r w:rsidR="00FE01AE"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not discriminate between specific and non-specific amplification. In contrast, fluorescent probe</w:t>
      </w:r>
      <w:r w:rsidR="004B5194">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can be used to verify that </w:t>
      </w:r>
      <w:r w:rsidR="004B5194">
        <w:rPr>
          <w:rFonts w:ascii="Times New Roman" w:eastAsia="MS Mincho" w:hAnsi="Times New Roman" w:cs="Times New Roman"/>
          <w:lang w:eastAsia="ja-JP"/>
        </w:rPr>
        <w:t>a</w:t>
      </w:r>
      <w:r w:rsidR="004B519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specific target sequence </w:t>
      </w:r>
      <w:r w:rsidR="00F20364">
        <w:rPr>
          <w:rFonts w:ascii="Times New Roman" w:eastAsia="MS Mincho" w:hAnsi="Times New Roman" w:cs="Times New Roman"/>
          <w:lang w:eastAsia="ja-JP"/>
        </w:rPr>
        <w:t>i</w:t>
      </w:r>
      <w:r w:rsidR="00F20364" w:rsidRPr="00B4451F">
        <w:rPr>
          <w:rFonts w:ascii="Times New Roman" w:eastAsia="MS Mincho" w:hAnsi="Times New Roman" w:cs="Times New Roman"/>
          <w:lang w:eastAsia="ja-JP"/>
        </w:rPr>
        <w:t xml:space="preserve">s </w:t>
      </w:r>
      <w:r w:rsidRPr="00B4451F">
        <w:rPr>
          <w:rFonts w:ascii="Times New Roman" w:eastAsia="MS Mincho" w:hAnsi="Times New Roman" w:cs="Times New Roman"/>
          <w:lang w:eastAsia="ja-JP"/>
        </w:rPr>
        <w:t xml:space="preserve">amplified during the PCR process. If real-time PCR technology is used in conjunction with the necessary standards, the </w:t>
      </w:r>
      <w:r w:rsidR="004B5194">
        <w:rPr>
          <w:rFonts w:ascii="Times New Roman" w:eastAsia="MS Mincho" w:hAnsi="Times New Roman" w:cs="Times New Roman"/>
          <w:lang w:eastAsia="ja-JP"/>
        </w:rPr>
        <w:t>quantity of</w:t>
      </w:r>
      <w:r w:rsidRPr="00B4451F">
        <w:rPr>
          <w:rFonts w:ascii="Times New Roman" w:eastAsia="MS Mincho" w:hAnsi="Times New Roman" w:cs="Times New Roman"/>
          <w:lang w:eastAsia="ja-JP"/>
        </w:rPr>
        <w:t xml:space="preserve"> LMO in a sample can be determined. </w:t>
      </w:r>
    </w:p>
    <w:p w14:paraId="714F2A0D" w14:textId="2BC84DB2" w:rsidR="007864D1" w:rsidRDefault="007864D1"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An advantage of </w:t>
      </w:r>
      <w:r w:rsidR="00E44FFA" w:rsidRPr="00B4451F">
        <w:rPr>
          <w:rFonts w:ascii="Times New Roman" w:eastAsia="MS Mincho" w:hAnsi="Times New Roman" w:cs="Times New Roman"/>
          <w:lang w:eastAsia="ja-JP"/>
        </w:rPr>
        <w:t xml:space="preserve">PCR </w:t>
      </w:r>
      <w:r>
        <w:rPr>
          <w:rFonts w:ascii="Times New Roman" w:eastAsia="MS Mincho" w:hAnsi="Times New Roman" w:cs="Times New Roman"/>
          <w:lang w:eastAsia="ja-JP"/>
        </w:rPr>
        <w:t>is</w:t>
      </w:r>
      <w:r w:rsidR="00E44FFA" w:rsidRPr="00B4451F">
        <w:rPr>
          <w:rFonts w:ascii="Times New Roman" w:eastAsia="MS Mincho" w:hAnsi="Times New Roman" w:cs="Times New Roman"/>
          <w:lang w:eastAsia="ja-JP"/>
        </w:rPr>
        <w:t xml:space="preserve"> that it can be used to screen a sample for the presence </w:t>
      </w:r>
      <w:r w:rsidR="00F20364">
        <w:rPr>
          <w:rFonts w:ascii="Times New Roman" w:eastAsia="MS Mincho" w:hAnsi="Times New Roman" w:cs="Times New Roman"/>
          <w:lang w:eastAsia="ja-JP"/>
        </w:rPr>
        <w:t xml:space="preserve">of </w:t>
      </w:r>
      <w:r w:rsidR="00E44FFA" w:rsidRPr="00B4451F">
        <w:rPr>
          <w:rFonts w:ascii="Times New Roman" w:eastAsia="MS Mincho" w:hAnsi="Times New Roman" w:cs="Times New Roman"/>
          <w:lang w:eastAsia="ja-JP"/>
        </w:rPr>
        <w:t xml:space="preserve">LMOs by using primers that target </w:t>
      </w:r>
      <w:r>
        <w:rPr>
          <w:rFonts w:ascii="Times New Roman" w:eastAsia="MS Mincho" w:hAnsi="Times New Roman" w:cs="Times New Roman"/>
          <w:lang w:eastAsia="ja-JP"/>
        </w:rPr>
        <w:t>genetic elements</w:t>
      </w:r>
      <w:r w:rsidR="003A56F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that are commonly found in a </w:t>
      </w:r>
      <w:r>
        <w:rPr>
          <w:rFonts w:ascii="Times New Roman" w:eastAsia="MS Mincho" w:hAnsi="Times New Roman" w:cs="Times New Roman"/>
          <w:lang w:eastAsia="ja-JP"/>
        </w:rPr>
        <w:t>number</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of different LMOs. Depending on the combination of primers used, PCR detection can be gene-specific, construct-specific or event-specific. The differences between each type of PCR target region is represented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commentRangeStart w:id="5"/>
      <w:r w:rsidRPr="00B4451F">
        <w:rPr>
          <w:rFonts w:ascii="Times New Roman" w:eastAsia="MS Mincho" w:hAnsi="Times New Roman" w:cs="Times New Roman"/>
          <w:noProof/>
          <w:lang w:val="es-MX" w:eastAsia="es-MX"/>
        </w:rPr>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commentRangeEnd w:id="5"/>
      <w:r w:rsidR="002D2B42">
        <w:rPr>
          <w:rStyle w:val="Refdecomentario"/>
        </w:rPr>
        <w:commentReference w:id="5"/>
      </w:r>
    </w:p>
    <w:p w14:paraId="45273161" w14:textId="050D2C7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construct) C) event-specific (junction between the inserted construct and the plant genome) Source: National Institute of Biology</w:t>
      </w:r>
    </w:p>
    <w:p w14:paraId="656F6888" w14:textId="6FDF03CC"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can be used to simultaneously screen a sample for LMO content, identify the specific LMO gene or event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Refdenotaalpie"/>
          <w:rFonts w:ascii="Times New Roman" w:eastAsia="MS Mincho" w:hAnsi="Times New Roman" w:cs="Times New Roman"/>
          <w:vertAlign w:val="superscript"/>
          <w:lang w:eastAsia="ja-JP"/>
        </w:rPr>
        <w:footnoteReference w:id="6"/>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approaches can also be used for multi-target detection. 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p>
    <w:p w14:paraId="0B9E2A63" w14:textId="77777777"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Comparison between protein- and DNA-based methods for LMO detection</w:t>
      </w:r>
    </w:p>
    <w:p w14:paraId="1C9A6B71" w14:textId="2A770977" w:rsidR="007864D1"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Both protein- and DNA-based approaches to LMO detection are useful a</w:t>
      </w:r>
      <w:r w:rsidR="00316960">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each </w:t>
      </w:r>
      <w:r w:rsidR="007864D1">
        <w:rPr>
          <w:rFonts w:ascii="Times New Roman" w:eastAsia="MS Mincho" w:hAnsi="Times New Roman" w:cs="Times New Roman"/>
          <w:lang w:eastAsia="ja-JP"/>
        </w:rPr>
        <w:t>one</w:t>
      </w:r>
      <w:r w:rsidR="0031696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serves</w:t>
      </w:r>
      <w:r w:rsidR="007864D1">
        <w:rPr>
          <w:rFonts w:ascii="Times New Roman" w:eastAsia="MS Mincho" w:hAnsi="Times New Roman" w:cs="Times New Roman"/>
          <w:lang w:eastAsia="ja-JP"/>
        </w:rPr>
        <w:t xml:space="preserve"> different purposes</w:t>
      </w:r>
      <w:r w:rsidRPr="00B4451F">
        <w:rPr>
          <w:rFonts w:ascii="Times New Roman" w:eastAsia="MS Mincho" w:hAnsi="Times New Roman" w:cs="Times New Roman"/>
          <w:lang w:eastAsia="ja-JP"/>
        </w:rPr>
        <w:t xml:space="preserve">. </w:t>
      </w:r>
    </w:p>
    <w:p w14:paraId="4DCCCAC4" w14:textId="449291A6"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7"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7"/>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cannot be used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distinguish between different LMO events that may be present in a single sample. In contrast, western blots 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p>
    <w:p w14:paraId="24D30982" w14:textId="3725B159"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are only suitable for detecting LMOs </w:t>
      </w:r>
      <w:r w:rsidR="00B17EEE">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de</w:t>
      </w:r>
      <w:r w:rsidR="00B17EEE">
        <w:rPr>
          <w:rFonts w:ascii="Times New Roman" w:eastAsia="MS Mincho" w:hAnsi="Times New Roman" w:cs="Times New Roman"/>
          <w:lang w:eastAsia="ja-JP"/>
        </w:rPr>
        <w:t xml:space="preserve">signed to </w:t>
      </w:r>
      <w:r w:rsidRPr="00B4451F">
        <w:rPr>
          <w:rFonts w:ascii="Times New Roman" w:eastAsia="MS Mincho" w:hAnsi="Times New Roman" w:cs="Times New Roman"/>
          <w:lang w:eastAsia="ja-JP"/>
        </w:rPr>
        <w:t>produce a protein</w:t>
      </w:r>
      <w:r w:rsidR="00B17EEE">
        <w:rPr>
          <w:rFonts w:ascii="Times New Roman" w:eastAsia="MS Mincho" w:hAnsi="Times New Roman" w:cs="Times New Roman"/>
          <w:lang w:eastAsia="ja-JP"/>
        </w:rPr>
        <w:t xml:space="preserve"> from the DNA inserted</w:t>
      </w:r>
      <w:r w:rsidR="00F6456E">
        <w:rPr>
          <w:rFonts w:ascii="Times New Roman" w:eastAsia="MS Mincho" w:hAnsi="Times New Roman" w:cs="Times New Roman"/>
          <w:lang w:eastAsia="ja-JP"/>
        </w:rPr>
        <w:t xml:space="preserve">. However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for detecting inserted genetic elements that do not produce a protein, such as regulatory sequences</w:t>
      </w:r>
      <w:r w:rsidR="00F6456E">
        <w:rPr>
          <w:rFonts w:ascii="Times New Roman" w:eastAsia="MS Mincho" w:hAnsi="Times New Roman" w:cs="Times New Roman"/>
          <w:lang w:eastAsia="ja-JP"/>
        </w:rPr>
        <w:t xml:space="preserve"> or LMOs that were designed to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RNAi</w:t>
      </w:r>
      <w:r w:rsidRPr="00B4451F">
        <w:rPr>
          <w:rFonts w:ascii="Times New Roman" w:eastAsia="MS Mincho" w:hAnsi="Times New Roman" w:cs="Times New Roman"/>
          <w:lang w:eastAsia="ja-JP"/>
        </w:rPr>
        <w:t xml:space="preserve">. </w:t>
      </w:r>
    </w:p>
    <w:p w14:paraId="448BA0E3" w14:textId="43DC68F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 </w:t>
      </w:r>
      <w:r w:rsidRPr="00B4451F">
        <w:rPr>
          <w:rFonts w:ascii="Times New Roman" w:eastAsia="MS Mincho" w:hAnsi="Times New Roman" w:cs="Times New Roman"/>
          <w:lang w:eastAsia="ja-JP"/>
        </w:rPr>
        <w:t xml:space="preserve">therefore,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protein renders the method ineffective. Such conformational changes 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 xml:space="preserve">duced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also 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protein </w:t>
      </w:r>
      <w:r w:rsidR="008E3AD3">
        <w:rPr>
          <w:rFonts w:ascii="Times New Roman" w:eastAsia="MS Mincho" w:hAnsi="Times New Roman" w:cs="Times New Roman"/>
          <w:lang w:eastAsia="ja-JP"/>
        </w:rPr>
        <w:t xml:space="preserve">which </w:t>
      </w:r>
      <w:r w:rsidRPr="00B4451F">
        <w:rPr>
          <w:rFonts w:ascii="Times New Roman" w:eastAsia="MS Mincho" w:hAnsi="Times New Roman" w:cs="Times New Roman"/>
          <w:lang w:eastAsia="ja-JP"/>
        </w:rPr>
        <w:t xml:space="preserve">can vary between different parts of the LMO or different stages of its life cycle, and can be influenced by external factors such as climate and soil conditions. In addition, some LMOs have been specifically designed to express </w:t>
      </w:r>
      <w:r w:rsidR="00B17EEE">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transgenic protein in a specific tissue and may not be necessarily present in the part of the organism being tested.</w:t>
      </w:r>
    </w:p>
    <w:p w14:paraId="3BA7FC95" w14:textId="622DCBFC"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In contrast, DNA </w:t>
      </w:r>
      <w:r w:rsidR="00FD5E5C">
        <w:rPr>
          <w:rFonts w:ascii="Times New Roman" w:eastAsia="MS Mincho" w:hAnsi="Times New Roman" w:cs="Times New Roman"/>
          <w:lang w:eastAsia="ja-JP"/>
        </w:rPr>
        <w:t>is more stable</w:t>
      </w:r>
      <w:r w:rsidRPr="00B4451F">
        <w:rPr>
          <w:rFonts w:ascii="Times New Roman" w:eastAsia="MS Mincho" w:hAnsi="Times New Roman" w:cs="Times New Roman"/>
          <w:lang w:eastAsia="ja-JP"/>
        </w:rPr>
        <w:t xml:space="preserve"> as compared to proteins</w:t>
      </w:r>
      <w:r w:rsidR="00FD5E5C">
        <w:rPr>
          <w:rFonts w:ascii="Times New Roman" w:eastAsia="MS Mincho" w:hAnsi="Times New Roman" w:cs="Times New Roman"/>
          <w:lang w:eastAsia="ja-JP"/>
        </w:rPr>
        <w:t xml:space="preserve"> so detection continues to be possible </w:t>
      </w:r>
      <w:r w:rsidRPr="00B4451F">
        <w:rPr>
          <w:rFonts w:ascii="Times New Roman" w:eastAsia="MS Mincho" w:hAnsi="Times New Roman" w:cs="Times New Roman"/>
          <w:lang w:eastAsia="ja-JP"/>
        </w:rPr>
        <w:t xml:space="preserve"> </w:t>
      </w:r>
      <w:r w:rsidR="00FD5E5C">
        <w:rPr>
          <w:rFonts w:ascii="Times New Roman" w:eastAsia="MS Mincho" w:hAnsi="Times New Roman" w:cs="Times New Roman"/>
          <w:lang w:eastAsia="ja-JP"/>
        </w:rPr>
        <w:t>even if the sample has been exposed to</w:t>
      </w:r>
      <w:r w:rsidRPr="00B4451F">
        <w:rPr>
          <w:rFonts w:ascii="Times New Roman" w:eastAsia="MS Mincho" w:hAnsi="Times New Roman" w:cs="Times New Roman"/>
          <w:lang w:eastAsia="ja-JP"/>
        </w:rPr>
        <w:t xml:space="preserve"> </w:t>
      </w:r>
      <w:r w:rsidR="00FD5E5C" w:rsidRPr="00FD5E5C">
        <w:rPr>
          <w:rFonts w:ascii="Times New Roman" w:eastAsia="MS Mincho" w:hAnsi="Times New Roman" w:cs="Times New Roman"/>
          <w:lang w:eastAsia="ja-JP"/>
        </w:rPr>
        <w:t>heat and/or chemical treatment</w:t>
      </w:r>
      <w:r w:rsidRPr="00B4451F">
        <w:rPr>
          <w:rFonts w:ascii="Times New Roman" w:eastAsia="MS Mincho" w:hAnsi="Times New Roman" w:cs="Times New Roman"/>
          <w:lang w:eastAsia="ja-JP"/>
        </w:rPr>
        <w:t>. DNA is also present in all cells and therefore any part of the organism can be used for testing. Furthermore, PCR methods are more versatile than protein methods</w:t>
      </w:r>
      <w:r w:rsidR="00B17EEE">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PCR can be used to screen a sample for the presence of several potential LMOs simultaneously with </w:t>
      </w:r>
      <w:r w:rsidR="00FD5E5C">
        <w:rPr>
          <w:rFonts w:ascii="Times New Roman" w:eastAsia="MS Mincho" w:hAnsi="Times New Roman" w:cs="Times New Roman"/>
          <w:lang w:eastAsia="ja-JP"/>
        </w:rPr>
        <w:t>relatively easily</w:t>
      </w:r>
      <w:r w:rsidRPr="00B4451F">
        <w:rPr>
          <w:rFonts w:ascii="Times New Roman" w:eastAsia="MS Mincho" w:hAnsi="Times New Roman" w:cs="Times New Roman"/>
          <w:lang w:eastAsia="ja-JP"/>
        </w:rPr>
        <w:t>. PCR can</w:t>
      </w:r>
      <w:r w:rsidR="00FD5E5C">
        <w:rPr>
          <w:rFonts w:ascii="Times New Roman" w:eastAsia="MS Mincho" w:hAnsi="Times New Roman" w:cs="Times New Roman"/>
          <w:lang w:eastAsia="ja-JP"/>
        </w:rPr>
        <w:t xml:space="preserve"> also</w:t>
      </w:r>
      <w:r w:rsidRPr="00B4451F">
        <w:rPr>
          <w:rFonts w:ascii="Times New Roman" w:eastAsia="MS Mincho" w:hAnsi="Times New Roman" w:cs="Times New Roman"/>
          <w:lang w:eastAsia="ja-JP"/>
        </w:rPr>
        <w:t xml:space="preserve"> be applied qualitatively, to detect specific genes or events, and quantitatively, to determine the </w:t>
      </w:r>
      <w:r w:rsidR="00FD5E5C">
        <w:rPr>
          <w:rFonts w:ascii="Times New Roman" w:eastAsia="MS Mincho" w:hAnsi="Times New Roman" w:cs="Times New Roman"/>
          <w:lang w:eastAsia="ja-JP"/>
        </w:rPr>
        <w:t>quantity</w:t>
      </w:r>
      <w:r w:rsidRPr="00B4451F">
        <w:rPr>
          <w:rFonts w:ascii="Times New Roman" w:eastAsia="MS Mincho" w:hAnsi="Times New Roman" w:cs="Times New Roman"/>
          <w:lang w:eastAsia="ja-JP"/>
        </w:rPr>
        <w:t xml:space="preserve"> of a particular LMO event in a sample.</w:t>
      </w:r>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8" w:name="3ChallengesinLMOdetectionandnewtechnolog"/>
      <w:bookmarkEnd w:id="8"/>
      <w:r w:rsidRPr="00B4451F">
        <w:rPr>
          <w:rFonts w:ascii="Times New Roman" w:eastAsia="Times New Roman" w:hAnsi="Times New Roman" w:cs="Times New Roman"/>
          <w:b/>
          <w:bCs/>
          <w:lang w:val="en-CA"/>
        </w:rPr>
        <w:t>Challenges in LMO detection and new technology developments</w:t>
      </w:r>
    </w:p>
    <w:p w14:paraId="62296164" w14:textId="4001CABD" w:rsidR="00FF3B4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There are several challenges </w:t>
      </w:r>
      <w:r w:rsidR="00FF3B4A">
        <w:rPr>
          <w:rFonts w:ascii="Times New Roman" w:eastAsia="MS Mincho" w:hAnsi="Times New Roman" w:cs="Times New Roman"/>
          <w:lang w:eastAsia="ja-JP"/>
        </w:rPr>
        <w:t>that need to be considered when applying available technologies to L</w:t>
      </w:r>
      <w:r w:rsidRPr="00B4451F">
        <w:rPr>
          <w:rFonts w:ascii="Times New Roman" w:eastAsia="MS Mincho" w:hAnsi="Times New Roman" w:cs="Times New Roman"/>
          <w:lang w:eastAsia="ja-JP"/>
        </w:rPr>
        <w:t xml:space="preserve">MO detection. </w:t>
      </w:r>
      <w:r w:rsidR="00FF3B4A">
        <w:rPr>
          <w:rFonts w:ascii="Times New Roman" w:eastAsia="MS Mincho" w:hAnsi="Times New Roman" w:cs="Times New Roman"/>
          <w:lang w:eastAsia="ja-JP"/>
        </w:rPr>
        <w:t>Below is a brief overview of some of the key considerations.</w:t>
      </w:r>
    </w:p>
    <w:p w14:paraId="3590EE76" w14:textId="3D0C5D0C" w:rsidR="00E44FFA" w:rsidRPr="00B4451F" w:rsidRDefault="00A66B82" w:rsidP="00E44FFA">
      <w:pPr>
        <w:spacing w:before="240" w:after="240"/>
        <w:jc w:val="both"/>
        <w:rPr>
          <w:rFonts w:ascii="Times New Roman" w:eastAsia="Times New Roman" w:hAnsi="Times New Roman" w:cs="Times New Roman"/>
          <w:i/>
          <w:lang w:val="en-CA"/>
        </w:rPr>
      </w:pPr>
      <w:bookmarkStart w:id="9"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r w:rsidR="00E44FFA" w:rsidRPr="00B4451F">
        <w:rPr>
          <w:rFonts w:ascii="Times New Roman" w:eastAsia="Times New Roman" w:hAnsi="Times New Roman" w:cs="Times New Roman"/>
          <w:bCs/>
          <w:i/>
          <w:lang w:val="en-CA"/>
        </w:rPr>
        <w:t xml:space="preserve"> </w:t>
      </w:r>
      <w:bookmarkEnd w:id="9"/>
    </w:p>
    <w:p w14:paraId="1418F4E5" w14:textId="0309E79D" w:rsidR="00E44FFA" w:rsidRPr="00B4451F" w:rsidRDefault="00E44FFA" w:rsidP="00E44FFA">
      <w:pPr>
        <w:tabs>
          <w:tab w:val="left" w:pos="900"/>
        </w:tabs>
        <w:spacing w:before="240" w:after="240"/>
        <w:jc w:val="both"/>
        <w:rPr>
          <w:rFonts w:ascii="Times New Roman" w:eastAsia="MS Mincho" w:hAnsi="Times New Roman" w:cs="Times New Roman"/>
          <w:lang w:eastAsia="ja-JP"/>
        </w:rPr>
      </w:pPr>
      <w:bookmarkStart w:id="10" w:name="_Hlk507518659"/>
      <w:r w:rsidRPr="00B4451F">
        <w:rPr>
          <w:rFonts w:ascii="Times New Roman" w:eastAsia="MS Mincho" w:hAnsi="Times New Roman" w:cs="Times New Roman"/>
          <w:lang w:eastAsia="ja-JP"/>
        </w:rPr>
        <w:t xml:space="preserve">It is therefore important that criteria to test the performance of the methods </w:t>
      </w:r>
      <w:r w:rsidR="00FD4E5F">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harmonized internationally to make results comparable throughout the world taking into account the availability of resources in different countries. The development of harmonized performance criteria should aim at simplifying and increasing the accessibility to LMO detection technologies </w:t>
      </w:r>
      <w:r w:rsidR="00FD4E5F">
        <w:rPr>
          <w:rFonts w:ascii="Times New Roman" w:eastAsia="MS Mincho" w:hAnsi="Times New Roman" w:cs="Times New Roman"/>
          <w:lang w:eastAsia="ja-JP"/>
        </w:rPr>
        <w:t>in</w:t>
      </w:r>
      <w:r w:rsidR="0064063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countries with less capacity and fewer resources. Thus a </w:t>
      </w:r>
      <w:r w:rsidR="00FD4E5F">
        <w:rPr>
          <w:rFonts w:ascii="Times New Roman" w:eastAsia="MS Mincho" w:hAnsi="Times New Roman" w:cs="Times New Roman"/>
          <w:lang w:eastAsia="ja-JP"/>
        </w:rPr>
        <w:t xml:space="preserve">significant </w:t>
      </w:r>
      <w:r w:rsidRPr="00B4451F">
        <w:rPr>
          <w:rFonts w:ascii="Times New Roman" w:eastAsia="MS Mincho" w:hAnsi="Times New Roman" w:cs="Times New Roman"/>
          <w:lang w:eastAsia="ja-JP"/>
        </w:rPr>
        <w:t xml:space="preserve">challenge for LMO detection is to ensure that methods are validated and meet the necessary minimum performance criteria for quality control purposes. </w:t>
      </w:r>
    </w:p>
    <w:bookmarkEnd w:id="10"/>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13A07B22" w:rsidR="00033DB9" w:rsidRPr="0051503D" w:rsidRDefault="00033DB9" w:rsidP="00E44FFA">
      <w:pPr>
        <w:spacing w:before="240" w:after="240"/>
        <w:jc w:val="both"/>
        <w:rPr>
          <w:rFonts w:ascii="Times New Roman" w:eastAsia="Times New Roman" w:hAnsi="Times New Roman" w:cs="Times New Roman"/>
          <w:bCs/>
          <w:iCs/>
          <w:lang w:val="en-CA"/>
        </w:rPr>
      </w:pPr>
      <w:r w:rsidRPr="0051503D">
        <w:rPr>
          <w:rFonts w:ascii="Times New Roman" w:eastAsia="Times New Roman" w:hAnsi="Times New Roman" w:cs="Times New Roman"/>
          <w:bCs/>
          <w:iCs/>
          <w:lang w:val="en-CA"/>
        </w:rPr>
        <w:t>An important consideration in the application of LMO detection is that standardized operating procedures (SOPs) are used. This means that the LMO detection laboratory is required to develop and maintain the necessary quality control measures to ensure the reliability, sensitivity and reproducibility of the methods in use.</w:t>
      </w:r>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11"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11"/>
    </w:p>
    <w:p w14:paraId="473A6035" w14:textId="3B28911C" w:rsidR="003776C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Another challenge in LMO detection is the difficulty </w:t>
      </w:r>
      <w:r w:rsidR="00F02E14">
        <w:rPr>
          <w:rFonts w:ascii="Times New Roman" w:eastAsia="MS Mincho" w:hAnsi="Times New Roman" w:cs="Times New Roman"/>
          <w:lang w:eastAsia="ja-JP"/>
        </w:rPr>
        <w:t>face by</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laboratories to </w:t>
      </w:r>
      <w:r w:rsidR="00F02E14">
        <w:rPr>
          <w:rFonts w:ascii="Times New Roman" w:eastAsia="MS Mincho" w:hAnsi="Times New Roman" w:cs="Times New Roman"/>
          <w:lang w:eastAsia="ja-JP"/>
        </w:rPr>
        <w:t>get</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access to sequence data </w:t>
      </w:r>
      <w:r w:rsidR="00F02E14">
        <w:rPr>
          <w:rFonts w:ascii="Times New Roman" w:eastAsia="MS Mincho" w:hAnsi="Times New Roman" w:cs="Times New Roman"/>
          <w:lang w:eastAsia="ja-JP"/>
        </w:rPr>
        <w:t>of</w:t>
      </w:r>
      <w:r w:rsidR="00F02E14" w:rsidRPr="00B4451F">
        <w:rPr>
          <w:rFonts w:ascii="Times New Roman" w:eastAsia="MS Mincho" w:hAnsi="Times New Roman" w:cs="Times New Roman"/>
          <w:lang w:eastAsia="ja-JP"/>
        </w:rPr>
        <w:t xml:space="preserve"> </w:t>
      </w:r>
      <w:r w:rsidR="00FD4E5F">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genetic elements </w:t>
      </w:r>
      <w:r w:rsidR="00F02E14">
        <w:rPr>
          <w:rFonts w:ascii="Times New Roman" w:eastAsia="MS Mincho" w:hAnsi="Times New Roman" w:cs="Times New Roman"/>
          <w:lang w:eastAsia="ja-JP"/>
        </w:rPr>
        <w:t>that have been inserted into the</w:t>
      </w:r>
      <w:r w:rsidRPr="00B4451F">
        <w:rPr>
          <w:rFonts w:ascii="Times New Roman" w:eastAsia="MS Mincho" w:hAnsi="Times New Roman" w:cs="Times New Roman"/>
          <w:lang w:eastAsia="ja-JP"/>
        </w:rPr>
        <w:t xml:space="preserve"> LMOs in order to design</w:t>
      </w:r>
      <w:r w:rsidR="00F02E14">
        <w:rPr>
          <w:rFonts w:ascii="Times New Roman" w:eastAsia="MS Mincho" w:hAnsi="Times New Roman" w:cs="Times New Roman"/>
          <w:lang w:eastAsia="ja-JP"/>
        </w:rPr>
        <w:t xml:space="preserve"> specific</w:t>
      </w:r>
      <w:r w:rsidRPr="00B4451F">
        <w:rPr>
          <w:rFonts w:ascii="Times New Roman" w:eastAsia="MS Mincho" w:hAnsi="Times New Roman" w:cs="Times New Roman"/>
          <w:lang w:eastAsia="ja-JP"/>
        </w:rPr>
        <w:t xml:space="preserve"> detection systems. </w:t>
      </w:r>
      <w:r w:rsidR="00F02E14">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countries require </w:t>
      </w:r>
      <w:proofErr w:type="spellStart"/>
      <w:r w:rsidRPr="00B4451F">
        <w:rPr>
          <w:rFonts w:ascii="Times New Roman" w:eastAsia="MS Mincho" w:hAnsi="Times New Roman" w:cs="Times New Roman"/>
          <w:lang w:eastAsia="ja-JP"/>
        </w:rPr>
        <w:t>notifiers</w:t>
      </w:r>
      <w:proofErr w:type="spellEnd"/>
      <w:r w:rsidRPr="00B4451F">
        <w:rPr>
          <w:rFonts w:ascii="Times New Roman" w:eastAsia="MS Mincho" w:hAnsi="Times New Roman" w:cs="Times New Roman"/>
          <w:lang w:eastAsia="ja-JP"/>
        </w:rPr>
        <w:t xml:space="preserve"> to provide a </w:t>
      </w:r>
      <w:r w:rsidR="00F02E14">
        <w:rPr>
          <w:rFonts w:ascii="Times New Roman" w:eastAsia="MS Mincho" w:hAnsi="Times New Roman" w:cs="Times New Roman"/>
          <w:lang w:eastAsia="ja-JP"/>
        </w:rPr>
        <w:t xml:space="preserve">detection </w:t>
      </w:r>
      <w:r w:rsidRPr="00B4451F">
        <w:rPr>
          <w:rFonts w:ascii="Times New Roman" w:eastAsia="MS Mincho" w:hAnsi="Times New Roman" w:cs="Times New Roman"/>
          <w:lang w:eastAsia="ja-JP"/>
        </w:rPr>
        <w:t xml:space="preserve">method, </w:t>
      </w:r>
      <w:r w:rsidR="00F02E14">
        <w:rPr>
          <w:rFonts w:ascii="Times New Roman" w:eastAsia="MS Mincho" w:hAnsi="Times New Roman" w:cs="Times New Roman"/>
          <w:lang w:eastAsia="ja-JP"/>
        </w:rPr>
        <w:t>however this is not always the case</w:t>
      </w:r>
      <w:r w:rsidR="003776C7">
        <w:rPr>
          <w:rFonts w:ascii="Times New Roman" w:eastAsia="MS Mincho" w:hAnsi="Times New Roman" w:cs="Times New Roman"/>
          <w:lang w:eastAsia="ja-JP"/>
        </w:rPr>
        <w:t>. Furthermore, some</w:t>
      </w:r>
      <w:r w:rsidRPr="00B4451F">
        <w:rPr>
          <w:rFonts w:ascii="Times New Roman" w:eastAsia="MS Mincho" w:hAnsi="Times New Roman" w:cs="Times New Roman"/>
          <w:lang w:eastAsia="ja-JP"/>
        </w:rPr>
        <w:t xml:space="preserve"> LMO detection laboratories do not have access to reference material for the specific LMO event in order to</w:t>
      </w:r>
      <w:r w:rsidR="003776C7">
        <w:rPr>
          <w:rFonts w:ascii="Times New Roman" w:eastAsia="MS Mincho" w:hAnsi="Times New Roman" w:cs="Times New Roman"/>
          <w:lang w:eastAsia="ja-JP"/>
        </w:rPr>
        <w:t xml:space="preserve"> be able to</w:t>
      </w:r>
      <w:r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verify </w:t>
      </w:r>
      <w:r w:rsidRPr="00B4451F">
        <w:rPr>
          <w:rFonts w:ascii="Times New Roman" w:eastAsia="MS Mincho" w:hAnsi="Times New Roman" w:cs="Times New Roman"/>
          <w:lang w:eastAsia="ja-JP"/>
        </w:rPr>
        <w:t>the detection method</w:t>
      </w:r>
      <w:r w:rsidR="003776C7">
        <w:rPr>
          <w:rFonts w:ascii="Times New Roman" w:eastAsia="MS Mincho" w:hAnsi="Times New Roman" w:cs="Times New Roman"/>
          <w:lang w:eastAsia="ja-JP"/>
        </w:rPr>
        <w:t xml:space="preserve"> that is being used</w:t>
      </w:r>
      <w:r w:rsidRPr="00B4451F">
        <w:rPr>
          <w:rFonts w:ascii="Times New Roman" w:eastAsia="MS Mincho" w:hAnsi="Times New Roman" w:cs="Times New Roman"/>
          <w:lang w:eastAsia="ja-JP"/>
        </w:rPr>
        <w:t xml:space="preserve">. </w:t>
      </w:r>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r w:rsidRPr="0051503D">
        <w:rPr>
          <w:rFonts w:ascii="Times New Roman" w:eastAsia="MS Mincho" w:hAnsi="Times New Roman" w:cs="Times New Roman"/>
          <w:i/>
          <w:iCs/>
          <w:lang w:eastAsia="ja-JP"/>
        </w:rPr>
        <w:t>Gaps in National Biosafety Frameworks</w:t>
      </w:r>
    </w:p>
    <w:p w14:paraId="3582FA50" w14:textId="09C10972" w:rsidR="00E44FFA" w:rsidRPr="00B4451F" w:rsidRDefault="003776C7"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In light of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r>
        <w:rPr>
          <w:rFonts w:ascii="Times New Roman" w:eastAsia="MS Mincho" w:hAnsi="Times New Roman" w:cs="Times New Roman"/>
          <w:lang w:eastAsia="ja-JP"/>
        </w:rPr>
        <w:t>, i</w:t>
      </w:r>
      <w:r w:rsidR="00E44FFA" w:rsidRPr="00B4451F">
        <w:rPr>
          <w:rFonts w:ascii="Times New Roman" w:eastAsia="MS Mincho" w:hAnsi="Times New Roman" w:cs="Times New Roman"/>
          <w:lang w:eastAsia="ja-JP"/>
        </w:rPr>
        <w:t xml:space="preserve">t may be worthwhile for regulatory systems to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r w:rsidR="00D4434C">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notified LMO </w:t>
      </w:r>
      <w:r w:rsidR="00E44FFA" w:rsidRPr="00B4451F">
        <w:rPr>
          <w:rFonts w:ascii="Times New Roman" w:eastAsia="MS Mincho" w:hAnsi="Times New Roman" w:cs="Times New Roman"/>
          <w:lang w:eastAsia="ja-JP"/>
        </w:rPr>
        <w:t xml:space="preserve">to the </w:t>
      </w:r>
      <w:r w:rsidR="00D4434C">
        <w:rPr>
          <w:rFonts w:ascii="Times New Roman" w:eastAsia="MS Mincho" w:hAnsi="Times New Roman" w:cs="Times New Roman"/>
          <w:lang w:eastAsia="ja-JP"/>
        </w:rPr>
        <w:t>national competent authority laboratory or the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 xml:space="preserve">laboratory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could be </w:t>
      </w:r>
      <w:r>
        <w:rPr>
          <w:rFonts w:ascii="Times New Roman" w:eastAsia="MS Mincho" w:hAnsi="Times New Roman" w:cs="Times New Roman"/>
          <w:lang w:eastAsia="ja-JP"/>
        </w:rPr>
        <w:t>asked</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to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 the necessary sequence information so that the method can be verified </w:t>
      </w:r>
      <w:r>
        <w:rPr>
          <w:rFonts w:ascii="Times New Roman" w:eastAsia="MS Mincho" w:hAnsi="Times New Roman" w:cs="Times New Roman"/>
          <w:lang w:eastAsia="ja-JP"/>
        </w:rPr>
        <w:t>or to</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cover </w:t>
      </w:r>
      <w:r w:rsidR="00E44FFA" w:rsidRPr="00B4451F">
        <w:rPr>
          <w:rFonts w:ascii="Times New Roman" w:eastAsia="MS Mincho" w:hAnsi="Times New Roman" w:cs="Times New Roman"/>
          <w:lang w:eastAsia="ja-JP"/>
        </w:rPr>
        <w:t xml:space="preserve">the costs of method </w:t>
      </w:r>
      <w:r>
        <w:rPr>
          <w:rFonts w:ascii="Times New Roman" w:eastAsia="MS Mincho" w:hAnsi="Times New Roman" w:cs="Times New Roman"/>
          <w:lang w:eastAsia="ja-JP"/>
        </w:rPr>
        <w:t>verification</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by the laboratory performing LMO detection as part of the regulatory requirements of a country</w:t>
      </w:r>
      <w:r w:rsidR="00BE1F8D">
        <w:rPr>
          <w:rFonts w:ascii="Times New Roman" w:eastAsia="MS Mincho" w:hAnsi="Times New Roman" w:cs="Times New Roman"/>
          <w:lang w:eastAsia="ja-JP"/>
        </w:rPr>
        <w:t>.</w:t>
      </w:r>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Novel approaches for simultaneous detection of multiple LMOs</w:t>
      </w:r>
    </w:p>
    <w:p w14:paraId="5C08DE21" w14:textId="060BB3A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must 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the potential presence of unapproved LMO events is also 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are faced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that are 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r w:rsidR="00BE1F8D">
        <w:rPr>
          <w:rFonts w:ascii="Times New Roman" w:eastAsia="MS Mincho" w:hAnsi="Times New Roman" w:cs="Times New Roman"/>
          <w:lang w:eastAsia="ja-JP"/>
        </w:rPr>
        <w:t>in order to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w:t>
      </w:r>
      <w:r w:rsidRPr="00B4451F">
        <w:rPr>
          <w:rFonts w:ascii="Times New Roman" w:eastAsia="MS Mincho" w:hAnsi="Times New Roman" w:cs="Times New Roman"/>
          <w:lang w:eastAsia="ja-JP"/>
        </w:rPr>
        <w:lastRenderedPageBreak/>
        <w:t xml:space="preserve">screening capabilities. When used in conjunction with bioinformatics software, the matrix results can be used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can be customized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but</w:t>
      </w:r>
      <w:r w:rsidR="00BE1F8D">
        <w:rPr>
          <w:rFonts w:ascii="Times New Roman" w:eastAsia="MS Mincho" w:hAnsi="Times New Roman" w:cs="Times New Roman"/>
          <w:lang w:eastAsia="ja-JP"/>
        </w:rPr>
        <w:t xml:space="preserve"> 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applicable to PCR-based methods.</w:t>
      </w:r>
      <w:r w:rsidR="00BE1F8D">
        <w:rPr>
          <w:rFonts w:ascii="Times New Roman" w:eastAsia="MS Mincho" w:hAnsi="Times New Roman" w:cs="Times New Roman"/>
          <w:lang w:eastAsia="ja-JP"/>
        </w:rPr>
        <w:t xml:space="preserve"> </w:t>
      </w:r>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Emerging technologies for LMO development and detection methods</w:t>
      </w:r>
    </w:p>
    <w:p w14:paraId="05A1A3B1" w14:textId="29A0CC5D"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double stranded RNA (dsRNA)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LMOs. In such cases, a transgenic protein is not produced</w:t>
      </w:r>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 xml:space="preserve">Furthermore other LMOs are being </w:t>
      </w:r>
      <w:r w:rsidR="00F54E47" w:rsidRPr="00BE1F8D">
        <w:rPr>
          <w:rFonts w:ascii="Times New Roman" w:eastAsia="MS Mincho" w:hAnsi="Times New Roman" w:cs="Times New Roman"/>
          <w:lang w:eastAsia="ja-JP"/>
        </w:rPr>
        <w:t xml:space="preserve">developed through </w:t>
      </w:r>
      <w:r w:rsidR="00F54E47">
        <w:rPr>
          <w:rFonts w:ascii="Times New Roman" w:eastAsia="MS Mincho" w:hAnsi="Times New Roman" w:cs="Times New Roman"/>
          <w:lang w:eastAsia="ja-JP"/>
        </w:rPr>
        <w:t xml:space="preserve">emerging new plant breeding techniques where the resulting </w:t>
      </w:r>
      <w:r w:rsidR="00F54E47" w:rsidRPr="00BE1F8D">
        <w:rPr>
          <w:rFonts w:ascii="Times New Roman" w:eastAsia="MS Mincho" w:hAnsi="Times New Roman" w:cs="Times New Roman"/>
          <w:lang w:eastAsia="ja-JP"/>
        </w:rPr>
        <w:t xml:space="preserve">LMO </w:t>
      </w:r>
      <w:r w:rsidR="00F54E47">
        <w:rPr>
          <w:rFonts w:ascii="Times New Roman" w:eastAsia="MS Mincho" w:hAnsi="Times New Roman" w:cs="Times New Roman"/>
          <w:lang w:eastAsia="ja-JP"/>
        </w:rPr>
        <w:t>includes</w:t>
      </w:r>
      <w:r w:rsidR="00F54E47" w:rsidRPr="00BE1F8D">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a</w:t>
      </w:r>
      <w:r w:rsidR="00F54E47" w:rsidRPr="00BE1F8D">
        <w:rPr>
          <w:rFonts w:ascii="Times New Roman" w:eastAsia="MS Mincho" w:hAnsi="Times New Roman" w:cs="Times New Roman"/>
          <w:lang w:eastAsia="ja-JP"/>
        </w:rPr>
        <w:t xml:space="preserve"> genetic modification that cannot be readily detected or resembles naturally occurring genetic elements.</w:t>
      </w:r>
    </w:p>
    <w:p w14:paraId="25117054" w14:textId="01D59E8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devices. While many countries may consider the development of a framework for LMO detection to be a burden, the technology may also be applied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Pipeline for the development of LMOs</w:t>
      </w:r>
    </w:p>
    <w:p w14:paraId="429B88C7" w14:textId="6639B0E8"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pipeline for the development of an LMO and its subsequent commercialisation and release into the environment is a long, multi-step process that is follow</w:t>
      </w:r>
      <w:r w:rsidR="00F54E47">
        <w:rPr>
          <w:rFonts w:ascii="Times New Roman" w:eastAsia="Calibri" w:hAnsi="Times New Roman" w:cs="Times New Roman"/>
          <w:bCs/>
          <w:iCs/>
          <w:szCs w:val="28"/>
          <w:lang w:val="en-CA" w:eastAsia="x-none"/>
        </w:rPr>
        <w:t xml:space="preserve">s the </w:t>
      </w:r>
      <w:r w:rsidR="008C77FB">
        <w:rPr>
          <w:rFonts w:ascii="Times New Roman" w:eastAsia="Calibri" w:hAnsi="Times New Roman" w:cs="Times New Roman"/>
          <w:bCs/>
          <w:iCs/>
          <w:szCs w:val="28"/>
          <w:lang w:val="en-CA" w:eastAsia="x-none"/>
        </w:rPr>
        <w:t xml:space="preserve">research and development process, </w:t>
      </w:r>
      <w:r w:rsidRPr="00B4451F">
        <w:rPr>
          <w:rFonts w:ascii="Times New Roman" w:eastAsia="Calibri" w:hAnsi="Times New Roman" w:cs="Times New Roman"/>
          <w:bCs/>
          <w:iCs/>
          <w:szCs w:val="28"/>
          <w:lang w:val="en-CA" w:eastAsia="x-none"/>
        </w:rPr>
        <w:t xml:space="preserve">in order to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noProof/>
          <w:szCs w:val="28"/>
          <w:lang w:val="es-MX" w:eastAsia="es-MX"/>
        </w:rPr>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lastRenderedPageBreak/>
        <w:t>Figure 5 -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hyperlink r:id="rId16" w:history="1">
        <w:r w:rsidRPr="00B4451F">
          <w:rPr>
            <w:rFonts w:ascii="Times New Roman" w:eastAsia="Calibri" w:hAnsi="Times New Roman" w:cs="Times New Roman"/>
            <w:bCs/>
            <w:iCs/>
            <w:color w:val="0000FF"/>
            <w:szCs w:val="28"/>
            <w:u w:val="single"/>
            <w:lang w:val="en-ZA" w:eastAsia="x-none"/>
          </w:rPr>
          <w:t>http://pubs.acs.org/doi/pdf/10.1021/jf400685y</w:t>
        </w:r>
      </w:hyperlink>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3E1BD58A"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is followed by further research and development in order to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11358262"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Once the recipient organism is transformed</w:t>
      </w:r>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preforming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roofErr w:type="spellStart"/>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ession</w:t>
      </w:r>
      <w:proofErr w:type="spellEnd"/>
      <w:r w:rsidRPr="00B4451F">
        <w:rPr>
          <w:rFonts w:ascii="Times New Roman" w:eastAsia="Calibri" w:hAnsi="Times New Roman" w:cs="Times New Roman"/>
          <w:bCs/>
          <w:iCs/>
          <w:szCs w:val="28"/>
          <w:lang w:val="en-CA" w:eastAsia="x-none"/>
        </w:rPr>
        <w:t xml:space="preserve"> breeding </w:t>
      </w:r>
      <w:r w:rsidR="008C77FB">
        <w:rPr>
          <w:rFonts w:ascii="Times New Roman" w:eastAsia="Calibri" w:hAnsi="Times New Roman" w:cs="Times New Roman"/>
          <w:bCs/>
          <w:iCs/>
          <w:szCs w:val="28"/>
          <w:lang w:val="en-CA" w:eastAsia="x-none"/>
        </w:rPr>
        <w:t xml:space="preserve">can be used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preforming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Once the optimal plant </w:t>
      </w:r>
      <w:r w:rsidR="008C77FB">
        <w:rPr>
          <w:rFonts w:ascii="Times New Roman" w:eastAsia="Calibri" w:hAnsi="Times New Roman" w:cs="Times New Roman"/>
          <w:bCs/>
          <w:iCs/>
          <w:szCs w:val="28"/>
          <w:lang w:val="en-CA" w:eastAsia="x-none"/>
        </w:rPr>
        <w:t xml:space="preserve">variety </w:t>
      </w:r>
      <w:r w:rsidRPr="00B4451F">
        <w:rPr>
          <w:rFonts w:ascii="Times New Roman" w:eastAsia="Calibri" w:hAnsi="Times New Roman" w:cs="Times New Roman"/>
          <w:bCs/>
          <w:iCs/>
          <w:szCs w:val="28"/>
          <w:lang w:val="en-CA" w:eastAsia="x-none"/>
        </w:rPr>
        <w:t>is selected</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p>
    <w:p w14:paraId="312F16A9" w14:textId="14A8D4F9"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r w:rsidR="005A6CB6">
        <w:rPr>
          <w:rFonts w:ascii="Times New Roman" w:eastAsia="Calibri" w:hAnsi="Times New Roman" w:cs="Times New Roman"/>
          <w:bCs/>
          <w:iCs/>
          <w:szCs w:val="28"/>
          <w:lang w:val="en-CA" w:eastAsia="x-none"/>
        </w:rPr>
        <w:t>in order to</w:t>
      </w:r>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to the parental organism, allergenicity testing and risk assessment studies</w:t>
      </w:r>
      <w:r w:rsidR="00B508AB" w:rsidRPr="0051503D">
        <w:rPr>
          <w:rStyle w:val="Refdenotaalpie"/>
          <w:rFonts w:ascii="Times New Roman" w:eastAsia="Calibri" w:hAnsi="Times New Roman" w:cs="Times New Roman"/>
          <w:bCs/>
          <w:iCs/>
          <w:szCs w:val="28"/>
          <w:vertAlign w:val="superscript"/>
          <w:lang w:val="en-CA" w:eastAsia="x-none"/>
        </w:rPr>
        <w:footnoteReference w:id="7"/>
      </w:r>
      <w:r w:rsidRPr="00B4451F">
        <w:rPr>
          <w:rFonts w:ascii="Times New Roman" w:eastAsia="Calibri" w:hAnsi="Times New Roman" w:cs="Times New Roman"/>
          <w:bCs/>
          <w:iCs/>
          <w:szCs w:val="28"/>
          <w:lang w:val="en-CA" w:eastAsia="x-none"/>
        </w:rPr>
        <w:t>. Once completed the necessary data is submitted</w:t>
      </w:r>
      <w:r w:rsidR="00B508AB">
        <w:rPr>
          <w:rFonts w:ascii="Times New Roman" w:eastAsia="Calibri" w:hAnsi="Times New Roman" w:cs="Times New Roman"/>
          <w:bCs/>
          <w:iCs/>
          <w:szCs w:val="28"/>
          <w:lang w:val="en-CA" w:eastAsia="x-none"/>
        </w:rPr>
        <w:t xml:space="preserve"> 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in order to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615A8078"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engineered organism that was considered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r>
        <w:rPr>
          <w:rFonts w:ascii="Times New Roman" w:eastAsia="MS Mincho" w:hAnsi="Times New Roman" w:cs="Times New Roman"/>
          <w:lang w:val="en-US" w:eastAsia="ja-JP"/>
        </w:rPr>
        <w:t xml:space="preserve">somatostatin. </w:t>
      </w:r>
      <w:r w:rsidR="00EE65B3">
        <w:rPr>
          <w:rFonts w:ascii="Times New Roman" w:eastAsia="MS Mincho" w:hAnsi="Times New Roman" w:cs="Times New Roman"/>
          <w:lang w:val="en-US" w:eastAsia="ja-JP"/>
        </w:rPr>
        <w:t>it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123D1FA3"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were </w:t>
      </w:r>
      <w:r w:rsidR="000D2EC0">
        <w:rPr>
          <w:rFonts w:ascii="Times New Roman" w:eastAsia="MS Mincho" w:hAnsi="Times New Roman" w:cs="Times New Roman"/>
          <w:lang w:val="en-US" w:eastAsia="ja-JP"/>
        </w:rPr>
        <w:t xml:space="preserve">authorized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w:t>
      </w:r>
      <w:proofErr w:type="spellStart"/>
      <w:r w:rsidRPr="00B4451F">
        <w:rPr>
          <w:rFonts w:ascii="Times New Roman" w:eastAsia="Calibri" w:hAnsi="Times New Roman" w:cs="Times New Roman"/>
          <w:bCs/>
          <w:iCs/>
          <w:szCs w:val="28"/>
          <w:lang w:val="en-US" w:eastAsia="x-none"/>
        </w:rPr>
        <w:t>Agri</w:t>
      </w:r>
      <w:proofErr w:type="spellEnd"/>
      <w:r w:rsidRPr="00B4451F">
        <w:rPr>
          <w:rFonts w:ascii="Times New Roman" w:eastAsia="Calibri" w:hAnsi="Times New Roman" w:cs="Times New Roman"/>
          <w:bCs/>
          <w:iCs/>
          <w:szCs w:val="28"/>
          <w:lang w:val="en-US" w:eastAsia="x-none"/>
        </w:rPr>
        <w:t xml:space="preserve">-biotech Applications (ISAAA), the worldwide area cultivated with LM crops has been growing steadily since 1996, and in 2016, the cultivation of LM crops accounted for 185.1 million hectares. </w:t>
      </w:r>
    </w:p>
    <w:p w14:paraId="6E17AB9F" w14:textId="4AFAE6BC"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have been modified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 xml:space="preserve">herbicide tolerance and insect resistance. Research has shown that the amount of time it takes to develop and commercialise LM plants 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eastAsia="Calibri" w:hAnsi="Times New Roman" w:cs="Times New Roman"/>
          <w:bCs/>
          <w:iCs/>
          <w:noProof/>
          <w:szCs w:val="28"/>
          <w:lang w:val="es-MX" w:eastAsia="es-MX"/>
        </w:rPr>
        <w:lastRenderedPageBreak/>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16729710"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GM crop events in the market and at the precommercial, regulatory and advanced R&amp;D stages in 2008 and 2014, illustrated by crop. Source: </w:t>
      </w:r>
      <w:hyperlink r:id="rId18" w:history="1">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hyperlink>
      <w:r w:rsidRPr="0051503D">
        <w:rPr>
          <w:rFonts w:ascii="Times New Roman" w:eastAsia="Calibri" w:hAnsi="Times New Roman" w:cs="Times New Roman"/>
          <w:bCs/>
          <w:iCs/>
          <w:szCs w:val="28"/>
          <w:lang w:val="en-US" w:eastAsia="x-none"/>
        </w:rPr>
        <w:t xml:space="preserve"> </w:t>
      </w:r>
    </w:p>
    <w:p w14:paraId="2EC720AC" w14:textId="6DDA23A9"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 xml:space="preserve">Amongst the agronomic traits which have been introduced include tolerance to the herbicide dicamba,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w:t>
      </w:r>
      <w:proofErr w:type="spellStart"/>
      <w:r w:rsidRPr="00B4451F">
        <w:rPr>
          <w:rFonts w:ascii="Times New Roman" w:eastAsia="MS Mincho" w:hAnsi="Times New Roman" w:cs="Times New Roman"/>
          <w:bCs/>
          <w:iCs/>
          <w:lang w:val="en-ZA" w:eastAsia="ja-JP"/>
        </w:rPr>
        <w:t>Droughtgard</w:t>
      </w:r>
      <w:proofErr w:type="spellEnd"/>
      <w:r w:rsidRPr="00B4451F">
        <w:rPr>
          <w:rFonts w:ascii="Times New Roman" w:eastAsia="MS Mincho" w:hAnsi="Times New Roman" w:cs="Times New Roman"/>
          <w:bCs/>
          <w:iCs/>
          <w:lang w:val="en-ZA" w:eastAsia="ja-JP"/>
        </w:rPr>
        <w:t xml:space="preserve">™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w:t>
      </w:r>
      <w:proofErr w:type="spellStart"/>
      <w:r w:rsidRPr="00B4451F">
        <w:rPr>
          <w:rFonts w:ascii="Times New Roman" w:eastAsia="MS Mincho" w:hAnsi="Times New Roman" w:cs="Times New Roman"/>
          <w:iCs/>
          <w:lang w:val="en-ZA" w:eastAsia="ja-JP"/>
        </w:rPr>
        <w:t>Arctic</w:t>
      </w:r>
      <w:r w:rsidRPr="00B4451F">
        <w:rPr>
          <w:rFonts w:ascii="Times New Roman" w:eastAsia="MS Mincho" w:hAnsi="Times New Roman" w:cs="Times New Roman"/>
          <w:iCs/>
          <w:vertAlign w:val="superscript"/>
          <w:lang w:val="en-ZA" w:eastAsia="ja-JP"/>
        </w:rPr>
        <w:t>TM</w:t>
      </w:r>
      <w:proofErr w:type="spellEnd"/>
      <w:r w:rsidRPr="00B4451F">
        <w:rPr>
          <w:rFonts w:ascii="Times New Roman" w:eastAsia="MS Mincho" w:hAnsi="Times New Roman" w:cs="Times New Roman"/>
          <w:iCs/>
          <w:lang w:val="en-ZA" w:eastAsia="ja-JP"/>
        </w:rPr>
        <w:t xml:space="preserve"> Apple OKA-NBØØ1-8 and OKA-NBØØ2-9 which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2B814943"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t>Beyond the LMOs that have been developed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produces </w:t>
      </w:r>
      <w:r w:rsidRPr="00B4451F">
        <w:rPr>
          <w:rFonts w:ascii="Times New Roman" w:eastAsia="MS Mincho" w:hAnsi="Times New Roman" w:cs="Times New Roman"/>
          <w:lang w:val="en-ZA" w:eastAsia="ja-JP"/>
        </w:rPr>
        <w:t xml:space="preserve">a recombinant human antithrombin </w:t>
      </w:r>
      <w:r w:rsidRPr="00B4451F">
        <w:rPr>
          <w:rFonts w:ascii="Times New Roman" w:eastAsia="MS Mincho" w:hAnsi="Times New Roman" w:cs="Times New Roman"/>
          <w:lang w:val="en-US" w:eastAsia="ja-JP"/>
        </w:rPr>
        <w:t xml:space="preserve">was the first LM animal to be approved for commercial production. In addition the </w:t>
      </w:r>
      <w:proofErr w:type="spellStart"/>
      <w:r w:rsidRPr="00B4451F">
        <w:rPr>
          <w:rFonts w:ascii="Times New Roman" w:eastAsia="MS Mincho" w:hAnsi="Times New Roman" w:cs="Times New Roman"/>
          <w:lang w:val="en-CA" w:eastAsia="ja-JP"/>
        </w:rPr>
        <w:t>AquAdvantage</w:t>
      </w:r>
      <w:proofErr w:type="spellEnd"/>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 </w:t>
      </w:r>
      <w:r w:rsidR="008A1980">
        <w:rPr>
          <w:rFonts w:ascii="Times New Roman" w:eastAsia="MS Mincho" w:hAnsi="Times New Roman" w:cs="Times New Roman"/>
          <w:lang w:val="en-CA" w:eastAsia="ja-JP"/>
        </w:rPr>
        <w:t xml:space="preserve">is an organism </w:t>
      </w:r>
      <w:r w:rsidRPr="00B4451F">
        <w:rPr>
          <w:rFonts w:ascii="Times New Roman" w:eastAsia="MS Mincho" w:hAnsi="Times New Roman" w:cs="Times New Roman"/>
          <w:lang w:val="en-CA" w:eastAsia="ja-JP"/>
        </w:rPr>
        <w:t xml:space="preserve"> </w:t>
      </w:r>
      <w:r w:rsidRPr="00B4451F">
        <w:rPr>
          <w:rFonts w:ascii="Times New Roman" w:eastAsia="MS Mincho" w:hAnsi="Times New Roman" w:cs="Times New Roman"/>
          <w:lang w:val="en-ZA" w:eastAsia="ja-JP"/>
        </w:rPr>
        <w:t>modified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This application has been</w:t>
      </w:r>
      <w:r>
        <w:rPr>
          <w:rFonts w:ascii="Times New Roman" w:eastAsia="MS Mincho" w:hAnsi="Times New Roman" w:cs="Times New Roman"/>
          <w:lang w:val="en-ZA" w:eastAsia="ja-JP"/>
        </w:rPr>
        <w:t xml:space="preserve"> recently approved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r w:rsidR="008A1980">
        <w:rPr>
          <w:rFonts w:ascii="Times New Roman" w:eastAsia="Calibri" w:hAnsi="Times New Roman" w:cs="Times New Roman"/>
          <w:b/>
          <w:bCs/>
          <w:i/>
          <w:iCs/>
          <w:sz w:val="28"/>
          <w:szCs w:val="28"/>
          <w:lang w:val="en-ZA" w:eastAsia="x-none"/>
        </w:rPr>
        <w:t>F</w:t>
      </w:r>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53438E7D" w:rsidR="00E44FFA" w:rsidRPr="00B4451F" w:rsidRDefault="009966D3"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country that is working towards 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Pr>
          <w:rFonts w:ascii="Times New Roman" w:eastAsia="MS Mincho" w:hAnsi="Times New Roman" w:cs="Times New Roman"/>
          <w:lang w:eastAsia="ja-JP"/>
        </w:rPr>
        <w:t xml:space="preserve"> may need to take into account several considerations</w:t>
      </w:r>
      <w:r w:rsidR="00E44FFA" w:rsidRPr="00B4451F">
        <w:rPr>
          <w:rFonts w:ascii="Times New Roman" w:eastAsia="MS Mincho" w:hAnsi="Times New Roman" w:cs="Times New Roman"/>
          <w:lang w:eastAsia="ja-JP"/>
        </w:rPr>
        <w:t xml:space="preserve">. </w:t>
      </w:r>
      <w:r w:rsidR="00D938D3">
        <w:rPr>
          <w:rFonts w:ascii="Times New Roman" w:eastAsia="MS Mincho" w:hAnsi="Times New Roman" w:cs="Times New Roman"/>
          <w:lang w:eastAsia="ja-JP"/>
        </w:rPr>
        <w:t xml:space="preserve">First, </w:t>
      </w:r>
      <w:r>
        <w:rPr>
          <w:rFonts w:ascii="Times New Roman" w:eastAsia="MS Mincho" w:hAnsi="Times New Roman" w:cs="Times New Roman"/>
          <w:lang w:eastAsia="ja-JP"/>
        </w:rPr>
        <w:t>assessing</w:t>
      </w:r>
      <w:r w:rsidR="00E44FFA" w:rsidRPr="00B4451F">
        <w:rPr>
          <w:rFonts w:ascii="Times New Roman" w:eastAsia="MS Mincho" w:hAnsi="Times New Roman" w:cs="Times New Roman"/>
          <w:lang w:eastAsia="ja-JP"/>
        </w:rPr>
        <w:t xml:space="preserve"> their existing capacities in terms of </w:t>
      </w:r>
      <w:r w:rsidR="005D1A4B">
        <w:rPr>
          <w:rFonts w:ascii="Times New Roman" w:eastAsia="MS Mincho" w:hAnsi="Times New Roman" w:cs="Times New Roman"/>
          <w:lang w:eastAsia="ja-JP"/>
        </w:rPr>
        <w:t xml:space="preserve">infrastructure, </w:t>
      </w:r>
      <w:r w:rsidR="00E44FFA" w:rsidRPr="00B4451F">
        <w:rPr>
          <w:rFonts w:ascii="Times New Roman" w:eastAsia="MS Mincho" w:hAnsi="Times New Roman" w:cs="Times New Roman"/>
          <w:lang w:eastAsia="ja-JP"/>
        </w:rPr>
        <w:t>technical expertise</w:t>
      </w:r>
      <w:r w:rsidR="00D938D3">
        <w:rPr>
          <w:rFonts w:ascii="Times New Roman" w:eastAsia="MS Mincho" w:hAnsi="Times New Roman" w:cs="Times New Roman"/>
          <w:lang w:eastAsia="ja-JP"/>
        </w:rPr>
        <w:t>,</w:t>
      </w:r>
      <w:r w:rsidR="00E44FFA" w:rsidRPr="00B4451F">
        <w:rPr>
          <w:rFonts w:ascii="Times New Roman" w:eastAsia="MS Mincho" w:hAnsi="Times New Roman" w:cs="Times New Roman"/>
          <w:lang w:eastAsia="ja-JP"/>
        </w:rPr>
        <w:t xml:space="preserve"> the availability of equipment </w:t>
      </w:r>
      <w:r w:rsidR="00D938D3">
        <w:rPr>
          <w:rFonts w:ascii="Times New Roman" w:eastAsia="MS Mincho" w:hAnsi="Times New Roman" w:cs="Times New Roman"/>
          <w:lang w:eastAsia="ja-JP"/>
        </w:rPr>
        <w:t xml:space="preserve">needed </w:t>
      </w:r>
      <w:r w:rsidR="00E44FFA" w:rsidRPr="00B4451F">
        <w:rPr>
          <w:rFonts w:ascii="Times New Roman" w:eastAsia="MS Mincho" w:hAnsi="Times New Roman" w:cs="Times New Roman"/>
          <w:lang w:eastAsia="ja-JP"/>
        </w:rPr>
        <w:t>to perform the testing procedures</w:t>
      </w:r>
      <w:r w:rsidR="00FF1702">
        <w:rPr>
          <w:rFonts w:ascii="Times New Roman" w:eastAsia="MS Mincho" w:hAnsi="Times New Roman" w:cs="Times New Roman"/>
          <w:lang w:eastAsia="ja-JP"/>
        </w:rPr>
        <w:t xml:space="preserve">. </w:t>
      </w:r>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also 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may </w:t>
      </w:r>
      <w:r>
        <w:rPr>
          <w:rFonts w:ascii="Times New Roman" w:eastAsia="MS Mincho" w:hAnsi="Times New Roman" w:cs="Times New Roman"/>
          <w:lang w:eastAsia="ja-JP"/>
        </w:rPr>
        <w:t>be initiated</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defining each of the following parameters in order to establish the scope and procedure of LMO testing within the country:</w:t>
      </w:r>
    </w:p>
    <w:p w14:paraId="609E1253" w14:textId="5951539E"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national 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monitoring of transboundary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2EEBDF9B"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r>
        <w:rPr>
          <w:rFonts w:ascii="Times New Roman" w:eastAsia="MS Mincho" w:hAnsi="Times New Roman" w:cs="Times New Roman"/>
          <w:lang w:eastAsia="ja-JP"/>
        </w:rPr>
        <w:t>trans</w:t>
      </w:r>
      <w:r w:rsidRPr="00B4451F">
        <w:rPr>
          <w:rFonts w:ascii="Times New Roman" w:eastAsia="MS Mincho" w:hAnsi="Times New Roman" w:cs="Times New Roman"/>
          <w:lang w:eastAsia="ja-JP"/>
        </w:rPr>
        <w:t xml:space="preserve">boundary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Depending on the intended control level, the required analytical capability may be qualitative (presence/absence) or quantitative (e.g. if certain threshold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resources (financial, human) that can be made available in the foreseeable future.</w:t>
      </w:r>
    </w:p>
    <w:p w14:paraId="036600C0" w14:textId="3BADDDD9"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need 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r w:rsidR="00D3574C">
        <w:rPr>
          <w:rFonts w:ascii="Times New Roman" w:eastAsia="MS Mincho" w:hAnsi="Times New Roman" w:cs="Times New Roman"/>
          <w:lang w:eastAsia="ja-JP"/>
        </w:rPr>
        <w:t>Adequate</w:t>
      </w:r>
      <w:r w:rsidRPr="00B4451F">
        <w:rPr>
          <w:rFonts w:ascii="Times New Roman" w:eastAsia="MS Mincho" w:hAnsi="Times New Roman" w:cs="Times New Roman"/>
          <w:lang w:eastAsia="ja-JP"/>
        </w:rPr>
        <w:t xml:space="preserve"> 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monitor</w:t>
      </w:r>
      <w:r w:rsidR="00D3574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where resources are limited, efforts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qualitative laboratory capacities.</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r w:rsidRPr="00B4451F">
        <w:rPr>
          <w:rFonts w:ascii="Times New Roman" w:eastAsia="Calibri" w:hAnsi="Times New Roman" w:cs="Times New Roman"/>
          <w:b/>
          <w:bCs/>
          <w:kern w:val="32"/>
          <w:sz w:val="32"/>
          <w:szCs w:val="32"/>
          <w:lang w:val="x-none" w:eastAsia="x-none"/>
        </w:rPr>
        <w:lastRenderedPageBreak/>
        <w:t xml:space="preserve">References </w:t>
      </w:r>
    </w:p>
    <w:p w14:paraId="704F36F5"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Times New Roman" w:hAnsi="Times New Roman" w:cs="Times New Roman"/>
          <w:bCs/>
          <w:lang w:val="en-US"/>
        </w:rPr>
        <w:t xml:space="preserve">IUCN (2003) An Explanatory Guide to the Cartagena Protocol on Biosafety. Available at </w:t>
      </w:r>
      <w:hyperlink r:id="rId19" w:history="1">
        <w:r w:rsidRPr="00B4451F">
          <w:rPr>
            <w:rFonts w:ascii="Times New Roman" w:eastAsia="Times New Roman" w:hAnsi="Times New Roman" w:cs="Times New Roman"/>
            <w:bCs/>
            <w:color w:val="0000FF"/>
            <w:u w:val="single"/>
            <w:lang w:val="en-US"/>
          </w:rPr>
          <w:t>http://bch.cbd.int/database/record-v4.shtml?documentid=41476</w:t>
        </w:r>
      </w:hyperlink>
      <w:r w:rsidRPr="00B4451F">
        <w:rPr>
          <w:rFonts w:ascii="Times New Roman" w:eastAsia="Times New Roman" w:hAnsi="Times New Roman" w:cs="Times New Roman"/>
          <w:bCs/>
          <w:lang w:val="en-US"/>
        </w:rPr>
        <w:t xml:space="preserve"> (access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B4451F">
        <w:rPr>
          <w:rFonts w:ascii="Times New Roman" w:eastAsia="MS Mincho" w:hAnsi="Times New Roman" w:cs="Times New Roman"/>
          <w:lang w:val="en-US" w:eastAsia="ja-JP"/>
        </w:rPr>
        <w:t>Mirkov</w:t>
      </w:r>
      <w:proofErr w:type="spellEnd"/>
      <w:r w:rsidRPr="00B4451F">
        <w:rPr>
          <w:rFonts w:ascii="Times New Roman" w:eastAsia="MS Mincho" w:hAnsi="Times New Roman" w:cs="Times New Roman"/>
          <w:lang w:val="en-US" w:eastAsia="ja-JP"/>
        </w:rPr>
        <w:t xml:space="preserve"> TE (2003) The molecular basis of genetic modification and improvement of crops. In: </w:t>
      </w:r>
      <w:proofErr w:type="spellStart"/>
      <w:r w:rsidRPr="00B4451F">
        <w:rPr>
          <w:rFonts w:ascii="Times New Roman" w:eastAsia="MS Mincho" w:hAnsi="Times New Roman" w:cs="Times New Roman"/>
          <w:lang w:val="en-US" w:eastAsia="ja-JP"/>
        </w:rPr>
        <w:t>Chrispeels</w:t>
      </w:r>
      <w:proofErr w:type="spellEnd"/>
      <w:r w:rsidRPr="00B4451F">
        <w:rPr>
          <w:rFonts w:ascii="Times New Roman" w:eastAsia="MS Mincho" w:hAnsi="Times New Roman" w:cs="Times New Roman"/>
          <w:lang w:val="en-US" w:eastAsia="ja-JP"/>
        </w:rPr>
        <w:t xml:space="preserve"> MJ, </w:t>
      </w:r>
      <w:proofErr w:type="spellStart"/>
      <w:r w:rsidRPr="00B4451F">
        <w:rPr>
          <w:rFonts w:ascii="Times New Roman" w:eastAsia="MS Mincho" w:hAnsi="Times New Roman" w:cs="Times New Roman"/>
          <w:lang w:val="en-US" w:eastAsia="ja-JP"/>
        </w:rPr>
        <w:t>Sadava</w:t>
      </w:r>
      <w:proofErr w:type="spellEnd"/>
      <w:r w:rsidRPr="00B4451F">
        <w:rPr>
          <w:rFonts w:ascii="Times New Roman" w:eastAsia="MS Mincho" w:hAnsi="Times New Roman" w:cs="Times New Roman"/>
          <w:lang w:val="en-US" w:eastAsia="ja-JP"/>
        </w:rPr>
        <w:t xml:space="preserve">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hyperlink r:id="rId20" w:history="1">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hyperlink>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hyperlink r:id="rId21" w:history="1">
        <w:r w:rsidRPr="00B4451F">
          <w:rPr>
            <w:rFonts w:ascii="Times New Roman" w:eastAsia="MS Mincho" w:hAnsi="Times New Roman" w:cs="Times New Roman"/>
            <w:color w:val="0000FF"/>
            <w:u w:val="single"/>
            <w:lang w:val="en-CA" w:eastAsia="ja-JP"/>
          </w:rPr>
          <w:t>http://bch.cbd.int/protocol/cpb_detection/toolsandguidance.shtml</w:t>
        </w:r>
      </w:hyperlink>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proofErr w:type="spellStart"/>
      <w:r w:rsidRPr="004176C3">
        <w:rPr>
          <w:rFonts w:asciiTheme="majorBidi" w:hAnsiTheme="majorBidi" w:cstheme="majorBidi"/>
        </w:rPr>
        <w:t>Parisi</w:t>
      </w:r>
      <w:proofErr w:type="spellEnd"/>
      <w:r w:rsidRPr="004176C3">
        <w:rPr>
          <w:rFonts w:asciiTheme="majorBidi" w:hAnsiTheme="majorBidi" w:cstheme="majorBidi"/>
        </w:rPr>
        <w:t xml:space="preserve"> C., Tillie P., Rodriguez-</w:t>
      </w:r>
      <w:proofErr w:type="spellStart"/>
      <w:r w:rsidRPr="004176C3">
        <w:rPr>
          <w:rFonts w:asciiTheme="majorBidi" w:hAnsiTheme="majorBidi" w:cstheme="majorBidi"/>
        </w:rPr>
        <w:t>Cerezo</w:t>
      </w:r>
      <w:proofErr w:type="spellEnd"/>
      <w:r w:rsidRPr="004176C3">
        <w:rPr>
          <w:rFonts w:asciiTheme="majorBidi" w:hAnsiTheme="majorBidi" w:cstheme="majorBidi"/>
        </w:rPr>
        <w:t xml:space="preserve">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hyperlink r:id="rId22" w:history="1">
        <w:r w:rsidRPr="00E764A0">
          <w:rPr>
            <w:rFonts w:asciiTheme="majorBidi" w:eastAsia="MS Mincho" w:hAnsiTheme="majorBidi" w:cstheme="majorBidi"/>
            <w:color w:val="0000FF"/>
            <w:u w:val="single"/>
            <w:lang w:eastAsia="ja-JP"/>
          </w:rPr>
          <w:t>https://croplife.org/wp-content/uploads/pdf_files/Getting-a-Biotech-Crop-to-Market-Phillips-McDougall-Study.pdf</w:t>
        </w:r>
      </w:hyperlink>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 xml:space="preserve">ISAAA. 2016. Pocket K No. 1 Questions and Answers About Genetically Modified Crops: A Pocketful of Information. ISAAA: Ithaca, NY. Available at </w:t>
      </w:r>
      <w:hyperlink r:id="rId23" w:history="1">
        <w:r w:rsidRPr="00E764A0">
          <w:rPr>
            <w:rFonts w:asciiTheme="majorBidi" w:eastAsia="MS Mincho" w:hAnsiTheme="majorBidi" w:cstheme="majorBidi"/>
            <w:color w:val="0000FF"/>
            <w:u w:val="single"/>
            <w:lang w:eastAsia="ja-JP"/>
          </w:rPr>
          <w:t>http://www.isaaa.org/resources/publications/pocketk/1/</w:t>
        </w:r>
      </w:hyperlink>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B52390" w:rsidP="00E44FFA">
      <w:pPr>
        <w:tabs>
          <w:tab w:val="left" w:pos="900"/>
        </w:tabs>
        <w:spacing w:before="240" w:after="240"/>
        <w:jc w:val="both"/>
        <w:rPr>
          <w:rFonts w:ascii="Times New Roman" w:eastAsia="MS Mincho" w:hAnsi="Times New Roman" w:cs="Times New Roman"/>
          <w:lang w:eastAsia="ja-JP"/>
        </w:rPr>
      </w:pPr>
      <w:hyperlink r:id="rId24" w:history="1">
        <w:r w:rsidR="00E44FFA" w:rsidRPr="00B4451F">
          <w:rPr>
            <w:rFonts w:ascii="Times New Roman" w:eastAsia="MS Mincho" w:hAnsi="Times New Roman" w:cs="Times New Roman"/>
            <w:color w:val="0000FF"/>
            <w:u w:val="single"/>
            <w:lang w:eastAsia="ja-JP"/>
          </w:rPr>
          <w:t>http://pubs.acs.org/doi/pdf/10.1021/jf400685y</w:t>
        </w:r>
      </w:hyperlink>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hyperlink r:id="rId25" w:history="1">
        <w:r w:rsidRPr="00E764A0">
          <w:rPr>
            <w:rFonts w:asciiTheme="majorBidi" w:eastAsia="MS Mincho" w:hAnsiTheme="majorBidi" w:cstheme="majorBidi"/>
            <w:color w:val="0000FF"/>
            <w:u w:val="single"/>
            <w:lang w:eastAsia="ja-JP"/>
          </w:rPr>
          <w:t>http://www.isaaa.org/resources/publications/pocketk/16/</w:t>
        </w:r>
      </w:hyperlink>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hyperlink r:id="rId26" w:history="1">
        <w:r w:rsidRPr="00233311">
          <w:rPr>
            <w:rStyle w:val="Hipervnculo"/>
            <w:rFonts w:ascii="Times New Roman" w:eastAsia="MS Mincho" w:hAnsi="Times New Roman"/>
            <w:lang w:val="en-US" w:eastAsia="ja-JP"/>
          </w:rPr>
          <w:t>http://www.isaaa.org/resources/publications/briefs/52/download/isaaa-brief-52-2016.pdf</w:t>
        </w:r>
      </w:hyperlink>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090491">
        <w:rPr>
          <w:rFonts w:ascii="Times New Roman" w:eastAsia="MS Mincho" w:hAnsi="Times New Roman" w:cs="Times New Roman"/>
          <w:lang w:val="en-US" w:eastAsia="ja-JP"/>
        </w:rPr>
        <w:t>Mirkov</w:t>
      </w:r>
      <w:proofErr w:type="spellEnd"/>
      <w:r w:rsidRPr="00090491">
        <w:rPr>
          <w:rFonts w:ascii="Times New Roman" w:eastAsia="MS Mincho" w:hAnsi="Times New Roman" w:cs="Times New Roman"/>
          <w:lang w:val="en-US" w:eastAsia="ja-JP"/>
        </w:rPr>
        <w:t xml:space="preserve"> TE (2003) The molecular basis of genetic modification and improvement of crops. In: </w:t>
      </w:r>
      <w:proofErr w:type="spellStart"/>
      <w:r w:rsidRPr="00090491">
        <w:rPr>
          <w:rFonts w:ascii="Times New Roman" w:eastAsia="MS Mincho" w:hAnsi="Times New Roman" w:cs="Times New Roman"/>
          <w:lang w:val="en-US" w:eastAsia="ja-JP"/>
        </w:rPr>
        <w:t>Chrispeels</w:t>
      </w:r>
      <w:proofErr w:type="spellEnd"/>
      <w:r w:rsidRPr="00090491">
        <w:rPr>
          <w:rFonts w:ascii="Times New Roman" w:eastAsia="MS Mincho" w:hAnsi="Times New Roman" w:cs="Times New Roman"/>
          <w:lang w:val="en-US" w:eastAsia="ja-JP"/>
        </w:rPr>
        <w:t xml:space="preserve"> MJ, </w:t>
      </w:r>
      <w:proofErr w:type="spellStart"/>
      <w:smartTag w:uri="urn:schemas-microsoft-com:office:smarttags" w:element="place">
        <w:smartTag w:uri="urn:schemas-microsoft-com:office:smarttags" w:element="City">
          <w:r w:rsidRPr="00090491">
            <w:rPr>
              <w:rFonts w:ascii="Times New Roman" w:eastAsia="MS Mincho" w:hAnsi="Times New Roman" w:cs="Times New Roman"/>
              <w:lang w:val="en-US" w:eastAsia="ja-JP"/>
            </w:rPr>
            <w:t>Sadava</w:t>
          </w:r>
        </w:smartTag>
        <w:proofErr w:type="spellEnd"/>
        <w:r w:rsidRPr="00090491">
          <w:rPr>
            <w:rFonts w:ascii="Times New Roman" w:eastAsia="MS Mincho" w:hAnsi="Times New Roman" w:cs="Times New Roman"/>
            <w:lang w:val="en-US" w:eastAsia="ja-JP"/>
          </w:rPr>
          <w:t xml:space="preserve"> </w:t>
        </w:r>
        <w:smartTag w:uri="urn:schemas-microsoft-com:office:smarttags" w:element="State">
          <w:r w:rsidRPr="00090491">
            <w:rPr>
              <w:rFonts w:ascii="Times New Roman" w:eastAsia="MS Mincho" w:hAnsi="Times New Roman" w:cs="Times New Roman"/>
              <w:lang w:val="en-US" w:eastAsia="ja-JP"/>
            </w:rPr>
            <w:t>DE</w:t>
          </w:r>
        </w:smartTag>
      </w:smartTag>
      <w:r w:rsidRPr="00090491">
        <w:rPr>
          <w:rFonts w:ascii="Times New Roman" w:eastAsia="MS Mincho" w:hAnsi="Times New Roman" w:cs="Times New Roman"/>
          <w:lang w:val="en-US" w:eastAsia="ja-JP"/>
        </w:rPr>
        <w:t xml:space="preserv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OECD (1986) Recombinant DNA Safety Considerations. Available at </w:t>
      </w:r>
      <w:hyperlink r:id="rId27" w:history="1">
        <w:r w:rsidRPr="00090491">
          <w:rPr>
            <w:rFonts w:ascii="Times New Roman" w:eastAsia="MS Mincho" w:hAnsi="Times New Roman" w:cs="Times New Roman"/>
            <w:color w:val="0000FF"/>
            <w:u w:val="single"/>
            <w:lang w:val="en-US" w:eastAsia="ja-JP"/>
          </w:rPr>
          <w:t>http://www.oecd.org/dataoecd/43/34/40986855.pdf</w:t>
        </w:r>
      </w:hyperlink>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r w:rsidRPr="0051503D">
        <w:rPr>
          <w:rFonts w:ascii="Times New Roman" w:eastAsia="MS Mincho" w:hAnsi="Times New Roman" w:cs="Times New Roman"/>
          <w:lang w:val="es-MX" w:eastAsia="ja-JP"/>
        </w:rPr>
        <w:lastRenderedPageBreak/>
        <w:t xml:space="preserve">Stein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hyperlink r:id="rId28" w:history="1">
        <w:r w:rsidRPr="00375471">
          <w:rPr>
            <w:rStyle w:val="Hipervnculo"/>
            <w:rFonts w:ascii="Times New Roman" w:eastAsia="MS Mincho" w:hAnsi="Times New Roman"/>
            <w:lang w:eastAsia="ja-JP"/>
          </w:rPr>
          <w:t>http://ftp.jrc.es/EURdoc/JRC51799.pdf</w:t>
        </w:r>
      </w:hyperlink>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w:t>
      </w:r>
      <w:proofErr w:type="spellStart"/>
      <w:r w:rsidRPr="00652A0E">
        <w:rPr>
          <w:rFonts w:ascii="Times New Roman" w:eastAsia="Times New Roman" w:hAnsi="Times New Roman" w:cs="Times New Roman"/>
          <w:lang w:val="en"/>
        </w:rPr>
        <w:t>Bertheau</w:t>
      </w:r>
      <w:proofErr w:type="spellEnd"/>
      <w:r w:rsidRPr="00652A0E">
        <w:rPr>
          <w:rFonts w:ascii="Times New Roman" w:eastAsia="Times New Roman" w:hAnsi="Times New Roman" w:cs="Times New Roman"/>
          <w:lang w:val="en"/>
        </w:rPr>
        <w:t xml:space="preserve">, Marc de Loose, Lutz </w:t>
      </w:r>
      <w:proofErr w:type="spellStart"/>
      <w:r w:rsidRPr="00652A0E">
        <w:rPr>
          <w:rFonts w:ascii="Times New Roman" w:eastAsia="Times New Roman" w:hAnsi="Times New Roman" w:cs="Times New Roman"/>
          <w:lang w:val="en"/>
        </w:rPr>
        <w:t>Grohmann</w:t>
      </w:r>
      <w:proofErr w:type="spellEnd"/>
      <w:r w:rsidRPr="00652A0E">
        <w:rPr>
          <w:rFonts w:ascii="Times New Roman" w:eastAsia="Times New Roman" w:hAnsi="Times New Roman" w:cs="Times New Roman"/>
          <w:lang w:val="en"/>
        </w:rPr>
        <w:t xml:space="preserve">, Sandrine </w:t>
      </w:r>
      <w:proofErr w:type="spellStart"/>
      <w:r w:rsidRPr="00652A0E">
        <w:rPr>
          <w:rFonts w:ascii="Times New Roman" w:eastAsia="Times New Roman" w:hAnsi="Times New Roman" w:cs="Times New Roman"/>
          <w:lang w:val="en"/>
        </w:rPr>
        <w:t>Hamels</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Lotte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Hougs</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Dany</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Morisset</w:t>
      </w:r>
      <w:proofErr w:type="spellEnd"/>
      <w:r w:rsidRPr="00652A0E">
        <w:rPr>
          <w:rFonts w:ascii="Times New Roman" w:eastAsia="Times New Roman" w:hAnsi="Times New Roman" w:cs="Times New Roman"/>
          <w:lang w:val="en"/>
        </w:rPr>
        <w:t xml:space="preserve">, Sven </w:t>
      </w:r>
      <w:proofErr w:type="spellStart"/>
      <w:r w:rsidRPr="00652A0E">
        <w:rPr>
          <w:rFonts w:ascii="Times New Roman" w:eastAsia="Times New Roman" w:hAnsi="Times New Roman" w:cs="Times New Roman"/>
          <w:lang w:val="en"/>
        </w:rPr>
        <w:t>Pecoraro</w:t>
      </w:r>
      <w:proofErr w:type="spellEnd"/>
      <w:r w:rsidRPr="00652A0E">
        <w:rPr>
          <w:rFonts w:ascii="Times New Roman" w:eastAsia="Times New Roman" w:hAnsi="Times New Roman" w:cs="Times New Roman"/>
          <w:lang w:val="en"/>
        </w:rPr>
        <w:t xml:space="preserve">, Maria </w:t>
      </w:r>
      <w:proofErr w:type="spellStart"/>
      <w:r w:rsidRPr="00652A0E">
        <w:rPr>
          <w:rFonts w:ascii="Times New Roman" w:eastAsia="Times New Roman" w:hAnsi="Times New Roman" w:cs="Times New Roman"/>
          <w:lang w:val="en"/>
        </w:rPr>
        <w:t>Pla</w:t>
      </w:r>
      <w:proofErr w:type="spellEnd"/>
      <w:r w:rsidRPr="00652A0E">
        <w:rPr>
          <w:rFonts w:ascii="Times New Roman" w:eastAsia="Times New Roman" w:hAnsi="Times New Roman" w:cs="Times New Roman"/>
          <w:lang w:val="en"/>
        </w:rPr>
        <w:t xml:space="preserve">, Marc Van den </w:t>
      </w:r>
      <w:proofErr w:type="spellStart"/>
      <w:r w:rsidRPr="00652A0E">
        <w:rPr>
          <w:rFonts w:ascii="Times New Roman" w:eastAsia="Times New Roman" w:hAnsi="Times New Roman" w:cs="Times New Roman"/>
          <w:lang w:val="en"/>
        </w:rPr>
        <w:t>Bulcke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Doerte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Wulff</w:t>
      </w:r>
      <w:proofErr w:type="spellEnd"/>
      <w:r w:rsidRPr="00652A0E">
        <w:rPr>
          <w:rFonts w:ascii="Times New Roman" w:eastAsia="Times New Roman" w:hAnsi="Times New Roman" w:cs="Times New Roman"/>
          <w:lang w:val="en"/>
        </w:rPr>
        <w:t xml:space="preserve">,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hyperlink r:id="rId29" w:history="1">
        <w:r w:rsidRPr="00233311">
          <w:rPr>
            <w:rStyle w:val="Hipervnculo"/>
            <w:rFonts w:ascii="Times New Roman" w:eastAsia="Times New Roman" w:hAnsi="Times New Roman"/>
            <w:lang w:val="en"/>
          </w:rPr>
          <w:t>http://www.sciencedirect.com/science/article/pii/S0734975012000377</w:t>
        </w:r>
      </w:hyperlink>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Textonotapie"/>
        <w:rPr>
          <w:lang w:val="en-CA"/>
        </w:rPr>
      </w:pPr>
      <w:r>
        <w:rPr>
          <w:rStyle w:val="Refdenotaalpie"/>
        </w:rPr>
        <w:footnoteRef/>
      </w:r>
      <w:r w:rsidRPr="00CF4ABC">
        <w:rPr>
          <w:lang w:val="en-CA"/>
        </w:rPr>
        <w:t xml:space="preserve"> </w:t>
      </w:r>
      <w:r>
        <w:rPr>
          <w:lang w:val="en-CA"/>
        </w:rPr>
        <w:t xml:space="preserve">Willems,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Default="002A0B14" w:rsidP="002A0B14">
      <w:pPr>
        <w:rPr>
          <w:lang w:val="en-US"/>
        </w:rPr>
      </w:pPr>
      <w:r>
        <w:rPr>
          <w:rStyle w:val="Refdenotaalpie"/>
        </w:rPr>
        <w:footnoteRef/>
      </w:r>
      <w:r>
        <w:t xml:space="preserve"> </w:t>
      </w:r>
      <w:proofErr w:type="spellStart"/>
      <w:r w:rsidRPr="00CF4ABC">
        <w:rPr>
          <w:lang w:val="en-US"/>
        </w:rPr>
        <w:t>Zel</w:t>
      </w:r>
      <w:proofErr w:type="spellEnd"/>
      <w:r w:rsidRPr="00CF4ABC">
        <w:rPr>
          <w:lang w:val="en-US"/>
        </w:rPr>
        <w:t xml:space="preserve"> J, </w:t>
      </w:r>
      <w:proofErr w:type="spellStart"/>
      <w:r w:rsidRPr="00CF4ABC">
        <w:rPr>
          <w:lang w:val="en-US"/>
        </w:rPr>
        <w:t>Milavec</w:t>
      </w:r>
      <w:proofErr w:type="spellEnd"/>
      <w:r w:rsidRPr="00CF4ABC">
        <w:rPr>
          <w:lang w:val="en-US"/>
        </w:rPr>
        <w:t xml:space="preserve"> M, </w:t>
      </w:r>
      <w:proofErr w:type="spellStart"/>
      <w:r w:rsidRPr="00CF4ABC">
        <w:rPr>
          <w:lang w:val="en-US"/>
        </w:rPr>
        <w:t>Morriset</w:t>
      </w:r>
      <w:proofErr w:type="spellEnd"/>
      <w:r w:rsidRPr="00CF4ABC">
        <w:rPr>
          <w:lang w:val="en-US"/>
        </w:rPr>
        <w:t xml:space="preserve"> D, Plan D, Van den </w:t>
      </w:r>
      <w:proofErr w:type="spellStart"/>
      <w:r w:rsidRPr="00CF4ABC">
        <w:rPr>
          <w:lang w:val="en-US"/>
        </w:rPr>
        <w:t>Eede</w:t>
      </w:r>
      <w:proofErr w:type="spellEnd"/>
      <w:r w:rsidRPr="00CF4ABC">
        <w:rPr>
          <w:lang w:val="en-US"/>
        </w:rPr>
        <w:t xml:space="preserve"> G, </w:t>
      </w:r>
      <w:proofErr w:type="spellStart"/>
      <w:r w:rsidRPr="00CF4ABC">
        <w:rPr>
          <w:lang w:val="en-US"/>
        </w:rPr>
        <w:t>Gruden</w:t>
      </w:r>
      <w:proofErr w:type="spellEnd"/>
      <w:r w:rsidRPr="00CF4ABC">
        <w:rPr>
          <w:lang w:val="en-US"/>
        </w:rPr>
        <w:t xml:space="preserve"> K (2012) How to reliably test for GMOs, Springer briefs in food health and nutrition.</w:t>
      </w:r>
      <w:r>
        <w:rPr>
          <w:lang w:val="en-US"/>
        </w:rPr>
        <w:t xml:space="preserve"> </w:t>
      </w:r>
      <w:hyperlink r:id="rId30" w:history="1">
        <w:r w:rsidRPr="00CF4ABC">
          <w:rPr>
            <w:rStyle w:val="Hipervnculo"/>
            <w:rFonts w:cstheme="minorBidi"/>
            <w:lang w:val="es-MX"/>
          </w:rPr>
          <w:t>http://www.springer.com/us/book/9781461413899</w:t>
        </w:r>
      </w:hyperlink>
    </w:p>
    <w:p w14:paraId="33A9A2E9" w14:textId="0DDB87EF" w:rsidR="00FD5E5C" w:rsidRDefault="00FD5E5C" w:rsidP="002A0B14">
      <w:proofErr w:type="spellStart"/>
      <w:r>
        <w:rPr>
          <w:lang w:val="es-MX"/>
        </w:rPr>
        <w:t>Zel</w:t>
      </w:r>
      <w:proofErr w:type="spellEnd"/>
      <w:r>
        <w:rPr>
          <w:lang w:val="es-MX"/>
        </w:rPr>
        <w:t xml:space="preserve"> et. al.  (2012) </w:t>
      </w:r>
      <w:proofErr w:type="spellStart"/>
      <w:r>
        <w:rPr>
          <w:lang w:val="es-MX"/>
        </w:rPr>
        <w:t>Op</w:t>
      </w:r>
      <w:proofErr w:type="spellEnd"/>
      <w:r>
        <w:rPr>
          <w:lang w:val="es-MX"/>
        </w:rPr>
        <w:t xml:space="preserve"> cit.</w:t>
      </w:r>
    </w:p>
    <w:sectPr w:rsidR="00FD5E5C" w:rsidSect="00EA3E61">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ose Esquivel Bautista (IICA)" w:date="2018-04-11T16:31:00Z" w:initials="DI2">
    <w:p w14:paraId="4D97E9AF" w14:textId="04C933E3" w:rsidR="002D2B42" w:rsidRDefault="002D2B42">
      <w:pPr>
        <w:pStyle w:val="Textocomentario"/>
      </w:pPr>
      <w:r>
        <w:rPr>
          <w:rStyle w:val="Refdecomentario"/>
        </w:rPr>
        <w:annotationRef/>
      </w:r>
      <w:r w:rsidR="000E1CD4" w:rsidRPr="000E1CD4">
        <w:rPr>
          <w:rStyle w:val="Refdecomentario"/>
        </w:rPr>
        <w:t>This should be considered as a high sensitivity for the low values that it is detecting and that may vary according to the brand used</w:t>
      </w:r>
      <w:r w:rsidR="000E1CD4">
        <w:rPr>
          <w:rStyle w:val="Refdecomentario"/>
        </w:rPr>
        <w:t xml:space="preserve"> (</w:t>
      </w:r>
      <w:r w:rsidR="000E1CD4" w:rsidRPr="000E1CD4">
        <w:rPr>
          <w:rStyle w:val="Refdecomentario"/>
        </w:rPr>
        <w:t>https://www.romerlabs.com/en/products/test-kits/gmo/</w:t>
      </w:r>
      <w:r w:rsidR="000E1CD4">
        <w:rPr>
          <w:rStyle w:val="Refdecomentario"/>
        </w:rPr>
        <w:t>)</w:t>
      </w:r>
    </w:p>
  </w:comment>
  <w:comment w:id="2" w:author="Jose Esquivel Bautista (IICA)" w:date="2018-04-11T16:34:00Z" w:initials="DI2">
    <w:p w14:paraId="4A75A8DA" w14:textId="08DA408D" w:rsidR="002D2B42" w:rsidRDefault="002D2B42">
      <w:pPr>
        <w:pStyle w:val="Textocomentario"/>
      </w:pPr>
      <w:r>
        <w:rPr>
          <w:rStyle w:val="Refdecomentario"/>
        </w:rPr>
        <w:annotationRef/>
      </w:r>
      <w:r w:rsidR="000E1CD4" w:rsidRPr="000E1CD4">
        <w:t>Missing PCR</w:t>
      </w:r>
    </w:p>
  </w:comment>
  <w:comment w:id="3" w:author="Jose Esquivel Bautista (IICA)" w:date="2018-04-11T16:33:00Z" w:initials="DI2">
    <w:p w14:paraId="175EF780" w14:textId="64113964" w:rsidR="002D2B42" w:rsidRDefault="002D2B42">
      <w:pPr>
        <w:pStyle w:val="Textocomentario"/>
      </w:pPr>
      <w:r>
        <w:rPr>
          <w:rStyle w:val="Refdecomentario"/>
        </w:rPr>
        <w:annotationRef/>
      </w:r>
      <w:r w:rsidR="000E1CD4" w:rsidRPr="000E1CD4">
        <w:t>The LAMP technique can be performed on site</w:t>
      </w:r>
    </w:p>
  </w:comment>
  <w:comment w:id="5" w:author="Jose Esquivel Bautista (IICA)" w:date="2018-04-11T16:35:00Z" w:initials="DI2">
    <w:p w14:paraId="5B8D9574" w14:textId="47A14FD7" w:rsidR="00D30657" w:rsidRDefault="002D2B42" w:rsidP="00D30657">
      <w:pPr>
        <w:rPr>
          <w:lang w:val="es-MX"/>
        </w:rPr>
      </w:pPr>
      <w:r>
        <w:rPr>
          <w:rStyle w:val="Refdecomentario"/>
        </w:rPr>
        <w:annotationRef/>
      </w:r>
      <w:r w:rsidR="00D30657">
        <w:t>As shown in part b</w:t>
      </w:r>
      <w:r w:rsidR="000E1CD4">
        <w:t xml:space="preserve"> and  </w:t>
      </w:r>
      <w:r w:rsidR="000E1CD4" w:rsidRPr="000E1CD4">
        <w:t xml:space="preserve">description of </w:t>
      </w:r>
      <w:r w:rsidR="000E1CD4" w:rsidRPr="000E1CD4">
        <w:t>figure</w:t>
      </w:r>
      <w:bookmarkStart w:id="6" w:name="_GoBack"/>
      <w:bookmarkEnd w:id="6"/>
      <w:r w:rsidR="00D30657">
        <w:t xml:space="preserve">, gene-specific and construction-specific are defined as if they were the same concept, </w:t>
      </w:r>
      <w:proofErr w:type="spellStart"/>
      <w:r w:rsidR="00D30657">
        <w:t>howerever</w:t>
      </w:r>
      <w:proofErr w:type="spellEnd"/>
      <w:r w:rsidR="00D30657">
        <w:t xml:space="preserve">, they are not. Given definition only corresponds with construction-specific (Holst-Jensen et al.,  2012; </w:t>
      </w:r>
      <w:hyperlink r:id="rId1" w:history="1">
        <w:r w:rsidR="00D30657">
          <w:rPr>
            <w:rStyle w:val="Hipervnculo"/>
          </w:rPr>
          <w:t>https://pubs.acs.org/doi/10.1021/jf4018146</w:t>
        </w:r>
      </w:hyperlink>
      <w:r w:rsidR="00D30657">
        <w:t>)</w:t>
      </w:r>
      <w:r w:rsidR="000E1CD4">
        <w:t xml:space="preserve">. </w:t>
      </w:r>
      <w:r w:rsidR="000E1CD4" w:rsidRPr="000E1CD4">
        <w:t>It is recommended to modify the figure</w:t>
      </w:r>
      <w:r w:rsidR="000E1CD4">
        <w:t>.</w:t>
      </w:r>
    </w:p>
    <w:p w14:paraId="6B65BAAC" w14:textId="19B3C141" w:rsidR="002D2B42" w:rsidRDefault="002D2B42">
      <w:pPr>
        <w:pStyle w:val="Textocomentario"/>
      </w:pPr>
      <w:r>
        <w:rPr>
          <w:rFonts w:ascii="Times New Roman" w:eastAsia="MS Mincho" w:hAnsi="Times New Roman" w:cs="Times New Roman"/>
          <w:lang w:eastAsia="ja-JP"/>
        </w:rP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97E9AF" w15:done="0"/>
  <w15:commentEx w15:paraId="4A75A8DA" w15:done="0"/>
  <w15:commentEx w15:paraId="175EF780" w15:done="0"/>
  <w15:commentEx w15:paraId="6B65BAA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27F11" w14:textId="77777777" w:rsidR="00B52390" w:rsidRDefault="00B52390" w:rsidP="00E44FFA">
      <w:pPr>
        <w:spacing w:after="0" w:line="240" w:lineRule="auto"/>
      </w:pPr>
      <w:r>
        <w:separator/>
      </w:r>
    </w:p>
  </w:endnote>
  <w:endnote w:type="continuationSeparator" w:id="0">
    <w:p w14:paraId="04975EB0" w14:textId="77777777" w:rsidR="00B52390" w:rsidRDefault="00B52390" w:rsidP="00E4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Minngs">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8DF58" w14:textId="77777777" w:rsidR="00B52390" w:rsidRDefault="00B52390" w:rsidP="00E44FFA">
      <w:pPr>
        <w:spacing w:after="0" w:line="240" w:lineRule="auto"/>
      </w:pPr>
      <w:r>
        <w:separator/>
      </w:r>
    </w:p>
  </w:footnote>
  <w:footnote w:type="continuationSeparator" w:id="0">
    <w:p w14:paraId="3E5E5D7A" w14:textId="77777777" w:rsidR="00B52390" w:rsidRDefault="00B52390" w:rsidP="00E44FFA">
      <w:pPr>
        <w:spacing w:after="0" w:line="240" w:lineRule="auto"/>
      </w:pPr>
      <w:r>
        <w:continuationSeparator/>
      </w:r>
    </w:p>
  </w:footnote>
  <w:footnote w:id="1">
    <w:p w14:paraId="619C6DD3" w14:textId="2E1D3DB4" w:rsidR="00A46B98" w:rsidRPr="0051503D" w:rsidRDefault="00A46B98" w:rsidP="00E44FFA">
      <w:pPr>
        <w:pStyle w:val="Textonotapie"/>
        <w:rPr>
          <w:rFonts w:asciiTheme="majorBidi" w:hAnsiTheme="majorBidi" w:cstheme="majorBidi"/>
          <w:sz w:val="18"/>
          <w:szCs w:val="18"/>
        </w:rPr>
      </w:pPr>
      <w:r w:rsidRPr="0051503D">
        <w:rPr>
          <w:rStyle w:val="Refdenotaalpie"/>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2">
    <w:p w14:paraId="00127A31" w14:textId="77777777" w:rsidR="00A46B98" w:rsidRPr="0051503D" w:rsidRDefault="00A46B98" w:rsidP="001B5F18">
      <w:pPr>
        <w:pStyle w:val="Textonotapie"/>
        <w:rPr>
          <w:rFonts w:asciiTheme="majorBidi" w:hAnsiTheme="majorBidi" w:cstheme="majorBidi"/>
          <w:sz w:val="18"/>
          <w:szCs w:val="18"/>
          <w:lang w:val="en-CA"/>
        </w:rPr>
      </w:pPr>
      <w:r w:rsidRPr="0051503D">
        <w:rPr>
          <w:rStyle w:val="Refdenotaalpie"/>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3">
    <w:p w14:paraId="0C69A683" w14:textId="77777777" w:rsidR="00A46B98" w:rsidRPr="0051503D" w:rsidRDefault="00A46B98" w:rsidP="00E44FFA">
      <w:pPr>
        <w:pStyle w:val="Textonotapie"/>
        <w:rPr>
          <w:rFonts w:asciiTheme="majorBidi" w:hAnsiTheme="majorBidi" w:cstheme="majorBidi"/>
          <w:sz w:val="18"/>
          <w:szCs w:val="18"/>
          <w:lang w:val="en-CA"/>
        </w:rPr>
      </w:pPr>
      <w:r w:rsidRPr="0051503D">
        <w:rPr>
          <w:rStyle w:val="Refdenotaalpie"/>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4">
    <w:p w14:paraId="4C259DD2" w14:textId="32D4F4AA" w:rsidR="00A46B98" w:rsidRPr="00C801B7" w:rsidRDefault="00A46B98" w:rsidP="00E44FFA">
      <w:pPr>
        <w:pStyle w:val="Textonotapie"/>
        <w:rPr>
          <w:lang w:val="en-CA"/>
        </w:rPr>
      </w:pPr>
      <w:r w:rsidRPr="0051503D">
        <w:rPr>
          <w:rStyle w:val="Refdenotaalpie"/>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w:t>
      </w:r>
      <w:proofErr w:type="spellStart"/>
      <w:r w:rsidRPr="0051503D">
        <w:rPr>
          <w:rFonts w:asciiTheme="majorBidi" w:hAnsiTheme="majorBidi" w:cstheme="majorBidi"/>
          <w:sz w:val="18"/>
          <w:szCs w:val="18"/>
        </w:rPr>
        <w:t>i</w:t>
      </w:r>
      <w:proofErr w:type="spellEnd"/>
      <w:r w:rsidRPr="0051503D">
        <w:rPr>
          <w:rFonts w:asciiTheme="majorBidi" w:hAnsiTheme="majorBidi" w:cstheme="majorBidi"/>
          <w:sz w:val="18"/>
          <w:szCs w:val="18"/>
        </w:rPr>
        <w:t>) (a) of the Protocol.</w:t>
      </w:r>
    </w:p>
  </w:footnote>
  <w:footnote w:id="5">
    <w:p w14:paraId="40332DE0" w14:textId="2E117C09" w:rsidR="00A46B98" w:rsidRPr="00D4328F" w:rsidRDefault="00A46B98" w:rsidP="00E44FFA">
      <w:pPr>
        <w:spacing w:after="120" w:line="240" w:lineRule="auto"/>
        <w:jc w:val="both"/>
        <w:rPr>
          <w:rFonts w:ascii="Times New Roman" w:eastAsia="Times New Roman" w:hAnsi="Times New Roman" w:cs="Times New Roman"/>
          <w:lang w:val="en-CA"/>
        </w:rPr>
      </w:pPr>
      <w:r>
        <w:rPr>
          <w:rStyle w:val="Refdenotaalpie"/>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 xml:space="preserve">Chris </w:t>
      </w:r>
      <w:proofErr w:type="spellStart"/>
      <w:r w:rsidRPr="00D4328F">
        <w:rPr>
          <w:rFonts w:ascii="Times New Roman" w:eastAsia="Times New Roman" w:hAnsi="Times New Roman" w:cs="Times New Roman"/>
          <w:i/>
          <w:iCs/>
          <w:lang w:val="en-CA"/>
        </w:rPr>
        <w:t>Viljoen</w:t>
      </w:r>
      <w:proofErr w:type="spellEnd"/>
      <w:r w:rsidRPr="00D4328F">
        <w:rPr>
          <w:rFonts w:ascii="Times New Roman" w:eastAsia="Times New Roman" w:hAnsi="Times New Roman" w:cs="Times New Roman"/>
          <w:i/>
          <w:iCs/>
          <w:lang w:val="en-CA"/>
        </w:rPr>
        <w:t xml:space="preserve">, Sarah </w:t>
      </w:r>
      <w:proofErr w:type="spellStart"/>
      <w:r w:rsidRPr="00D4328F">
        <w:rPr>
          <w:rFonts w:ascii="Times New Roman" w:eastAsia="Times New Roman" w:hAnsi="Times New Roman" w:cs="Times New Roman"/>
          <w:i/>
          <w:iCs/>
          <w:lang w:val="en-CA"/>
        </w:rPr>
        <w:t>Agapito-Tenfen</w:t>
      </w:r>
      <w:proofErr w:type="spellEnd"/>
      <w:r w:rsidRPr="00D4328F">
        <w:rPr>
          <w:rFonts w:ascii="Times New Roman" w:eastAsia="Times New Roman" w:hAnsi="Times New Roman" w:cs="Times New Roman"/>
          <w:i/>
          <w:iCs/>
          <w:lang w:val="en-CA"/>
        </w:rPr>
        <w:t xml:space="preserve">, and </w:t>
      </w:r>
      <w:proofErr w:type="spellStart"/>
      <w:r w:rsidRPr="00D4328F">
        <w:rPr>
          <w:rFonts w:ascii="Times New Roman" w:eastAsia="Times New Roman" w:hAnsi="Times New Roman" w:cs="Times New Roman"/>
          <w:i/>
          <w:iCs/>
          <w:lang w:val="en-CA"/>
        </w:rPr>
        <w:t>Gretta</w:t>
      </w:r>
      <w:proofErr w:type="spellEnd"/>
      <w:r w:rsidRPr="00D4328F">
        <w:rPr>
          <w:rFonts w:ascii="Times New Roman" w:eastAsia="Times New Roman" w:hAnsi="Times New Roman" w:cs="Times New Roman"/>
          <w:i/>
          <w:iCs/>
          <w:lang w:val="en-CA"/>
        </w:rPr>
        <w:t xml:space="preserve"> </w:t>
      </w:r>
      <w:proofErr w:type="spellStart"/>
      <w:r w:rsidRPr="00D4328F">
        <w:rPr>
          <w:rFonts w:ascii="Times New Roman" w:eastAsia="Times New Roman" w:hAnsi="Times New Roman" w:cs="Times New Roman"/>
          <w:i/>
          <w:iCs/>
          <w:lang w:val="en-CA"/>
        </w:rPr>
        <w:t>Abou-Sleymane</w:t>
      </w:r>
      <w:proofErr w:type="spellEnd"/>
    </w:p>
  </w:footnote>
  <w:footnote w:id="6">
    <w:p w14:paraId="1F180B19" w14:textId="77777777" w:rsidR="00A46B98" w:rsidRPr="00D4428D" w:rsidRDefault="00A46B98" w:rsidP="007864D1">
      <w:pPr>
        <w:pStyle w:val="Textonotapie"/>
        <w:rPr>
          <w:lang w:val="en-US"/>
        </w:rPr>
      </w:pPr>
      <w:r>
        <w:rPr>
          <w:rStyle w:val="Refdenotaalpie"/>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7">
    <w:p w14:paraId="4BCF2650" w14:textId="0287CFA9" w:rsidR="00A46B98" w:rsidRPr="0051503D" w:rsidRDefault="00A46B98">
      <w:pPr>
        <w:pStyle w:val="Textonotapie"/>
        <w:rPr>
          <w:lang w:val="en-US"/>
        </w:rPr>
      </w:pPr>
      <w:r w:rsidRPr="0051503D">
        <w:rPr>
          <w:rStyle w:val="Refdenotaalpie"/>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 Esquivel Bautista (IICA)">
    <w15:presenceInfo w15:providerId="AD" w15:userId="S-1-5-21-117519750-1767273756-3293838163-25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FFA"/>
    <w:rsid w:val="00011748"/>
    <w:rsid w:val="00016DCA"/>
    <w:rsid w:val="00030A99"/>
    <w:rsid w:val="00033DB9"/>
    <w:rsid w:val="0003608B"/>
    <w:rsid w:val="000A4F80"/>
    <w:rsid w:val="000B4890"/>
    <w:rsid w:val="000C0E00"/>
    <w:rsid w:val="000D2EC0"/>
    <w:rsid w:val="000D3F0D"/>
    <w:rsid w:val="000E1CD4"/>
    <w:rsid w:val="001032A1"/>
    <w:rsid w:val="00137E14"/>
    <w:rsid w:val="00160F67"/>
    <w:rsid w:val="00167EFF"/>
    <w:rsid w:val="00185371"/>
    <w:rsid w:val="001A1179"/>
    <w:rsid w:val="001B5F18"/>
    <w:rsid w:val="001C23DC"/>
    <w:rsid w:val="00226E8E"/>
    <w:rsid w:val="00286290"/>
    <w:rsid w:val="00297F49"/>
    <w:rsid w:val="002A0B14"/>
    <w:rsid w:val="002C13E2"/>
    <w:rsid w:val="002D2B42"/>
    <w:rsid w:val="002F202C"/>
    <w:rsid w:val="0031376F"/>
    <w:rsid w:val="00316960"/>
    <w:rsid w:val="00347DB1"/>
    <w:rsid w:val="00360D98"/>
    <w:rsid w:val="003776C7"/>
    <w:rsid w:val="00382046"/>
    <w:rsid w:val="003A0104"/>
    <w:rsid w:val="003A3FBF"/>
    <w:rsid w:val="003A56FF"/>
    <w:rsid w:val="0040410D"/>
    <w:rsid w:val="004225AC"/>
    <w:rsid w:val="00442E10"/>
    <w:rsid w:val="00461964"/>
    <w:rsid w:val="004950A4"/>
    <w:rsid w:val="004A355E"/>
    <w:rsid w:val="004B207B"/>
    <w:rsid w:val="004B5194"/>
    <w:rsid w:val="004C390A"/>
    <w:rsid w:val="004C55D3"/>
    <w:rsid w:val="004F6814"/>
    <w:rsid w:val="00503FF6"/>
    <w:rsid w:val="0051503D"/>
    <w:rsid w:val="005937F1"/>
    <w:rsid w:val="005A6CB6"/>
    <w:rsid w:val="005D1A4B"/>
    <w:rsid w:val="005D35F0"/>
    <w:rsid w:val="005D74EE"/>
    <w:rsid w:val="005E36A2"/>
    <w:rsid w:val="00605A58"/>
    <w:rsid w:val="00613241"/>
    <w:rsid w:val="00614ADF"/>
    <w:rsid w:val="00617AD1"/>
    <w:rsid w:val="00621A1D"/>
    <w:rsid w:val="00640631"/>
    <w:rsid w:val="00662077"/>
    <w:rsid w:val="00672A60"/>
    <w:rsid w:val="00694B07"/>
    <w:rsid w:val="006A379C"/>
    <w:rsid w:val="006B206B"/>
    <w:rsid w:val="006B77C1"/>
    <w:rsid w:val="006C626E"/>
    <w:rsid w:val="006E0A36"/>
    <w:rsid w:val="006E6282"/>
    <w:rsid w:val="0070629E"/>
    <w:rsid w:val="00723C05"/>
    <w:rsid w:val="007711DD"/>
    <w:rsid w:val="007864D1"/>
    <w:rsid w:val="007B76C3"/>
    <w:rsid w:val="007D687F"/>
    <w:rsid w:val="007F4104"/>
    <w:rsid w:val="008052DE"/>
    <w:rsid w:val="00846F3B"/>
    <w:rsid w:val="00861B79"/>
    <w:rsid w:val="00862F06"/>
    <w:rsid w:val="00873EAB"/>
    <w:rsid w:val="0088223F"/>
    <w:rsid w:val="008908FD"/>
    <w:rsid w:val="008A1980"/>
    <w:rsid w:val="008B7364"/>
    <w:rsid w:val="008C38DB"/>
    <w:rsid w:val="008C77FB"/>
    <w:rsid w:val="008E3AD3"/>
    <w:rsid w:val="008F6742"/>
    <w:rsid w:val="008F7CAC"/>
    <w:rsid w:val="00914586"/>
    <w:rsid w:val="00931528"/>
    <w:rsid w:val="00933A4B"/>
    <w:rsid w:val="00936976"/>
    <w:rsid w:val="00937EC4"/>
    <w:rsid w:val="00952851"/>
    <w:rsid w:val="00955109"/>
    <w:rsid w:val="009966D3"/>
    <w:rsid w:val="00996BE2"/>
    <w:rsid w:val="009C1B9F"/>
    <w:rsid w:val="009D40AF"/>
    <w:rsid w:val="00A03675"/>
    <w:rsid w:val="00A10687"/>
    <w:rsid w:val="00A347F6"/>
    <w:rsid w:val="00A46B98"/>
    <w:rsid w:val="00A65C5D"/>
    <w:rsid w:val="00A66B82"/>
    <w:rsid w:val="00A77540"/>
    <w:rsid w:val="00AA5454"/>
    <w:rsid w:val="00AB05CC"/>
    <w:rsid w:val="00AC0C59"/>
    <w:rsid w:val="00B15859"/>
    <w:rsid w:val="00B17EEE"/>
    <w:rsid w:val="00B26B2E"/>
    <w:rsid w:val="00B3640C"/>
    <w:rsid w:val="00B508AB"/>
    <w:rsid w:val="00B52390"/>
    <w:rsid w:val="00B602FD"/>
    <w:rsid w:val="00B9261B"/>
    <w:rsid w:val="00B9268A"/>
    <w:rsid w:val="00BC0CFD"/>
    <w:rsid w:val="00BE1F8D"/>
    <w:rsid w:val="00BE5D3A"/>
    <w:rsid w:val="00BE7795"/>
    <w:rsid w:val="00C010E7"/>
    <w:rsid w:val="00C0390F"/>
    <w:rsid w:val="00C50D1A"/>
    <w:rsid w:val="00C50DA2"/>
    <w:rsid w:val="00C61A2F"/>
    <w:rsid w:val="00C854C7"/>
    <w:rsid w:val="00C8757B"/>
    <w:rsid w:val="00D22999"/>
    <w:rsid w:val="00D30657"/>
    <w:rsid w:val="00D3574C"/>
    <w:rsid w:val="00D4434C"/>
    <w:rsid w:val="00D671C3"/>
    <w:rsid w:val="00D77758"/>
    <w:rsid w:val="00D938D3"/>
    <w:rsid w:val="00DC32D8"/>
    <w:rsid w:val="00E10214"/>
    <w:rsid w:val="00E20567"/>
    <w:rsid w:val="00E44FFA"/>
    <w:rsid w:val="00E87614"/>
    <w:rsid w:val="00E87683"/>
    <w:rsid w:val="00E9291C"/>
    <w:rsid w:val="00EA3E61"/>
    <w:rsid w:val="00EA7911"/>
    <w:rsid w:val="00EB41EF"/>
    <w:rsid w:val="00EB45D4"/>
    <w:rsid w:val="00EB5E1A"/>
    <w:rsid w:val="00ED205B"/>
    <w:rsid w:val="00EE1519"/>
    <w:rsid w:val="00EE65B3"/>
    <w:rsid w:val="00F02E14"/>
    <w:rsid w:val="00F16B24"/>
    <w:rsid w:val="00F20364"/>
    <w:rsid w:val="00F54E47"/>
    <w:rsid w:val="00F6456E"/>
    <w:rsid w:val="00FB1181"/>
    <w:rsid w:val="00FD4E5F"/>
    <w:rsid w:val="00FD5E5C"/>
    <w:rsid w:val="00FE01AE"/>
    <w:rsid w:val="00FF1702"/>
    <w:rsid w:val="00FF3B4A"/>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7562C9"/>
  <w15:docId w15:val="{1C4C4D6A-50DB-44A4-833F-E961C79A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FFA"/>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nhideWhenUsed/>
    <w:rsid w:val="00E44FFA"/>
    <w:pPr>
      <w:spacing w:after="0" w:line="240" w:lineRule="auto"/>
    </w:pPr>
    <w:rPr>
      <w:sz w:val="20"/>
      <w:szCs w:val="20"/>
    </w:rPr>
  </w:style>
  <w:style w:type="character" w:customStyle="1" w:styleId="TextonotapieCar">
    <w:name w:val="Texto nota pie Car"/>
    <w:basedOn w:val="Fuentedeprrafopredeter"/>
    <w:link w:val="Textonotapie"/>
    <w:rsid w:val="00E44FFA"/>
    <w:rPr>
      <w:sz w:val="20"/>
      <w:szCs w:val="20"/>
      <w:lang w:val="en-GB"/>
    </w:rPr>
  </w:style>
  <w:style w:type="character" w:styleId="Hipervnculo">
    <w:name w:val="Hyperlink"/>
    <w:uiPriority w:val="99"/>
    <w:rsid w:val="00E44FFA"/>
    <w:rPr>
      <w:rFonts w:cs="Times New Roman"/>
      <w:color w:val="0000FF"/>
      <w:u w:val="single"/>
    </w:rPr>
  </w:style>
  <w:style w:type="character" w:styleId="Refdenotaalpie">
    <w:name w:val="footnote reference"/>
    <w:rsid w:val="00E44FFA"/>
    <w:rPr>
      <w:sz w:val="18"/>
      <w:u w:val="single"/>
      <w:vertAlign w:val="baseline"/>
    </w:rPr>
  </w:style>
  <w:style w:type="paragraph" w:styleId="Textodeglobo">
    <w:name w:val="Balloon Text"/>
    <w:basedOn w:val="Normal"/>
    <w:link w:val="TextodegloboCar"/>
    <w:uiPriority w:val="99"/>
    <w:semiHidden/>
    <w:unhideWhenUsed/>
    <w:rsid w:val="00AA54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454"/>
    <w:rPr>
      <w:rFonts w:ascii="Tahoma" w:hAnsi="Tahoma" w:cs="Tahoma"/>
      <w:sz w:val="16"/>
      <w:szCs w:val="16"/>
      <w:lang w:val="en-GB"/>
    </w:rPr>
  </w:style>
  <w:style w:type="character" w:styleId="Refdecomentario">
    <w:name w:val="annotation reference"/>
    <w:basedOn w:val="Fuentedeprrafopredeter"/>
    <w:uiPriority w:val="99"/>
    <w:semiHidden/>
    <w:unhideWhenUsed/>
    <w:rsid w:val="00347DB1"/>
    <w:rPr>
      <w:sz w:val="16"/>
      <w:szCs w:val="16"/>
    </w:rPr>
  </w:style>
  <w:style w:type="paragraph" w:styleId="Textocomentario">
    <w:name w:val="annotation text"/>
    <w:basedOn w:val="Normal"/>
    <w:link w:val="TextocomentarioCar"/>
    <w:uiPriority w:val="99"/>
    <w:semiHidden/>
    <w:unhideWhenUsed/>
    <w:rsid w:val="00347D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7DB1"/>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347DB1"/>
    <w:rPr>
      <w:b/>
      <w:bCs/>
    </w:rPr>
  </w:style>
  <w:style w:type="character" w:customStyle="1" w:styleId="AsuntodelcomentarioCar">
    <w:name w:val="Asunto del comentario Car"/>
    <w:basedOn w:val="TextocomentarioCar"/>
    <w:link w:val="Asuntodelcomentario"/>
    <w:uiPriority w:val="99"/>
    <w:semiHidden/>
    <w:rsid w:val="00347DB1"/>
    <w:rPr>
      <w:b/>
      <w:bCs/>
      <w:sz w:val="20"/>
      <w:szCs w:val="20"/>
      <w:lang w:val="en-GB"/>
    </w:rPr>
  </w:style>
  <w:style w:type="table" w:styleId="Tablaconcuadrcula">
    <w:name w:val="Table Grid"/>
    <w:basedOn w:val="Tablanormal"/>
    <w:uiPriority w:val="59"/>
    <w:rsid w:val="00C87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16DCA"/>
    <w:pPr>
      <w:ind w:left="720"/>
      <w:contextualSpacing/>
    </w:pPr>
  </w:style>
  <w:style w:type="paragraph" w:styleId="Revisin">
    <w:name w:val="Revision"/>
    <w:hidden/>
    <w:uiPriority w:val="99"/>
    <w:semiHidden/>
    <w:rsid w:val="00FF5AA0"/>
    <w:pPr>
      <w:spacing w:after="0" w:line="240" w:lineRule="auto"/>
    </w:pPr>
    <w:rPr>
      <w:lang w:val="en-GB"/>
    </w:rPr>
  </w:style>
  <w:style w:type="character" w:styleId="Hipervnculovisitado">
    <w:name w:val="FollowedHyperlink"/>
    <w:basedOn w:val="Fuentedeprrafopredeter"/>
    <w:uiPriority w:val="99"/>
    <w:semiHidden/>
    <w:unhideWhenUsed/>
    <w:rsid w:val="00A65C5D"/>
    <w:rPr>
      <w:color w:val="800080" w:themeColor="followedHyperlink"/>
      <w:u w:val="single"/>
    </w:rPr>
  </w:style>
  <w:style w:type="character" w:styleId="Nmerodelnea">
    <w:name w:val="line number"/>
    <w:basedOn w:val="Fuentedeprrafopredeter"/>
    <w:uiPriority w:val="99"/>
    <w:semiHidden/>
    <w:unhideWhenUsed/>
    <w:rsid w:val="00EA3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139192">
      <w:bodyDiv w:val="1"/>
      <w:marLeft w:val="0"/>
      <w:marRight w:val="0"/>
      <w:marTop w:val="0"/>
      <w:marBottom w:val="0"/>
      <w:divBdr>
        <w:top w:val="none" w:sz="0" w:space="0" w:color="auto"/>
        <w:left w:val="none" w:sz="0" w:space="0" w:color="auto"/>
        <w:bottom w:val="none" w:sz="0" w:space="0" w:color="auto"/>
        <w:right w:val="none" w:sz="0" w:space="0" w:color="auto"/>
      </w:divBdr>
    </w:div>
    <w:div w:id="99661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pubs.acs.org/doi/10.1021/jf4018146"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gmotesting.com/Testing-Options" TargetMode="External"/><Relationship Id="rId18" Type="http://schemas.openxmlformats.org/officeDocument/2006/relationships/hyperlink" Target="https://sites.biochem.umass.edu/vierlinglab/files/2015/04/2016nbt.3449Status-of-GMO-crops.pdf" TargetMode="External"/><Relationship Id="rId26" Type="http://schemas.openxmlformats.org/officeDocument/2006/relationships/hyperlink" Target="http://www.isaaa.org/resources/publications/briefs/52/download/isaaa-brief-52-2016.pdf" TargetMode="External"/><Relationship Id="rId3" Type="http://schemas.openxmlformats.org/officeDocument/2006/relationships/styles" Target="styles.xml"/><Relationship Id="rId21" Type="http://schemas.openxmlformats.org/officeDocument/2006/relationships/hyperlink" Target="http://bch.cbd.int/protocol/cpb_detection/toolsandguidance.shtml" TargetMode="Externa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hyperlink" Target="http://www.isaaa.org/resources/publications/pocketk/1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ubs.acs.org/doi/pdf/10.1021/jf400685y" TargetMode="External"/><Relationship Id="rId20" Type="http://schemas.openxmlformats.org/officeDocument/2006/relationships/hyperlink" Target="http://www.nib.si/eng/index.php/aktualno/project/272-gmoseek-better-control-of-genetically-modified-organisms-gmos-for-an-improved-european-food-safety.html" TargetMode="External"/><Relationship Id="rId29" Type="http://schemas.openxmlformats.org/officeDocument/2006/relationships/hyperlink" Target="http://www.sciencedirect.com/science/article/pii/S07349750120003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pubs.acs.org/doi/pdf/10.1021/jf400685y"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saaa.org/resources/publications/pocketk/1/" TargetMode="External"/><Relationship Id="rId28" Type="http://schemas.openxmlformats.org/officeDocument/2006/relationships/hyperlink" Target="http://ftp.jrc.es/EURdoc/JRC51799.pdf" TargetMode="External"/><Relationship Id="rId10" Type="http://schemas.openxmlformats.org/officeDocument/2006/relationships/image" Target="media/image3.jpeg"/><Relationship Id="rId19" Type="http://schemas.openxmlformats.org/officeDocument/2006/relationships/hyperlink" Target="http://bch.cbd.int/database/record-v4.shtml?documentid=4147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croplife.org/wp-content/uploads/pdf_files/Getting-a-Biotech-Crop-to-Market-Phillips-McDougall-Study.pdf" TargetMode="External"/><Relationship Id="rId27" Type="http://schemas.openxmlformats.org/officeDocument/2006/relationships/hyperlink" Target="http://www.oecd.org/dataoecd/43/34/40986855.pdf" TargetMode="External"/><Relationship Id="rId30" Type="http://schemas.openxmlformats.org/officeDocument/2006/relationships/hyperlink" Target="http://www.springer.com/us/book/9781461413899"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2CA27-5E32-4896-8325-9CB11E25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6047</Words>
  <Characters>33259</Characters>
  <Application>Microsoft Office Word</Application>
  <DocSecurity>0</DocSecurity>
  <Lines>277</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DGIAAP IICA 23</cp:lastModifiedBy>
  <cp:revision>4</cp:revision>
  <dcterms:created xsi:type="dcterms:W3CDTF">2018-04-11T21:37:00Z</dcterms:created>
  <dcterms:modified xsi:type="dcterms:W3CDTF">2018-04-12T17:15:00Z</dcterms:modified>
</cp:coreProperties>
</file>