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B9E" w:rsidRDefault="00245B9E" w:rsidP="00245B9E">
      <w:pPr>
        <w:pStyle w:val="Default"/>
        <w:rPr>
          <w:sz w:val="23"/>
          <w:szCs w:val="23"/>
        </w:rPr>
      </w:pPr>
      <w:r>
        <w:rPr>
          <w:b/>
          <w:bCs/>
          <w:sz w:val="23"/>
          <w:szCs w:val="23"/>
        </w:rPr>
        <w:t xml:space="preserve">Resources on Contained Use of LMOs and Pathogens (human, animal and plant) </w:t>
      </w:r>
    </w:p>
    <w:p w:rsidR="00245B9E" w:rsidRDefault="00245B9E" w:rsidP="00245B9E">
      <w:pPr>
        <w:pStyle w:val="Default"/>
        <w:rPr>
          <w:sz w:val="23"/>
          <w:szCs w:val="23"/>
        </w:rPr>
      </w:pPr>
      <w:r>
        <w:rPr>
          <w:sz w:val="23"/>
          <w:szCs w:val="23"/>
        </w:rPr>
        <w:t>Biosafety principles and practices are similar irrespective of whether the organisms are genetically modified pathogenic for human, animal or plant. The Annex to the World Health Organization Laboratory Safety Manual 3</w:t>
      </w:r>
      <w:r w:rsidRPr="00821B42">
        <w:rPr>
          <w:szCs w:val="14"/>
          <w:vertAlign w:val="superscript"/>
        </w:rPr>
        <w:t xml:space="preserve">rd </w:t>
      </w:r>
      <w:r>
        <w:rPr>
          <w:sz w:val="23"/>
          <w:szCs w:val="23"/>
        </w:rPr>
        <w:t xml:space="preserve">edition (reference below) states: “The backbone of the practice of biosafety is risk assessment. While there are many tools available to assist in the assessment of risk for a given procedure or experiment, the most important component is professional judgement. Risk assessment should be performed by the individuals most familiar with the specific characteristics of the organisms being considered for use, the equipment and the procedures to be employed, animal models that may be used, and the containment equipment and facilities available.” </w:t>
      </w:r>
    </w:p>
    <w:p w:rsidR="00245B9E" w:rsidRDefault="00245B9E" w:rsidP="00245B9E">
      <w:pPr>
        <w:pStyle w:val="Default"/>
        <w:rPr>
          <w:sz w:val="23"/>
          <w:szCs w:val="23"/>
        </w:rPr>
      </w:pPr>
      <w:r>
        <w:rPr>
          <w:sz w:val="23"/>
          <w:szCs w:val="23"/>
        </w:rPr>
        <w:t xml:space="preserve">The following are indicative examples of international, regional and national resources used in the implementation of contained use practices: </w:t>
      </w:r>
    </w:p>
    <w:p w:rsidR="00245B9E" w:rsidRDefault="00245B9E" w:rsidP="00245B9E">
      <w:pPr>
        <w:pStyle w:val="Default"/>
        <w:rPr>
          <w:sz w:val="23"/>
          <w:szCs w:val="23"/>
        </w:rPr>
      </w:pPr>
      <w:bookmarkStart w:id="0" w:name="_GoBack"/>
      <w:bookmarkEnd w:id="0"/>
    </w:p>
    <w:p w:rsidR="00245B9E" w:rsidRDefault="00245B9E" w:rsidP="00245B9E">
      <w:pPr>
        <w:pStyle w:val="Default"/>
        <w:numPr>
          <w:ilvl w:val="0"/>
          <w:numId w:val="1"/>
        </w:numPr>
        <w:spacing w:after="44"/>
        <w:rPr>
          <w:sz w:val="23"/>
          <w:szCs w:val="23"/>
        </w:rPr>
      </w:pPr>
      <w:r>
        <w:rPr>
          <w:sz w:val="23"/>
          <w:szCs w:val="23"/>
        </w:rPr>
        <w:t>World Health Organization – Laboratory Safety Manual 3</w:t>
      </w:r>
      <w:r w:rsidRPr="00821B42">
        <w:rPr>
          <w:sz w:val="28"/>
          <w:szCs w:val="14"/>
          <w:vertAlign w:val="superscript"/>
        </w:rPr>
        <w:t>rd</w:t>
      </w:r>
      <w:r>
        <w:rPr>
          <w:sz w:val="14"/>
          <w:szCs w:val="14"/>
        </w:rPr>
        <w:t xml:space="preserve"> </w:t>
      </w:r>
      <w:r>
        <w:rPr>
          <w:sz w:val="23"/>
          <w:szCs w:val="23"/>
        </w:rPr>
        <w:t>edition (first published in 1983, but revised periodically to take scientific developments into account) (</w:t>
      </w:r>
      <w:hyperlink r:id="rId7" w:history="1">
        <w:r w:rsidRPr="003149DD">
          <w:rPr>
            <w:rStyle w:val="Hyperlink"/>
            <w:sz w:val="23"/>
            <w:szCs w:val="23"/>
          </w:rPr>
          <w:t>http://www.who.int/csr/resources/publications/biosafety/WHO_CDS_CSR_LYO_2004_11/en/</w:t>
        </w:r>
      </w:hyperlink>
      <w:r>
        <w:rPr>
          <w:sz w:val="23"/>
          <w:szCs w:val="23"/>
        </w:rPr>
        <w:t xml:space="preserve"> ) </w:t>
      </w:r>
    </w:p>
    <w:p w:rsidR="00245B9E" w:rsidRDefault="00245B9E" w:rsidP="00245B9E">
      <w:pPr>
        <w:pStyle w:val="Default"/>
        <w:numPr>
          <w:ilvl w:val="0"/>
          <w:numId w:val="1"/>
        </w:numPr>
        <w:spacing w:after="44"/>
        <w:rPr>
          <w:sz w:val="23"/>
          <w:szCs w:val="23"/>
        </w:rPr>
      </w:pPr>
      <w:r>
        <w:rPr>
          <w:sz w:val="23"/>
          <w:szCs w:val="23"/>
        </w:rPr>
        <w:t xml:space="preserve">World Health Organization – </w:t>
      </w:r>
      <w:proofErr w:type="spellStart"/>
      <w:r>
        <w:rPr>
          <w:sz w:val="23"/>
          <w:szCs w:val="23"/>
        </w:rPr>
        <w:t>Biorisk</w:t>
      </w:r>
      <w:proofErr w:type="spellEnd"/>
      <w:r>
        <w:rPr>
          <w:sz w:val="23"/>
          <w:szCs w:val="23"/>
        </w:rPr>
        <w:t xml:space="preserve"> management – Laboratory biosecurity guidance (</w:t>
      </w:r>
      <w:hyperlink r:id="rId8" w:history="1">
        <w:r w:rsidRPr="003149DD">
          <w:rPr>
            <w:rStyle w:val="Hyperlink"/>
            <w:sz w:val="23"/>
            <w:szCs w:val="23"/>
          </w:rPr>
          <w:t>http://www.who.int/csr/resources/publications/biosafety/WHO_CDS_EPR_2006_6.pdf</w:t>
        </w:r>
      </w:hyperlink>
      <w:r>
        <w:rPr>
          <w:sz w:val="23"/>
          <w:szCs w:val="23"/>
        </w:rPr>
        <w:t xml:space="preserve"> ) </w:t>
      </w:r>
    </w:p>
    <w:p w:rsidR="00245B9E" w:rsidRDefault="00245B9E" w:rsidP="00245B9E">
      <w:pPr>
        <w:pStyle w:val="Default"/>
        <w:numPr>
          <w:ilvl w:val="0"/>
          <w:numId w:val="1"/>
        </w:numPr>
        <w:spacing w:after="44"/>
        <w:rPr>
          <w:sz w:val="23"/>
          <w:szCs w:val="23"/>
        </w:rPr>
      </w:pPr>
      <w:r>
        <w:rPr>
          <w:sz w:val="23"/>
          <w:szCs w:val="23"/>
        </w:rPr>
        <w:t>Biological agents: Managing the Risks in Laboratories and Healthcare Premises (UK) (</w:t>
      </w:r>
      <w:hyperlink r:id="rId9" w:history="1">
        <w:r w:rsidRPr="003149DD">
          <w:rPr>
            <w:rStyle w:val="Hyperlink"/>
            <w:sz w:val="23"/>
            <w:szCs w:val="23"/>
          </w:rPr>
          <w:t>http://www.hse.gov.uk/biosafety/biologagents.pdf</w:t>
        </w:r>
      </w:hyperlink>
      <w:r>
        <w:rPr>
          <w:sz w:val="23"/>
          <w:szCs w:val="23"/>
        </w:rPr>
        <w:t xml:space="preserve"> ) </w:t>
      </w:r>
    </w:p>
    <w:p w:rsidR="00245B9E" w:rsidRDefault="00245B9E" w:rsidP="00245B9E">
      <w:pPr>
        <w:pStyle w:val="Default"/>
        <w:numPr>
          <w:ilvl w:val="0"/>
          <w:numId w:val="1"/>
        </w:numPr>
        <w:spacing w:after="44"/>
        <w:rPr>
          <w:sz w:val="23"/>
          <w:szCs w:val="23"/>
        </w:rPr>
      </w:pPr>
      <w:r>
        <w:rPr>
          <w:sz w:val="23"/>
          <w:szCs w:val="23"/>
        </w:rPr>
        <w:t>The Genetically Modified Organisms (Contained Use) Regulations 2014. Guidance on regulations. HSE (UK) (</w:t>
      </w:r>
      <w:hyperlink r:id="rId10" w:history="1">
        <w:r w:rsidRPr="003149DD">
          <w:rPr>
            <w:rStyle w:val="Hyperlink"/>
            <w:sz w:val="23"/>
            <w:szCs w:val="23"/>
          </w:rPr>
          <w:t>http://www.hse.gov.uk/pubns/priced/l29.pdf</w:t>
        </w:r>
      </w:hyperlink>
      <w:r>
        <w:rPr>
          <w:sz w:val="23"/>
          <w:szCs w:val="23"/>
        </w:rPr>
        <w:t xml:space="preserve"> ) </w:t>
      </w:r>
    </w:p>
    <w:p w:rsidR="00245B9E" w:rsidRPr="00821B42" w:rsidRDefault="00245B9E" w:rsidP="00245B9E">
      <w:pPr>
        <w:pStyle w:val="Default"/>
        <w:numPr>
          <w:ilvl w:val="0"/>
          <w:numId w:val="1"/>
        </w:numPr>
        <w:rPr>
          <w:sz w:val="23"/>
          <w:szCs w:val="23"/>
        </w:rPr>
      </w:pPr>
      <w:r w:rsidRPr="00821B42">
        <w:rPr>
          <w:sz w:val="23"/>
          <w:szCs w:val="23"/>
        </w:rPr>
        <w:t>Biosafety in Microbiological and Biomedical Laboratories (USA) (</w:t>
      </w:r>
      <w:hyperlink r:id="rId11" w:history="1">
        <w:r w:rsidRPr="003149DD">
          <w:rPr>
            <w:rStyle w:val="Hyperlink"/>
            <w:sz w:val="23"/>
            <w:szCs w:val="23"/>
          </w:rPr>
          <w:t>http://www.cdc.gov/biosafety/publications/bmbl5/</w:t>
        </w:r>
      </w:hyperlink>
      <w:r>
        <w:rPr>
          <w:sz w:val="23"/>
          <w:szCs w:val="23"/>
        </w:rPr>
        <w:t xml:space="preserve"> </w:t>
      </w:r>
      <w:r w:rsidRPr="00821B42">
        <w:rPr>
          <w:sz w:val="23"/>
          <w:szCs w:val="23"/>
        </w:rPr>
        <w:t xml:space="preserve"> </w:t>
      </w:r>
    </w:p>
    <w:p w:rsidR="00245B9E" w:rsidRDefault="00245B9E" w:rsidP="00245B9E">
      <w:pPr>
        <w:pStyle w:val="Default"/>
        <w:numPr>
          <w:ilvl w:val="0"/>
          <w:numId w:val="1"/>
        </w:numPr>
        <w:spacing w:after="44"/>
        <w:rPr>
          <w:sz w:val="23"/>
          <w:szCs w:val="23"/>
        </w:rPr>
      </w:pPr>
      <w:r>
        <w:rPr>
          <w:sz w:val="23"/>
          <w:szCs w:val="23"/>
        </w:rPr>
        <w:t>NIH Guidelines for research involving recombinant or synthetic nucleic acid molecules (</w:t>
      </w:r>
      <w:hyperlink r:id="rId12" w:history="1">
        <w:r w:rsidRPr="003149DD">
          <w:rPr>
            <w:rStyle w:val="Hyperlink"/>
            <w:sz w:val="23"/>
            <w:szCs w:val="23"/>
          </w:rPr>
          <w:t>http://osp.od.nih.gov/sites/default/files/NIH_Guidelines.html</w:t>
        </w:r>
      </w:hyperlink>
      <w:r>
        <w:rPr>
          <w:sz w:val="23"/>
          <w:szCs w:val="23"/>
        </w:rPr>
        <w:t xml:space="preserve"> ) </w:t>
      </w:r>
    </w:p>
    <w:p w:rsidR="00245B9E" w:rsidRDefault="00245B9E" w:rsidP="00245B9E">
      <w:pPr>
        <w:pStyle w:val="Default"/>
        <w:numPr>
          <w:ilvl w:val="0"/>
          <w:numId w:val="1"/>
        </w:numPr>
        <w:spacing w:after="44"/>
        <w:rPr>
          <w:sz w:val="23"/>
          <w:szCs w:val="23"/>
        </w:rPr>
      </w:pPr>
      <w:r>
        <w:rPr>
          <w:sz w:val="23"/>
          <w:szCs w:val="23"/>
        </w:rPr>
        <w:t>A practical guide to containment – Plant biosafety in research greenhouses (USA) (</w:t>
      </w:r>
      <w:hyperlink r:id="rId13" w:history="1">
        <w:r w:rsidRPr="003149DD">
          <w:rPr>
            <w:rStyle w:val="Hyperlink"/>
            <w:sz w:val="23"/>
            <w:szCs w:val="23"/>
          </w:rPr>
          <w:t>http://www.isb.vt.edu/Containment-guide.aspx</w:t>
        </w:r>
      </w:hyperlink>
      <w:r>
        <w:rPr>
          <w:sz w:val="23"/>
          <w:szCs w:val="23"/>
        </w:rPr>
        <w:t xml:space="preserve"> ) </w:t>
      </w:r>
    </w:p>
    <w:p w:rsidR="00245B9E" w:rsidRDefault="00245B9E" w:rsidP="00245B9E">
      <w:pPr>
        <w:pStyle w:val="Default"/>
        <w:numPr>
          <w:ilvl w:val="0"/>
          <w:numId w:val="1"/>
        </w:numPr>
        <w:spacing w:after="44"/>
        <w:rPr>
          <w:sz w:val="23"/>
          <w:szCs w:val="23"/>
        </w:rPr>
      </w:pPr>
      <w:r>
        <w:rPr>
          <w:sz w:val="23"/>
          <w:szCs w:val="23"/>
        </w:rPr>
        <w:t>Canadian Biosafety Standard for Facilities Handling or Storing Human and Terrestrial Animal Pathogens and Toxins (</w:t>
      </w:r>
      <w:hyperlink r:id="rId14" w:history="1">
        <w:r w:rsidRPr="003149DD">
          <w:rPr>
            <w:rStyle w:val="Hyperlink"/>
            <w:sz w:val="23"/>
            <w:szCs w:val="23"/>
          </w:rPr>
          <w:t>http://canadianbiosafetystandards.collaboration.gc.ca/cbs-ncb/assets/pdf/cbsg-nldcb-eng.pdf</w:t>
        </w:r>
      </w:hyperlink>
      <w:r>
        <w:rPr>
          <w:sz w:val="23"/>
          <w:szCs w:val="23"/>
        </w:rPr>
        <w:t xml:space="preserve"> ) </w:t>
      </w:r>
    </w:p>
    <w:p w:rsidR="00245B9E" w:rsidRDefault="00245B9E" w:rsidP="00245B9E">
      <w:pPr>
        <w:pStyle w:val="Default"/>
        <w:numPr>
          <w:ilvl w:val="0"/>
          <w:numId w:val="1"/>
        </w:numPr>
        <w:spacing w:after="44"/>
        <w:rPr>
          <w:sz w:val="23"/>
          <w:szCs w:val="23"/>
        </w:rPr>
      </w:pPr>
      <w:r w:rsidRPr="00495431">
        <w:rPr>
          <w:sz w:val="23"/>
          <w:szCs w:val="23"/>
        </w:rPr>
        <w:t>Containment Standards for Facilities Handling Plant Pathogens. Canadian Food Inspection Agency Canada (</w:t>
      </w:r>
      <w:hyperlink r:id="rId15" w:history="1">
        <w:r w:rsidRPr="003149DD">
          <w:rPr>
            <w:rStyle w:val="Hyperlink"/>
            <w:sz w:val="23"/>
            <w:szCs w:val="23"/>
          </w:rPr>
          <w:t>http://www.inspection.gc.ca/plants/plant-pests-invasive-species/biocontainment/containment-standards/eng/1412353866032/1412354048442?chap=0</w:t>
        </w:r>
      </w:hyperlink>
      <w:r>
        <w:rPr>
          <w:sz w:val="23"/>
          <w:szCs w:val="23"/>
        </w:rPr>
        <w:t xml:space="preserve"> </w:t>
      </w:r>
      <w:r w:rsidRPr="00495431">
        <w:rPr>
          <w:sz w:val="23"/>
          <w:szCs w:val="23"/>
        </w:rPr>
        <w:t xml:space="preserve"> </w:t>
      </w:r>
    </w:p>
    <w:p w:rsidR="00245B9E" w:rsidRDefault="00245B9E" w:rsidP="00245B9E">
      <w:pPr>
        <w:pStyle w:val="Default"/>
        <w:numPr>
          <w:ilvl w:val="0"/>
          <w:numId w:val="1"/>
        </w:numPr>
        <w:spacing w:after="44"/>
        <w:rPr>
          <w:sz w:val="23"/>
          <w:szCs w:val="23"/>
        </w:rPr>
      </w:pPr>
      <w:r w:rsidRPr="00495431">
        <w:rPr>
          <w:sz w:val="23"/>
          <w:szCs w:val="23"/>
        </w:rPr>
        <w:t xml:space="preserve">OIE Standard for Managing </w:t>
      </w:r>
      <w:proofErr w:type="spellStart"/>
      <w:r w:rsidRPr="00495431">
        <w:rPr>
          <w:sz w:val="23"/>
          <w:szCs w:val="23"/>
        </w:rPr>
        <w:t>Biorisk</w:t>
      </w:r>
      <w:proofErr w:type="spellEnd"/>
      <w:r w:rsidRPr="00495431">
        <w:rPr>
          <w:sz w:val="23"/>
          <w:szCs w:val="23"/>
        </w:rPr>
        <w:t xml:space="preserve"> in the Veterinary Laboratory and Animal Facility (</w:t>
      </w:r>
      <w:hyperlink r:id="rId16" w:history="1">
        <w:r w:rsidRPr="003149DD">
          <w:rPr>
            <w:rStyle w:val="Hyperlink"/>
            <w:sz w:val="23"/>
            <w:szCs w:val="23"/>
          </w:rPr>
          <w:t>http://www.oie.int/fileadmin/Home/fr/Health_standards/tahm/3.5_BIOL_AGENT_SPECIF_RA.pdf</w:t>
        </w:r>
      </w:hyperlink>
      <w:r>
        <w:rPr>
          <w:sz w:val="23"/>
          <w:szCs w:val="23"/>
        </w:rPr>
        <w:t xml:space="preserve"> </w:t>
      </w:r>
      <w:r w:rsidRPr="00495431">
        <w:rPr>
          <w:sz w:val="23"/>
          <w:szCs w:val="23"/>
        </w:rPr>
        <w:t xml:space="preserve">) </w:t>
      </w:r>
    </w:p>
    <w:p w:rsidR="00245B9E" w:rsidRDefault="00245B9E" w:rsidP="00245B9E">
      <w:pPr>
        <w:pStyle w:val="Default"/>
        <w:numPr>
          <w:ilvl w:val="0"/>
          <w:numId w:val="1"/>
        </w:numPr>
        <w:spacing w:after="44"/>
        <w:rPr>
          <w:sz w:val="23"/>
          <w:szCs w:val="23"/>
        </w:rPr>
      </w:pPr>
      <w:r w:rsidRPr="00495431">
        <w:rPr>
          <w:sz w:val="23"/>
          <w:szCs w:val="23"/>
        </w:rPr>
        <w:t>Office of Gene Technology Regulator (OGTR) – list of guidelines (Australia) (</w:t>
      </w:r>
      <w:hyperlink r:id="rId17" w:history="1">
        <w:r w:rsidRPr="003149DD">
          <w:rPr>
            <w:rStyle w:val="Hyperlink"/>
            <w:sz w:val="23"/>
            <w:szCs w:val="23"/>
          </w:rPr>
          <w:t>http://www.ogtr.gov.au/internet/ogtr/publishing.nsf/content/guidelines-1</w:t>
        </w:r>
      </w:hyperlink>
      <w:r>
        <w:rPr>
          <w:sz w:val="23"/>
          <w:szCs w:val="23"/>
        </w:rPr>
        <w:t xml:space="preserve"> </w:t>
      </w:r>
      <w:r w:rsidRPr="00495431">
        <w:rPr>
          <w:sz w:val="23"/>
          <w:szCs w:val="23"/>
        </w:rPr>
        <w:t xml:space="preserve">) </w:t>
      </w:r>
    </w:p>
    <w:p w:rsidR="00245B9E" w:rsidRPr="0014369F" w:rsidRDefault="00245B9E" w:rsidP="00245B9E">
      <w:pPr>
        <w:pStyle w:val="Default"/>
        <w:numPr>
          <w:ilvl w:val="0"/>
          <w:numId w:val="1"/>
        </w:numPr>
        <w:spacing w:after="44"/>
        <w:rPr>
          <w:sz w:val="23"/>
          <w:szCs w:val="23"/>
          <w:lang w:val="fr-BE"/>
        </w:rPr>
      </w:pPr>
      <w:r w:rsidRPr="0014369F">
        <w:rPr>
          <w:sz w:val="23"/>
          <w:szCs w:val="23"/>
          <w:lang w:val="fr-BE"/>
        </w:rPr>
        <w:t>Manuel du HCB sur l’utilisation confinée d’organismes génétiquement modifiés (France) (</w:t>
      </w:r>
      <w:hyperlink r:id="rId18" w:history="1">
        <w:r w:rsidRPr="0014369F">
          <w:rPr>
            <w:rStyle w:val="Hyperlink"/>
            <w:sz w:val="23"/>
            <w:szCs w:val="23"/>
            <w:lang w:val="fr-BE"/>
          </w:rPr>
          <w:t>http://www.hautconseildesbiotechnologies.fr/fr/system/files/file_fields/2015/06/30/manuelduconfine.pdf</w:t>
        </w:r>
      </w:hyperlink>
      <w:r w:rsidRPr="0014369F">
        <w:rPr>
          <w:sz w:val="23"/>
          <w:szCs w:val="23"/>
          <w:lang w:val="fr-BE"/>
        </w:rPr>
        <w:t xml:space="preserve"> ) </w:t>
      </w:r>
    </w:p>
    <w:p w:rsidR="00245B9E" w:rsidRDefault="00245B9E" w:rsidP="00245B9E">
      <w:pPr>
        <w:pStyle w:val="Default"/>
        <w:numPr>
          <w:ilvl w:val="0"/>
          <w:numId w:val="1"/>
        </w:numPr>
        <w:spacing w:after="44"/>
        <w:rPr>
          <w:sz w:val="23"/>
          <w:szCs w:val="23"/>
        </w:rPr>
      </w:pPr>
      <w:r w:rsidRPr="00495431">
        <w:rPr>
          <w:sz w:val="23"/>
          <w:szCs w:val="23"/>
        </w:rPr>
        <w:t>Directive 2009/41/EC on the contained use of genetically modified microorganisms (EU) (</w:t>
      </w:r>
      <w:hyperlink r:id="rId19" w:history="1">
        <w:r w:rsidRPr="003149DD">
          <w:rPr>
            <w:rStyle w:val="Hyperlink"/>
            <w:sz w:val="23"/>
            <w:szCs w:val="23"/>
          </w:rPr>
          <w:t>http://eur-lex.europa.eu/legal-content/EN/TXT/HTML/?uri=URISERV:sa0015&amp;from=EN</w:t>
        </w:r>
      </w:hyperlink>
      <w:r>
        <w:rPr>
          <w:sz w:val="23"/>
          <w:szCs w:val="23"/>
        </w:rPr>
        <w:t xml:space="preserve"> </w:t>
      </w:r>
      <w:r w:rsidRPr="00495431">
        <w:rPr>
          <w:sz w:val="23"/>
          <w:szCs w:val="23"/>
        </w:rPr>
        <w:t xml:space="preserve">) </w:t>
      </w:r>
    </w:p>
    <w:p w:rsidR="00245B9E" w:rsidRPr="00C910CC" w:rsidRDefault="00245B9E" w:rsidP="00245B9E">
      <w:pPr>
        <w:pStyle w:val="Default"/>
        <w:pageBreakBefore/>
        <w:numPr>
          <w:ilvl w:val="0"/>
          <w:numId w:val="1"/>
        </w:numPr>
        <w:spacing w:after="44"/>
        <w:rPr>
          <w:rFonts w:cstheme="minorBidi"/>
          <w:color w:val="auto"/>
        </w:rPr>
      </w:pPr>
      <w:r w:rsidRPr="00C910CC">
        <w:rPr>
          <w:sz w:val="23"/>
          <w:szCs w:val="23"/>
        </w:rPr>
        <w:lastRenderedPageBreak/>
        <w:t>Laboratory Biosafety Guidebook (Pakistan) (</w:t>
      </w:r>
      <w:hyperlink r:id="rId20" w:history="1">
        <w:r w:rsidRPr="00C910CC">
          <w:rPr>
            <w:rStyle w:val="Hyperlink"/>
            <w:sz w:val="23"/>
            <w:szCs w:val="23"/>
          </w:rPr>
          <w:t>http://www.internationalbiosafety.org/images/IFBA_docs/Pakistan%20Biosafety%20Guidebook.pdf</w:t>
        </w:r>
      </w:hyperlink>
      <w:r w:rsidRPr="00C910CC">
        <w:rPr>
          <w:sz w:val="23"/>
          <w:szCs w:val="23"/>
        </w:rPr>
        <w:t xml:space="preserve">  </w:t>
      </w:r>
    </w:p>
    <w:p w:rsidR="00245B9E" w:rsidRDefault="00245B9E" w:rsidP="00245B9E">
      <w:pPr>
        <w:pStyle w:val="Default"/>
        <w:numPr>
          <w:ilvl w:val="0"/>
          <w:numId w:val="1"/>
        </w:numPr>
        <w:spacing w:after="44"/>
        <w:rPr>
          <w:color w:val="auto"/>
          <w:sz w:val="23"/>
          <w:szCs w:val="23"/>
        </w:rPr>
      </w:pPr>
      <w:r>
        <w:rPr>
          <w:rFonts w:cstheme="minorBidi"/>
          <w:color w:val="auto"/>
          <w:sz w:val="23"/>
          <w:szCs w:val="23"/>
        </w:rPr>
        <w:t>Laboratory Biosafety and Biosecurity Policy Guidelines (Kenya) (</w:t>
      </w:r>
      <w:hyperlink r:id="rId21" w:history="1">
        <w:r w:rsidRPr="00146C3D">
          <w:rPr>
            <w:rStyle w:val="Hyperlink"/>
            <w:sz w:val="23"/>
            <w:szCs w:val="23"/>
          </w:rPr>
          <w:t>http://www.internationalbiosafety.org/images/IFBA_docs/Kenya%20Biosafety%20Guidelines.pdf</w:t>
        </w:r>
      </w:hyperlink>
    </w:p>
    <w:p w:rsidR="00245B9E" w:rsidRPr="00245B9E" w:rsidRDefault="00245B9E" w:rsidP="00245B9E">
      <w:pPr>
        <w:pStyle w:val="Default"/>
        <w:numPr>
          <w:ilvl w:val="0"/>
          <w:numId w:val="1"/>
        </w:numPr>
        <w:spacing w:after="44"/>
        <w:rPr>
          <w:color w:val="auto"/>
          <w:sz w:val="23"/>
          <w:szCs w:val="23"/>
        </w:rPr>
      </w:pPr>
      <w:r>
        <w:rPr>
          <w:color w:val="auto"/>
          <w:sz w:val="23"/>
          <w:szCs w:val="23"/>
        </w:rPr>
        <w:t xml:space="preserve">Laboratory </w:t>
      </w:r>
      <w:proofErr w:type="spellStart"/>
      <w:r>
        <w:rPr>
          <w:color w:val="auto"/>
          <w:sz w:val="23"/>
          <w:szCs w:val="23"/>
        </w:rPr>
        <w:t>biorisk</w:t>
      </w:r>
      <w:proofErr w:type="spellEnd"/>
      <w:r>
        <w:rPr>
          <w:color w:val="auto"/>
          <w:sz w:val="23"/>
          <w:szCs w:val="23"/>
        </w:rPr>
        <w:t xml:space="preserve"> management. </w:t>
      </w:r>
      <w:r w:rsidRPr="00245B9E">
        <w:rPr>
          <w:color w:val="auto"/>
          <w:sz w:val="23"/>
          <w:szCs w:val="23"/>
        </w:rPr>
        <w:t>CWA 15793:2011 (International) (</w:t>
      </w:r>
      <w:hyperlink r:id="rId22" w:history="1">
        <w:r w:rsidRPr="00245B9E">
          <w:rPr>
            <w:rStyle w:val="Hyperlink"/>
            <w:sz w:val="23"/>
            <w:szCs w:val="23"/>
          </w:rPr>
          <w:t>http://www.uab.cat/doc/CWA15793_2011</w:t>
        </w:r>
      </w:hyperlink>
      <w:r w:rsidRPr="00245B9E">
        <w:rPr>
          <w:color w:val="auto"/>
          <w:sz w:val="23"/>
          <w:szCs w:val="23"/>
        </w:rPr>
        <w:t xml:space="preserve"> ) </w:t>
      </w:r>
    </w:p>
    <w:p w:rsidR="00245B9E" w:rsidRDefault="00245B9E" w:rsidP="00245B9E">
      <w:pPr>
        <w:pStyle w:val="Default"/>
        <w:numPr>
          <w:ilvl w:val="0"/>
          <w:numId w:val="1"/>
        </w:numPr>
        <w:spacing w:after="44"/>
        <w:rPr>
          <w:color w:val="auto"/>
          <w:sz w:val="23"/>
          <w:szCs w:val="23"/>
        </w:rPr>
      </w:pPr>
      <w:r>
        <w:rPr>
          <w:color w:val="auto"/>
          <w:sz w:val="23"/>
          <w:szCs w:val="23"/>
        </w:rPr>
        <w:t xml:space="preserve">Laboratory </w:t>
      </w:r>
      <w:proofErr w:type="spellStart"/>
      <w:r>
        <w:rPr>
          <w:color w:val="auto"/>
          <w:sz w:val="23"/>
          <w:szCs w:val="23"/>
        </w:rPr>
        <w:t>biorisk</w:t>
      </w:r>
      <w:proofErr w:type="spellEnd"/>
      <w:r>
        <w:rPr>
          <w:color w:val="auto"/>
          <w:sz w:val="23"/>
          <w:szCs w:val="23"/>
        </w:rPr>
        <w:t xml:space="preserve"> management – Guidelines for the implementation of CWA 15793:2008. (International (</w:t>
      </w:r>
      <w:hyperlink r:id="rId23" w:history="1">
        <w:r w:rsidRPr="00146C3D">
          <w:rPr>
            <w:rStyle w:val="Hyperlink"/>
            <w:sz w:val="23"/>
            <w:szCs w:val="23"/>
          </w:rPr>
          <w:t>ftp://ftp.cen.eu/CEN/Sectors/List/ICT/Workshops/CWA%2016393.pdf</w:t>
        </w:r>
      </w:hyperlink>
      <w:r>
        <w:rPr>
          <w:color w:val="auto"/>
          <w:sz w:val="23"/>
          <w:szCs w:val="23"/>
        </w:rPr>
        <w:t xml:space="preserve">  </w:t>
      </w:r>
    </w:p>
    <w:p w:rsidR="00245B9E" w:rsidRDefault="00245B9E" w:rsidP="00245B9E">
      <w:pPr>
        <w:pStyle w:val="Default"/>
        <w:numPr>
          <w:ilvl w:val="0"/>
          <w:numId w:val="1"/>
        </w:numPr>
        <w:rPr>
          <w:color w:val="auto"/>
          <w:sz w:val="23"/>
          <w:szCs w:val="23"/>
        </w:rPr>
      </w:pPr>
      <w:r>
        <w:rPr>
          <w:color w:val="auto"/>
          <w:sz w:val="23"/>
          <w:szCs w:val="23"/>
        </w:rPr>
        <w:t>Biosafety professionals as stakeholders in the BTWC: Biosafety, biosecurity and the BTWC (</w:t>
      </w:r>
      <w:hyperlink r:id="rId24" w:history="1">
        <w:r w:rsidRPr="00146C3D">
          <w:rPr>
            <w:rStyle w:val="Hyperlink"/>
            <w:sz w:val="23"/>
            <w:szCs w:val="23"/>
          </w:rPr>
          <w:t>http://www.internationalbiosafety.org/images/IFBA_docs/Biosafety%20&amp;%20BTWC.pdf</w:t>
        </w:r>
      </w:hyperlink>
    </w:p>
    <w:p w:rsidR="00EE4DEB" w:rsidRPr="00245B9E" w:rsidRDefault="00EE4DEB">
      <w:pPr>
        <w:rPr>
          <w:lang w:val="en-GB"/>
        </w:rPr>
      </w:pPr>
    </w:p>
    <w:sectPr w:rsidR="00EE4DEB" w:rsidRPr="00245B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B9E" w:rsidRDefault="00245B9E" w:rsidP="00F07B11">
      <w:pPr>
        <w:spacing w:after="0" w:line="240" w:lineRule="auto"/>
      </w:pPr>
      <w:r>
        <w:separator/>
      </w:r>
    </w:p>
  </w:endnote>
  <w:endnote w:type="continuationSeparator" w:id="0">
    <w:p w:rsidR="00245B9E" w:rsidRDefault="00245B9E" w:rsidP="00F0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B9E" w:rsidRDefault="00245B9E" w:rsidP="00F07B11">
      <w:pPr>
        <w:spacing w:after="0" w:line="240" w:lineRule="auto"/>
      </w:pPr>
      <w:r>
        <w:separator/>
      </w:r>
    </w:p>
  </w:footnote>
  <w:footnote w:type="continuationSeparator" w:id="0">
    <w:p w:rsidR="00245B9E" w:rsidRDefault="00245B9E" w:rsidP="00F07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42F20"/>
    <w:multiLevelType w:val="hybridMultilevel"/>
    <w:tmpl w:val="4982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9E"/>
    <w:rsid w:val="00245B9E"/>
    <w:rsid w:val="00EE4DEB"/>
    <w:rsid w:val="00F07B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D55E2"/>
  <w15:chartTrackingRefBased/>
  <w15:docId w15:val="{C5BDAEBC-EB68-46CC-97D5-2616D01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B9E"/>
    <w:rPr>
      <w:color w:val="0563C1" w:themeColor="hyperlink"/>
      <w:u w:val="single"/>
    </w:rPr>
  </w:style>
  <w:style w:type="paragraph" w:customStyle="1" w:styleId="Default">
    <w:name w:val="Default"/>
    <w:rsid w:val="00245B9E"/>
    <w:pPr>
      <w:autoSpaceDE w:val="0"/>
      <w:autoSpaceDN w:val="0"/>
      <w:adjustRightInd w:val="0"/>
      <w:spacing w:after="0" w:line="240" w:lineRule="auto"/>
    </w:pPr>
    <w:rPr>
      <w:rFonts w:ascii="Garamond" w:hAnsi="Garamond" w:cs="Garam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csr/resources/publications/biosafety/WHO_CDS_EPR_2006_6.pdf" TargetMode="External"/><Relationship Id="rId13" Type="http://schemas.openxmlformats.org/officeDocument/2006/relationships/hyperlink" Target="http://www.isb.vt.edu/Containment-guide.aspx" TargetMode="External"/><Relationship Id="rId18" Type="http://schemas.openxmlformats.org/officeDocument/2006/relationships/hyperlink" Target="http://www.hautconseildesbiotechnologies.fr/fr/system/files/file_fields/2015/06/30/manuelduconfin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nternationalbiosafety.org/images/IFBA_docs/Kenya%20Biosafety%20Guidelines.pdf" TargetMode="External"/><Relationship Id="rId7" Type="http://schemas.openxmlformats.org/officeDocument/2006/relationships/hyperlink" Target="http://www.who.int/csr/resources/publications/biosafety/WHO_CDS_CSR_LYO_2004_11/en/" TargetMode="External"/><Relationship Id="rId12" Type="http://schemas.openxmlformats.org/officeDocument/2006/relationships/hyperlink" Target="http://osp.od.nih.gov/sites/default/files/NIH_Guidelines.html" TargetMode="External"/><Relationship Id="rId17" Type="http://schemas.openxmlformats.org/officeDocument/2006/relationships/hyperlink" Target="http://www.ogtr.gov.au/internet/ogtr/publishing.nsf/content/guidelines-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ie.int/fileadmin/Home/fr/Health_standards/tahm/3.5_BIOL_AGENT_SPECIF_RA.pdf" TargetMode="External"/><Relationship Id="rId20" Type="http://schemas.openxmlformats.org/officeDocument/2006/relationships/hyperlink" Target="http://www.internationalbiosafety.org/images/IFBA_docs/Pakistan%20Biosafety%20Guideboo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biosafety/publications/bmbl5/" TargetMode="External"/><Relationship Id="rId24" Type="http://schemas.openxmlformats.org/officeDocument/2006/relationships/hyperlink" Target="http://www.internationalbiosafety.org/images/IFBA_docs/Biosafety%20&amp;%20BTWC.pdf" TargetMode="External"/><Relationship Id="rId5" Type="http://schemas.openxmlformats.org/officeDocument/2006/relationships/footnotes" Target="footnotes.xml"/><Relationship Id="rId15" Type="http://schemas.openxmlformats.org/officeDocument/2006/relationships/hyperlink" Target="http://www.inspection.gc.ca/plants/plant-pests-invasive-species/biocontainment/containment-standards/eng/1412353866032/1412354048442?chap=0" TargetMode="External"/><Relationship Id="rId23" Type="http://schemas.openxmlformats.org/officeDocument/2006/relationships/hyperlink" Target="ftp://ftp.cen.eu/CEN/Sectors/List/ICT/Workshops/CWA%2016393.pdf" TargetMode="External"/><Relationship Id="rId10" Type="http://schemas.openxmlformats.org/officeDocument/2006/relationships/hyperlink" Target="http://www.hse.gov.uk/pubns/priced/l29.pdf" TargetMode="External"/><Relationship Id="rId19" Type="http://schemas.openxmlformats.org/officeDocument/2006/relationships/hyperlink" Target="http://eur-lex.europa.eu/legal-content/EN/TXT/HTML/?uri=URISERV:sa0015&amp;from=EN" TargetMode="External"/><Relationship Id="rId4" Type="http://schemas.openxmlformats.org/officeDocument/2006/relationships/webSettings" Target="webSettings.xml"/><Relationship Id="rId9" Type="http://schemas.openxmlformats.org/officeDocument/2006/relationships/hyperlink" Target="http://www.hse.gov.uk/biosafety/biologagents.pdf" TargetMode="External"/><Relationship Id="rId14" Type="http://schemas.openxmlformats.org/officeDocument/2006/relationships/hyperlink" Target="http://canadianbiosafetystandards.collaboration.gc.ca/cbs-ncb/assets/pdf/cbsg-nldcb-eng.pdf" TargetMode="External"/><Relationship Id="rId22" Type="http://schemas.openxmlformats.org/officeDocument/2006/relationships/hyperlink" Target="http://www.uab.cat/doc/CWA15793_2011" TargetMode="External"/></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Atanassova</dc:creator>
  <cp:keywords/>
  <dc:description/>
  <cp:lastModifiedBy>Ana Atanassova</cp:lastModifiedBy>
  <cp:revision>1</cp:revision>
  <dcterms:created xsi:type="dcterms:W3CDTF">2019-07-22T10:39:00Z</dcterms:created>
  <dcterms:modified xsi:type="dcterms:W3CDTF">2019-07-22T10:39:00Z</dcterms:modified>
</cp:coreProperties>
</file>