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AE1" w:rsidRDefault="00CC168E" w:rsidP="00797EE9">
      <w:pPr>
        <w:jc w:val="both"/>
        <w:rPr>
          <w:rFonts w:ascii="Arial Narrow" w:hAnsi="Arial Narrow"/>
          <w:b/>
          <w:sz w:val="24"/>
          <w:szCs w:val="24"/>
        </w:rPr>
      </w:pPr>
      <w:bookmarkStart w:id="0" w:name="_GoBack"/>
      <w:bookmarkEnd w:id="0"/>
      <w:r>
        <w:rPr>
          <w:rFonts w:ascii="Arial Narrow" w:hAnsi="Arial Narrow"/>
          <w:b/>
          <w:sz w:val="24"/>
          <w:szCs w:val="24"/>
        </w:rPr>
        <w:t xml:space="preserve">SA </w:t>
      </w:r>
      <w:r w:rsidR="00780DFE">
        <w:rPr>
          <w:rFonts w:ascii="Arial Narrow" w:hAnsi="Arial Narrow"/>
          <w:b/>
          <w:sz w:val="24"/>
          <w:szCs w:val="24"/>
        </w:rPr>
        <w:t>comments on d</w:t>
      </w:r>
      <w:r w:rsidRPr="00CC168E">
        <w:rPr>
          <w:rFonts w:ascii="Arial Narrow" w:hAnsi="Arial Narrow"/>
          <w:b/>
          <w:sz w:val="24"/>
          <w:szCs w:val="24"/>
        </w:rPr>
        <w:t>raft study applying annex I of decision CP-9/13 to living modified organisms containing engineered gene drives</w:t>
      </w:r>
    </w:p>
    <w:p w:rsidR="001128A4" w:rsidRPr="00F72944" w:rsidRDefault="001128A4" w:rsidP="00797EE9">
      <w:pPr>
        <w:jc w:val="both"/>
        <w:rPr>
          <w:rFonts w:ascii="Arial Narrow" w:hAnsi="Arial Narrow"/>
          <w:b/>
          <w:sz w:val="24"/>
          <w:szCs w:val="24"/>
        </w:rPr>
      </w:pPr>
    </w:p>
    <w:tbl>
      <w:tblPr>
        <w:tblStyle w:val="TableGrid"/>
        <w:tblW w:w="9872" w:type="dxa"/>
        <w:tblInd w:w="-856" w:type="dxa"/>
        <w:tblLook w:val="04A0" w:firstRow="1" w:lastRow="0" w:firstColumn="1" w:lastColumn="0" w:noHBand="0" w:noVBand="1"/>
      </w:tblPr>
      <w:tblGrid>
        <w:gridCol w:w="960"/>
        <w:gridCol w:w="884"/>
        <w:gridCol w:w="1998"/>
        <w:gridCol w:w="6030"/>
      </w:tblGrid>
      <w:tr w:rsidR="00ED6018" w:rsidTr="00165916">
        <w:tc>
          <w:tcPr>
            <w:tcW w:w="960" w:type="dxa"/>
          </w:tcPr>
          <w:p w:rsidR="00ED6018" w:rsidRPr="00131C34" w:rsidRDefault="00ED6018" w:rsidP="002B3AE1">
            <w:pPr>
              <w:jc w:val="both"/>
              <w:rPr>
                <w:rFonts w:ascii="Arial Narrow" w:hAnsi="Arial Narrow"/>
                <w:b/>
                <w:sz w:val="24"/>
                <w:szCs w:val="24"/>
              </w:rPr>
            </w:pPr>
            <w:r>
              <w:rPr>
                <w:rFonts w:ascii="Arial Narrow" w:hAnsi="Arial Narrow"/>
                <w:b/>
                <w:sz w:val="24"/>
                <w:szCs w:val="24"/>
              </w:rPr>
              <w:t>Page Number</w:t>
            </w:r>
          </w:p>
        </w:tc>
        <w:tc>
          <w:tcPr>
            <w:tcW w:w="884" w:type="dxa"/>
          </w:tcPr>
          <w:p w:rsidR="00ED6018" w:rsidRPr="00131C34" w:rsidRDefault="00165916" w:rsidP="002B3AE1">
            <w:pPr>
              <w:jc w:val="both"/>
              <w:rPr>
                <w:rFonts w:ascii="Arial Narrow" w:hAnsi="Arial Narrow"/>
                <w:b/>
                <w:sz w:val="24"/>
                <w:szCs w:val="24"/>
              </w:rPr>
            </w:pPr>
            <w:r w:rsidRPr="00165916">
              <w:rPr>
                <w:rFonts w:ascii="Arial Narrow" w:hAnsi="Arial Narrow"/>
                <w:b/>
                <w:sz w:val="24"/>
                <w:szCs w:val="24"/>
              </w:rPr>
              <w:t>Line in text</w:t>
            </w:r>
          </w:p>
        </w:tc>
        <w:tc>
          <w:tcPr>
            <w:tcW w:w="1998" w:type="dxa"/>
          </w:tcPr>
          <w:p w:rsidR="00ED6018" w:rsidRPr="00131C34" w:rsidRDefault="00ED6018" w:rsidP="002B3AE1">
            <w:pPr>
              <w:jc w:val="both"/>
              <w:rPr>
                <w:rFonts w:ascii="Arial Narrow" w:hAnsi="Arial Narrow"/>
                <w:b/>
                <w:sz w:val="24"/>
                <w:szCs w:val="24"/>
              </w:rPr>
            </w:pPr>
            <w:r w:rsidRPr="00131C34">
              <w:rPr>
                <w:rFonts w:ascii="Arial Narrow" w:hAnsi="Arial Narrow"/>
                <w:b/>
                <w:sz w:val="24"/>
                <w:szCs w:val="24"/>
              </w:rPr>
              <w:t>Section</w:t>
            </w:r>
          </w:p>
        </w:tc>
        <w:tc>
          <w:tcPr>
            <w:tcW w:w="6030" w:type="dxa"/>
          </w:tcPr>
          <w:p w:rsidR="00ED6018" w:rsidRPr="00131C34" w:rsidRDefault="00ED6018" w:rsidP="00196D7C">
            <w:pPr>
              <w:jc w:val="both"/>
              <w:rPr>
                <w:rFonts w:ascii="Arial Narrow" w:hAnsi="Arial Narrow"/>
                <w:b/>
                <w:sz w:val="24"/>
                <w:szCs w:val="24"/>
              </w:rPr>
            </w:pPr>
            <w:r w:rsidRPr="00131C34">
              <w:rPr>
                <w:rFonts w:ascii="Arial Narrow" w:hAnsi="Arial Narrow"/>
                <w:b/>
                <w:sz w:val="24"/>
                <w:szCs w:val="24"/>
              </w:rPr>
              <w:t>Comments and Rationale</w:t>
            </w:r>
          </w:p>
        </w:tc>
      </w:tr>
      <w:tr w:rsidR="00165916" w:rsidTr="00D54103">
        <w:tc>
          <w:tcPr>
            <w:tcW w:w="960" w:type="dxa"/>
          </w:tcPr>
          <w:p w:rsidR="00165916" w:rsidRDefault="00165916" w:rsidP="00196D7C">
            <w:pPr>
              <w:jc w:val="both"/>
              <w:rPr>
                <w:rFonts w:ascii="Arial Narrow" w:hAnsi="Arial Narrow"/>
                <w:b/>
                <w:sz w:val="24"/>
                <w:szCs w:val="24"/>
              </w:rPr>
            </w:pPr>
            <w:r>
              <w:rPr>
                <w:rFonts w:ascii="Arial Narrow" w:hAnsi="Arial Narrow"/>
                <w:b/>
                <w:sz w:val="24"/>
                <w:szCs w:val="24"/>
              </w:rPr>
              <w:t xml:space="preserve">18 </w:t>
            </w:r>
          </w:p>
        </w:tc>
        <w:tc>
          <w:tcPr>
            <w:tcW w:w="884" w:type="dxa"/>
          </w:tcPr>
          <w:p w:rsidR="00165916" w:rsidRDefault="00165916" w:rsidP="00196D7C">
            <w:pPr>
              <w:jc w:val="both"/>
              <w:rPr>
                <w:rFonts w:ascii="Arial Narrow" w:hAnsi="Arial Narrow"/>
                <w:b/>
                <w:sz w:val="24"/>
                <w:szCs w:val="24"/>
              </w:rPr>
            </w:pPr>
            <w:r>
              <w:rPr>
                <w:rFonts w:ascii="Arial Narrow" w:hAnsi="Arial Narrow"/>
                <w:b/>
                <w:sz w:val="24"/>
                <w:szCs w:val="24"/>
              </w:rPr>
              <w:t>1</w:t>
            </w:r>
          </w:p>
        </w:tc>
        <w:tc>
          <w:tcPr>
            <w:tcW w:w="8028" w:type="dxa"/>
            <w:gridSpan w:val="2"/>
          </w:tcPr>
          <w:p w:rsidR="00165916" w:rsidRPr="00131C34" w:rsidRDefault="002917AD" w:rsidP="00196D7C">
            <w:pPr>
              <w:jc w:val="both"/>
              <w:rPr>
                <w:rFonts w:ascii="Arial Narrow" w:hAnsi="Arial Narrow"/>
                <w:b/>
                <w:sz w:val="24"/>
                <w:szCs w:val="24"/>
              </w:rPr>
            </w:pPr>
            <w:r>
              <w:rPr>
                <w:rFonts w:ascii="Arial Narrow" w:hAnsi="Arial Narrow"/>
                <w:b/>
                <w:sz w:val="24"/>
                <w:szCs w:val="24"/>
              </w:rPr>
              <w:t>BACKGROUND</w:t>
            </w:r>
          </w:p>
        </w:tc>
      </w:tr>
      <w:tr w:rsidR="00ED6018" w:rsidTr="00165916">
        <w:tc>
          <w:tcPr>
            <w:tcW w:w="960" w:type="dxa"/>
          </w:tcPr>
          <w:p w:rsidR="00ED6018" w:rsidRDefault="00165916" w:rsidP="002B3AE1">
            <w:pPr>
              <w:jc w:val="both"/>
              <w:rPr>
                <w:rFonts w:ascii="Arial Narrow" w:hAnsi="Arial Narrow"/>
                <w:sz w:val="24"/>
                <w:szCs w:val="24"/>
              </w:rPr>
            </w:pPr>
            <w:r>
              <w:rPr>
                <w:rFonts w:ascii="Arial Narrow" w:hAnsi="Arial Narrow"/>
                <w:sz w:val="24"/>
                <w:szCs w:val="24"/>
              </w:rPr>
              <w:t>19</w:t>
            </w:r>
          </w:p>
        </w:tc>
        <w:tc>
          <w:tcPr>
            <w:tcW w:w="884" w:type="dxa"/>
          </w:tcPr>
          <w:p w:rsidR="00ED6018" w:rsidRDefault="00165916" w:rsidP="002B3AE1">
            <w:pPr>
              <w:jc w:val="both"/>
              <w:rPr>
                <w:rFonts w:ascii="Arial Narrow" w:hAnsi="Arial Narrow"/>
                <w:sz w:val="24"/>
                <w:szCs w:val="24"/>
              </w:rPr>
            </w:pPr>
            <w:r>
              <w:rPr>
                <w:rFonts w:ascii="Arial Narrow" w:hAnsi="Arial Narrow"/>
                <w:sz w:val="24"/>
                <w:szCs w:val="24"/>
              </w:rPr>
              <w:t>25</w:t>
            </w:r>
          </w:p>
        </w:tc>
        <w:tc>
          <w:tcPr>
            <w:tcW w:w="1998" w:type="dxa"/>
          </w:tcPr>
          <w:p w:rsidR="00ED6018" w:rsidRDefault="00ED6018" w:rsidP="002B3AE1">
            <w:pPr>
              <w:jc w:val="both"/>
              <w:rPr>
                <w:rFonts w:ascii="Arial Narrow" w:hAnsi="Arial Narrow"/>
                <w:sz w:val="24"/>
                <w:szCs w:val="24"/>
              </w:rPr>
            </w:pPr>
            <w:r>
              <w:rPr>
                <w:rFonts w:ascii="Arial Narrow" w:hAnsi="Arial Narrow"/>
                <w:sz w:val="24"/>
                <w:szCs w:val="24"/>
              </w:rPr>
              <w:t>Status of application of LMO with engineered gene drives</w:t>
            </w:r>
          </w:p>
        </w:tc>
        <w:tc>
          <w:tcPr>
            <w:tcW w:w="6030" w:type="dxa"/>
          </w:tcPr>
          <w:p w:rsidR="00ED6018" w:rsidRPr="00131C34" w:rsidRDefault="00ED6018" w:rsidP="00616839">
            <w:pPr>
              <w:jc w:val="both"/>
              <w:rPr>
                <w:rFonts w:ascii="Arial Narrow" w:hAnsi="Arial Narrow"/>
                <w:b/>
                <w:sz w:val="24"/>
                <w:szCs w:val="24"/>
              </w:rPr>
            </w:pPr>
            <w:r w:rsidRPr="00131C34">
              <w:rPr>
                <w:rFonts w:ascii="Arial Narrow" w:hAnsi="Arial Narrow"/>
                <w:b/>
                <w:sz w:val="24"/>
                <w:szCs w:val="24"/>
              </w:rPr>
              <w:t>Comment:</w:t>
            </w:r>
          </w:p>
          <w:p w:rsidR="00ED6018" w:rsidRPr="00A043D5" w:rsidRDefault="00ED6018" w:rsidP="00A043D5">
            <w:pPr>
              <w:pStyle w:val="ListParagraph"/>
              <w:numPr>
                <w:ilvl w:val="0"/>
                <w:numId w:val="9"/>
              </w:numPr>
              <w:ind w:left="177" w:hanging="177"/>
              <w:jc w:val="both"/>
              <w:rPr>
                <w:rFonts w:ascii="Arial Narrow" w:hAnsi="Arial Narrow"/>
                <w:sz w:val="24"/>
                <w:szCs w:val="24"/>
              </w:rPr>
            </w:pPr>
            <w:r w:rsidRPr="00F72944">
              <w:rPr>
                <w:rFonts w:ascii="Arial Narrow" w:hAnsi="Arial Narrow"/>
                <w:sz w:val="24"/>
                <w:szCs w:val="24"/>
              </w:rPr>
              <w:t>This space should be monitored for further developments that may have implications for the Protocol</w:t>
            </w:r>
            <w:r>
              <w:rPr>
                <w:rFonts w:ascii="Arial Narrow" w:hAnsi="Arial Narrow"/>
                <w:sz w:val="24"/>
                <w:szCs w:val="24"/>
              </w:rPr>
              <w:t xml:space="preserve">. </w:t>
            </w:r>
            <w:r w:rsidRPr="00F72944">
              <w:rPr>
                <w:rFonts w:ascii="Arial Narrow" w:hAnsi="Arial Narrow"/>
                <w:sz w:val="24"/>
                <w:szCs w:val="24"/>
                <w:lang w:val="en-US"/>
              </w:rPr>
              <w:t>Risk Assessment pertaining to LMOs with gene drives should take a precautionary approach that takes into account the worst possible case scenario when assessing potential risks to the environment, humans and animals.</w:t>
            </w:r>
          </w:p>
          <w:p w:rsidR="00ED6018" w:rsidRPr="00A043D5" w:rsidRDefault="00ED6018" w:rsidP="00A043D5">
            <w:pPr>
              <w:pStyle w:val="ListParagraph"/>
              <w:ind w:left="177"/>
              <w:jc w:val="both"/>
              <w:rPr>
                <w:rFonts w:ascii="Arial Narrow" w:hAnsi="Arial Narrow"/>
                <w:sz w:val="24"/>
                <w:szCs w:val="24"/>
              </w:rPr>
            </w:pPr>
          </w:p>
          <w:p w:rsidR="00ED6018" w:rsidRPr="00A043D5" w:rsidRDefault="00ED6018" w:rsidP="00A043D5">
            <w:pPr>
              <w:pStyle w:val="ListParagraph"/>
              <w:numPr>
                <w:ilvl w:val="0"/>
                <w:numId w:val="9"/>
              </w:numPr>
              <w:ind w:left="177" w:hanging="177"/>
              <w:jc w:val="both"/>
              <w:rPr>
                <w:rFonts w:ascii="Arial Narrow" w:hAnsi="Arial Narrow"/>
                <w:sz w:val="24"/>
                <w:szCs w:val="24"/>
              </w:rPr>
            </w:pPr>
            <w:r w:rsidRPr="00A043D5">
              <w:rPr>
                <w:rFonts w:ascii="Arial Narrow" w:hAnsi="Arial Narrow"/>
                <w:sz w:val="24"/>
                <w:szCs w:val="24"/>
                <w:lang w:val="en-US"/>
              </w:rPr>
              <w:t>R</w:t>
            </w:r>
            <w:r>
              <w:rPr>
                <w:rFonts w:ascii="Arial Narrow" w:hAnsi="Arial Narrow"/>
                <w:sz w:val="24"/>
                <w:szCs w:val="24"/>
                <w:lang w:val="en-US"/>
              </w:rPr>
              <w:t xml:space="preserve">isk assessment </w:t>
            </w:r>
            <w:r w:rsidRPr="00A043D5">
              <w:rPr>
                <w:rFonts w:ascii="Arial Narrow" w:hAnsi="Arial Narrow"/>
                <w:sz w:val="24"/>
                <w:szCs w:val="24"/>
                <w:lang w:val="en-US"/>
              </w:rPr>
              <w:t xml:space="preserve">for research phase of LMOs with gene drives in contained use should be greatly anchored on prevention of adverse effects to the environment by enforcing measures to prevent the release of any LMOs with gene drives into the environment. </w:t>
            </w:r>
          </w:p>
          <w:p w:rsidR="00ED6018" w:rsidRPr="00A043D5" w:rsidRDefault="00ED6018" w:rsidP="00A043D5">
            <w:pPr>
              <w:pStyle w:val="ListParagraph"/>
              <w:rPr>
                <w:rFonts w:ascii="Arial Narrow" w:hAnsi="Arial Narrow"/>
                <w:sz w:val="24"/>
                <w:szCs w:val="24"/>
              </w:rPr>
            </w:pPr>
          </w:p>
          <w:p w:rsidR="00ED6018" w:rsidRPr="00A043D5" w:rsidRDefault="00ED6018" w:rsidP="00A043D5">
            <w:pPr>
              <w:pStyle w:val="ListParagraph"/>
              <w:numPr>
                <w:ilvl w:val="0"/>
                <w:numId w:val="9"/>
              </w:numPr>
              <w:ind w:left="177" w:hanging="177"/>
              <w:jc w:val="both"/>
              <w:rPr>
                <w:rFonts w:ascii="Arial Narrow" w:hAnsi="Arial Narrow"/>
                <w:sz w:val="24"/>
                <w:szCs w:val="24"/>
              </w:rPr>
            </w:pPr>
            <w:r>
              <w:rPr>
                <w:rFonts w:ascii="Arial Narrow" w:hAnsi="Arial Narrow"/>
                <w:sz w:val="24"/>
                <w:szCs w:val="24"/>
              </w:rPr>
              <w:t xml:space="preserve">In the </w:t>
            </w:r>
            <w:r w:rsidRPr="00A043D5">
              <w:rPr>
                <w:rFonts w:ascii="Arial Narrow" w:hAnsi="Arial Narrow"/>
                <w:sz w:val="24"/>
                <w:szCs w:val="24"/>
              </w:rPr>
              <w:t>step-wise</w:t>
            </w:r>
            <w:r>
              <w:rPr>
                <w:rFonts w:ascii="Arial Narrow" w:hAnsi="Arial Narrow"/>
                <w:sz w:val="24"/>
                <w:szCs w:val="24"/>
              </w:rPr>
              <w:t xml:space="preserve"> approach, </w:t>
            </w:r>
            <w:r w:rsidRPr="00A043D5">
              <w:rPr>
                <w:rFonts w:ascii="Arial Narrow" w:hAnsi="Arial Narrow"/>
                <w:sz w:val="24"/>
                <w:szCs w:val="24"/>
              </w:rPr>
              <w:t>more thought would need to go into the risk assessment for the field releases, the conditions under which this would be released if accepted and the risk management measures including monitoring.</w:t>
            </w:r>
          </w:p>
          <w:p w:rsidR="00ED6018" w:rsidRDefault="00ED6018" w:rsidP="00F72944">
            <w:pPr>
              <w:ind w:left="177" w:hanging="177"/>
              <w:jc w:val="both"/>
              <w:rPr>
                <w:rFonts w:ascii="Arial Narrow" w:hAnsi="Arial Narrow"/>
                <w:sz w:val="24"/>
                <w:szCs w:val="24"/>
              </w:rPr>
            </w:pPr>
          </w:p>
          <w:p w:rsidR="00ED6018" w:rsidRDefault="00ED6018" w:rsidP="00F72944">
            <w:pPr>
              <w:pStyle w:val="ListParagraph"/>
              <w:numPr>
                <w:ilvl w:val="0"/>
                <w:numId w:val="9"/>
              </w:numPr>
              <w:ind w:left="177" w:hanging="177"/>
              <w:jc w:val="both"/>
              <w:rPr>
                <w:rFonts w:ascii="Arial Narrow" w:hAnsi="Arial Narrow"/>
                <w:sz w:val="24"/>
                <w:szCs w:val="24"/>
              </w:rPr>
            </w:pPr>
            <w:r>
              <w:rPr>
                <w:rFonts w:ascii="Arial Narrow" w:hAnsi="Arial Narrow"/>
                <w:sz w:val="24"/>
                <w:szCs w:val="24"/>
              </w:rPr>
              <w:t xml:space="preserve">More research is needed in this area. </w:t>
            </w:r>
          </w:p>
          <w:p w:rsidR="00ED6018" w:rsidRPr="00726A27" w:rsidRDefault="00ED6018" w:rsidP="00726A27">
            <w:pPr>
              <w:pStyle w:val="ListParagraph"/>
              <w:rPr>
                <w:rFonts w:ascii="Arial Narrow" w:hAnsi="Arial Narrow"/>
                <w:sz w:val="24"/>
                <w:szCs w:val="24"/>
              </w:rPr>
            </w:pPr>
          </w:p>
          <w:p w:rsidR="00ED6018" w:rsidRPr="00726A27" w:rsidRDefault="00ED6018" w:rsidP="00726A27">
            <w:pPr>
              <w:pStyle w:val="ListParagraph"/>
              <w:numPr>
                <w:ilvl w:val="0"/>
                <w:numId w:val="9"/>
              </w:numPr>
              <w:ind w:left="177" w:hanging="177"/>
              <w:jc w:val="both"/>
              <w:rPr>
                <w:rFonts w:ascii="Arial Narrow" w:hAnsi="Arial Narrow"/>
                <w:sz w:val="24"/>
                <w:szCs w:val="24"/>
              </w:rPr>
            </w:pPr>
            <w:r w:rsidRPr="00F72944">
              <w:rPr>
                <w:rFonts w:ascii="Arial Narrow" w:hAnsi="Arial Narrow"/>
                <w:sz w:val="24"/>
                <w:szCs w:val="24"/>
              </w:rPr>
              <w:t xml:space="preserve">Experience from </w:t>
            </w:r>
            <w:r>
              <w:rPr>
                <w:rFonts w:ascii="Arial Narrow" w:hAnsi="Arial Narrow"/>
                <w:sz w:val="24"/>
                <w:szCs w:val="24"/>
              </w:rPr>
              <w:t>regulatory approvals and field</w:t>
            </w:r>
            <w:r w:rsidRPr="00F72944">
              <w:rPr>
                <w:rFonts w:ascii="Arial Narrow" w:hAnsi="Arial Narrow"/>
                <w:sz w:val="24"/>
                <w:szCs w:val="24"/>
              </w:rPr>
              <w:t xml:space="preserve"> release of </w:t>
            </w:r>
            <w:proofErr w:type="spellStart"/>
            <w:r w:rsidRPr="00F72944">
              <w:rPr>
                <w:rFonts w:ascii="Arial Narrow" w:hAnsi="Arial Narrow"/>
                <w:sz w:val="24"/>
                <w:szCs w:val="24"/>
              </w:rPr>
              <w:t>Wolbachia</w:t>
            </w:r>
            <w:proofErr w:type="spellEnd"/>
            <w:r w:rsidRPr="00F72944">
              <w:rPr>
                <w:rFonts w:ascii="Arial Narrow" w:hAnsi="Arial Narrow"/>
                <w:sz w:val="24"/>
                <w:szCs w:val="24"/>
              </w:rPr>
              <w:t>-infected</w:t>
            </w:r>
            <w:r>
              <w:rPr>
                <w:rFonts w:ascii="Arial Narrow" w:hAnsi="Arial Narrow"/>
                <w:sz w:val="24"/>
                <w:szCs w:val="24"/>
              </w:rPr>
              <w:t xml:space="preserve"> species would </w:t>
            </w:r>
            <w:r w:rsidRPr="00726A27">
              <w:rPr>
                <w:rFonts w:ascii="Arial Narrow" w:hAnsi="Arial Narrow"/>
                <w:sz w:val="24"/>
                <w:szCs w:val="24"/>
              </w:rPr>
              <w:t>be useful for LM</w:t>
            </w:r>
            <w:r>
              <w:rPr>
                <w:rFonts w:ascii="Arial Narrow" w:hAnsi="Arial Narrow"/>
                <w:sz w:val="24"/>
                <w:szCs w:val="24"/>
              </w:rPr>
              <w:t>Os with engineered gene drives.</w:t>
            </w:r>
          </w:p>
          <w:p w:rsidR="00ED6018" w:rsidRDefault="00ED6018" w:rsidP="00616839">
            <w:pPr>
              <w:jc w:val="both"/>
              <w:rPr>
                <w:rFonts w:ascii="Arial Narrow" w:hAnsi="Arial Narrow"/>
                <w:sz w:val="24"/>
                <w:szCs w:val="24"/>
              </w:rPr>
            </w:pPr>
          </w:p>
          <w:p w:rsidR="00ED6018" w:rsidRPr="00131C34" w:rsidRDefault="00ED6018" w:rsidP="00616839">
            <w:pPr>
              <w:jc w:val="both"/>
              <w:rPr>
                <w:rFonts w:ascii="Arial Narrow" w:hAnsi="Arial Narrow"/>
                <w:b/>
                <w:sz w:val="24"/>
                <w:szCs w:val="24"/>
              </w:rPr>
            </w:pPr>
            <w:r w:rsidRPr="00131C34">
              <w:rPr>
                <w:rFonts w:ascii="Arial Narrow" w:hAnsi="Arial Narrow"/>
                <w:b/>
                <w:sz w:val="24"/>
                <w:szCs w:val="24"/>
              </w:rPr>
              <w:t>Rationale</w:t>
            </w:r>
            <w:r>
              <w:rPr>
                <w:rFonts w:ascii="Arial Narrow" w:hAnsi="Arial Narrow"/>
                <w:b/>
                <w:sz w:val="24"/>
                <w:szCs w:val="24"/>
              </w:rPr>
              <w:t>:</w:t>
            </w:r>
          </w:p>
          <w:p w:rsidR="00ED6018" w:rsidRPr="00196D7C" w:rsidRDefault="00ED6018" w:rsidP="00616839">
            <w:pPr>
              <w:jc w:val="both"/>
              <w:rPr>
                <w:rFonts w:ascii="Arial Narrow" w:hAnsi="Arial Narrow"/>
                <w:sz w:val="24"/>
                <w:szCs w:val="24"/>
                <w:lang w:val="en-US"/>
              </w:rPr>
            </w:pPr>
            <w:r>
              <w:rPr>
                <w:rFonts w:ascii="Arial Narrow" w:hAnsi="Arial Narrow"/>
                <w:sz w:val="24"/>
                <w:szCs w:val="24"/>
              </w:rPr>
              <w:t>Engineered gene drives have a potential for exploitation in various sectors of the economy including supporting health program targeted at control</w:t>
            </w:r>
            <w:r w:rsidR="00A47150">
              <w:rPr>
                <w:rFonts w:ascii="Arial Narrow" w:hAnsi="Arial Narrow"/>
                <w:sz w:val="24"/>
                <w:szCs w:val="24"/>
              </w:rPr>
              <w:t>ling disease vectors of public health</w:t>
            </w:r>
            <w:r>
              <w:rPr>
                <w:rFonts w:ascii="Arial Narrow" w:hAnsi="Arial Narrow"/>
                <w:sz w:val="24"/>
                <w:szCs w:val="24"/>
              </w:rPr>
              <w:t xml:space="preserve"> importance, fight against invasive species and other emerging agricultural pests.</w:t>
            </w:r>
          </w:p>
          <w:p w:rsidR="00ED6018" w:rsidRDefault="00ED6018" w:rsidP="00616839">
            <w:pPr>
              <w:jc w:val="both"/>
              <w:rPr>
                <w:rFonts w:ascii="Arial Narrow" w:hAnsi="Arial Narrow"/>
                <w:sz w:val="24"/>
                <w:szCs w:val="24"/>
              </w:rPr>
            </w:pPr>
          </w:p>
          <w:p w:rsidR="00ED6018" w:rsidRDefault="00ED6018" w:rsidP="00A043D5">
            <w:pPr>
              <w:jc w:val="both"/>
              <w:rPr>
                <w:rFonts w:ascii="Arial Narrow" w:hAnsi="Arial Narrow"/>
                <w:sz w:val="24"/>
                <w:szCs w:val="24"/>
              </w:rPr>
            </w:pPr>
            <w:r>
              <w:rPr>
                <w:rFonts w:ascii="Arial Narrow" w:hAnsi="Arial Narrow"/>
                <w:sz w:val="24"/>
                <w:szCs w:val="24"/>
              </w:rPr>
              <w:t>South Africa is considering regulatory approval for pilot trials to assess</w:t>
            </w:r>
            <w:r w:rsidRPr="00E74029">
              <w:rPr>
                <w:rFonts w:ascii="Arial Narrow" w:hAnsi="Arial Narrow"/>
                <w:sz w:val="24"/>
                <w:szCs w:val="24"/>
              </w:rPr>
              <w:t xml:space="preserve"> the sterile insect technique for malaria mosqu</w:t>
            </w:r>
            <w:r>
              <w:rPr>
                <w:rFonts w:ascii="Arial Narrow" w:hAnsi="Arial Narrow"/>
                <w:sz w:val="24"/>
                <w:szCs w:val="24"/>
              </w:rPr>
              <w:t>itoes as part of</w:t>
            </w:r>
            <w:r>
              <w:t xml:space="preserve"> </w:t>
            </w:r>
            <w:r w:rsidRPr="00E74029">
              <w:rPr>
                <w:rFonts w:ascii="Arial Narrow" w:hAnsi="Arial Narrow"/>
                <w:sz w:val="24"/>
                <w:szCs w:val="24"/>
              </w:rPr>
              <w:t xml:space="preserve">South </w:t>
            </w:r>
            <w:r>
              <w:rPr>
                <w:rFonts w:ascii="Arial Narrow" w:hAnsi="Arial Narrow"/>
                <w:sz w:val="24"/>
                <w:szCs w:val="24"/>
              </w:rPr>
              <w:t xml:space="preserve">Africa </w:t>
            </w:r>
            <w:r w:rsidRPr="00E74029">
              <w:rPr>
                <w:rFonts w:ascii="Arial Narrow" w:hAnsi="Arial Narrow"/>
                <w:sz w:val="24"/>
                <w:szCs w:val="24"/>
              </w:rPr>
              <w:t>malaria control programme</w:t>
            </w:r>
            <w:r>
              <w:rPr>
                <w:rFonts w:ascii="Arial Narrow" w:hAnsi="Arial Narrow"/>
                <w:sz w:val="24"/>
                <w:szCs w:val="24"/>
              </w:rPr>
              <w:t xml:space="preserve">. The mosquitoes are not genetically modified and do not contain gene drives, however, as with the Zheng et al (2019) example, this anticipated approval process and the subsequent release if accepted will be good experience for the GMO regulatory system when considering applications for LMOs with engineered gene drives. </w:t>
            </w:r>
          </w:p>
        </w:tc>
      </w:tr>
      <w:tr w:rsidR="00D5013E" w:rsidTr="00F84AD7">
        <w:tc>
          <w:tcPr>
            <w:tcW w:w="960" w:type="dxa"/>
          </w:tcPr>
          <w:p w:rsidR="00D5013E" w:rsidRDefault="00D5013E" w:rsidP="002B3AE1">
            <w:pPr>
              <w:jc w:val="both"/>
              <w:rPr>
                <w:rFonts w:ascii="Arial Narrow" w:hAnsi="Arial Narrow"/>
                <w:b/>
                <w:sz w:val="24"/>
                <w:szCs w:val="24"/>
              </w:rPr>
            </w:pPr>
            <w:r>
              <w:rPr>
                <w:rFonts w:ascii="Arial Narrow" w:hAnsi="Arial Narrow"/>
                <w:b/>
                <w:sz w:val="24"/>
                <w:szCs w:val="24"/>
              </w:rPr>
              <w:t>24</w:t>
            </w:r>
          </w:p>
        </w:tc>
        <w:tc>
          <w:tcPr>
            <w:tcW w:w="884" w:type="dxa"/>
          </w:tcPr>
          <w:p w:rsidR="00D5013E" w:rsidRDefault="00D5013E" w:rsidP="002B3AE1">
            <w:pPr>
              <w:jc w:val="both"/>
              <w:rPr>
                <w:rFonts w:ascii="Arial Narrow" w:hAnsi="Arial Narrow"/>
                <w:b/>
                <w:sz w:val="24"/>
                <w:szCs w:val="24"/>
              </w:rPr>
            </w:pPr>
            <w:r>
              <w:rPr>
                <w:rFonts w:ascii="Arial Narrow" w:hAnsi="Arial Narrow"/>
                <w:b/>
                <w:sz w:val="24"/>
                <w:szCs w:val="24"/>
              </w:rPr>
              <w:t>1</w:t>
            </w:r>
          </w:p>
        </w:tc>
        <w:tc>
          <w:tcPr>
            <w:tcW w:w="8028" w:type="dxa"/>
            <w:gridSpan w:val="2"/>
          </w:tcPr>
          <w:p w:rsidR="00D5013E" w:rsidRDefault="00D5013E" w:rsidP="002B3AE1">
            <w:pPr>
              <w:jc w:val="both"/>
              <w:rPr>
                <w:rFonts w:ascii="Arial Narrow" w:hAnsi="Arial Narrow"/>
                <w:sz w:val="24"/>
                <w:szCs w:val="24"/>
              </w:rPr>
            </w:pPr>
            <w:r>
              <w:rPr>
                <w:rFonts w:ascii="Arial Narrow" w:hAnsi="Arial Narrow"/>
                <w:b/>
                <w:sz w:val="24"/>
                <w:szCs w:val="24"/>
              </w:rPr>
              <w:t xml:space="preserve">CONSIDERATIONS FOR </w:t>
            </w:r>
            <w:r w:rsidRPr="00131C34">
              <w:rPr>
                <w:rFonts w:ascii="Arial Narrow" w:hAnsi="Arial Narrow"/>
                <w:b/>
                <w:sz w:val="24"/>
                <w:szCs w:val="24"/>
              </w:rPr>
              <w:t>RISK ASSESSMENT</w:t>
            </w:r>
          </w:p>
        </w:tc>
      </w:tr>
      <w:tr w:rsidR="00D5013E" w:rsidTr="00F520C3">
        <w:tc>
          <w:tcPr>
            <w:tcW w:w="960" w:type="dxa"/>
          </w:tcPr>
          <w:p w:rsidR="00D5013E" w:rsidRPr="00573952" w:rsidRDefault="00D5013E" w:rsidP="002B3AE1">
            <w:pPr>
              <w:jc w:val="both"/>
              <w:rPr>
                <w:rFonts w:ascii="Arial Narrow" w:hAnsi="Arial Narrow"/>
                <w:b/>
                <w:sz w:val="24"/>
                <w:szCs w:val="24"/>
              </w:rPr>
            </w:pPr>
            <w:r>
              <w:rPr>
                <w:rFonts w:ascii="Arial Narrow" w:hAnsi="Arial Narrow"/>
                <w:b/>
                <w:sz w:val="24"/>
                <w:szCs w:val="24"/>
              </w:rPr>
              <w:t xml:space="preserve">24 </w:t>
            </w:r>
          </w:p>
        </w:tc>
        <w:tc>
          <w:tcPr>
            <w:tcW w:w="884" w:type="dxa"/>
          </w:tcPr>
          <w:p w:rsidR="00D5013E" w:rsidRPr="00573952" w:rsidRDefault="00D5013E" w:rsidP="002B3AE1">
            <w:pPr>
              <w:jc w:val="both"/>
              <w:rPr>
                <w:rFonts w:ascii="Arial Narrow" w:hAnsi="Arial Narrow"/>
                <w:b/>
                <w:sz w:val="24"/>
                <w:szCs w:val="24"/>
              </w:rPr>
            </w:pPr>
            <w:r>
              <w:rPr>
                <w:rFonts w:ascii="Arial Narrow" w:hAnsi="Arial Narrow"/>
                <w:b/>
                <w:sz w:val="24"/>
                <w:szCs w:val="24"/>
              </w:rPr>
              <w:t>9</w:t>
            </w:r>
          </w:p>
        </w:tc>
        <w:tc>
          <w:tcPr>
            <w:tcW w:w="8028" w:type="dxa"/>
            <w:gridSpan w:val="2"/>
          </w:tcPr>
          <w:p w:rsidR="00D5013E" w:rsidRPr="00573952" w:rsidRDefault="00D5013E" w:rsidP="002B3AE1">
            <w:pPr>
              <w:jc w:val="both"/>
              <w:rPr>
                <w:rFonts w:ascii="Arial Narrow" w:hAnsi="Arial Narrow"/>
                <w:b/>
                <w:sz w:val="24"/>
                <w:szCs w:val="24"/>
              </w:rPr>
            </w:pPr>
            <w:r w:rsidRPr="00573952">
              <w:rPr>
                <w:rFonts w:ascii="Arial Narrow" w:hAnsi="Arial Narrow"/>
                <w:b/>
                <w:sz w:val="24"/>
                <w:szCs w:val="24"/>
              </w:rPr>
              <w:t>Applications</w:t>
            </w:r>
          </w:p>
        </w:tc>
      </w:tr>
      <w:tr w:rsidR="00ED6018" w:rsidTr="00165916">
        <w:tc>
          <w:tcPr>
            <w:tcW w:w="960" w:type="dxa"/>
          </w:tcPr>
          <w:p w:rsidR="00ED6018" w:rsidRDefault="00A94FBB" w:rsidP="00131C34">
            <w:pPr>
              <w:jc w:val="both"/>
              <w:rPr>
                <w:rFonts w:ascii="Arial Narrow" w:hAnsi="Arial Narrow"/>
                <w:sz w:val="24"/>
                <w:szCs w:val="24"/>
              </w:rPr>
            </w:pPr>
            <w:r>
              <w:rPr>
                <w:rFonts w:ascii="Arial Narrow" w:hAnsi="Arial Narrow"/>
                <w:sz w:val="24"/>
                <w:szCs w:val="24"/>
              </w:rPr>
              <w:t>24</w:t>
            </w:r>
          </w:p>
        </w:tc>
        <w:tc>
          <w:tcPr>
            <w:tcW w:w="884" w:type="dxa"/>
          </w:tcPr>
          <w:p w:rsidR="00ED6018" w:rsidRDefault="00A94FBB" w:rsidP="00131C34">
            <w:pPr>
              <w:jc w:val="both"/>
              <w:rPr>
                <w:rFonts w:ascii="Arial Narrow" w:hAnsi="Arial Narrow"/>
                <w:sz w:val="24"/>
                <w:szCs w:val="24"/>
              </w:rPr>
            </w:pPr>
            <w:r>
              <w:rPr>
                <w:rFonts w:ascii="Arial Narrow" w:hAnsi="Arial Narrow"/>
                <w:sz w:val="24"/>
                <w:szCs w:val="24"/>
              </w:rPr>
              <w:t>15-19</w:t>
            </w:r>
          </w:p>
        </w:tc>
        <w:tc>
          <w:tcPr>
            <w:tcW w:w="1998" w:type="dxa"/>
          </w:tcPr>
          <w:p w:rsidR="00ED6018" w:rsidRPr="00131C34" w:rsidRDefault="00ED6018" w:rsidP="00131C34">
            <w:pPr>
              <w:jc w:val="both"/>
              <w:rPr>
                <w:rFonts w:ascii="Arial Narrow" w:hAnsi="Arial Narrow"/>
                <w:sz w:val="24"/>
                <w:szCs w:val="24"/>
              </w:rPr>
            </w:pPr>
            <w:r>
              <w:rPr>
                <w:rFonts w:ascii="Arial Narrow" w:hAnsi="Arial Narrow"/>
                <w:sz w:val="24"/>
                <w:szCs w:val="24"/>
              </w:rPr>
              <w:t>Broad diversity</w:t>
            </w:r>
          </w:p>
        </w:tc>
        <w:tc>
          <w:tcPr>
            <w:tcW w:w="6030" w:type="dxa"/>
          </w:tcPr>
          <w:p w:rsidR="00ED6018" w:rsidRPr="002D3C33" w:rsidRDefault="00ED6018" w:rsidP="00C50191">
            <w:pPr>
              <w:jc w:val="both"/>
              <w:rPr>
                <w:rFonts w:ascii="Arial Narrow" w:hAnsi="Arial Narrow"/>
                <w:b/>
                <w:sz w:val="24"/>
                <w:szCs w:val="24"/>
              </w:rPr>
            </w:pPr>
            <w:r w:rsidRPr="002D3C33">
              <w:rPr>
                <w:rFonts w:ascii="Arial Narrow" w:hAnsi="Arial Narrow"/>
                <w:b/>
                <w:sz w:val="24"/>
                <w:szCs w:val="24"/>
              </w:rPr>
              <w:t xml:space="preserve">Comment: </w:t>
            </w:r>
          </w:p>
          <w:p w:rsidR="00ED6018" w:rsidRDefault="00ED6018" w:rsidP="00C50191">
            <w:pPr>
              <w:jc w:val="both"/>
              <w:rPr>
                <w:rFonts w:ascii="Arial Narrow" w:hAnsi="Arial Narrow"/>
                <w:sz w:val="24"/>
                <w:szCs w:val="24"/>
              </w:rPr>
            </w:pPr>
            <w:r>
              <w:rPr>
                <w:rFonts w:ascii="Arial Narrow" w:hAnsi="Arial Narrow"/>
                <w:sz w:val="24"/>
                <w:szCs w:val="24"/>
              </w:rPr>
              <w:lastRenderedPageBreak/>
              <w:t xml:space="preserve">South Africa supports the case-by-case approach given the broad diversity of applications of gene drives, the range of host organisms, the target species and the potential receiving environments. </w:t>
            </w:r>
          </w:p>
          <w:p w:rsidR="00ED6018" w:rsidRDefault="00ED6018" w:rsidP="00C50191">
            <w:pPr>
              <w:jc w:val="both"/>
              <w:rPr>
                <w:rFonts w:ascii="Arial Narrow" w:hAnsi="Arial Narrow"/>
                <w:sz w:val="24"/>
                <w:szCs w:val="24"/>
              </w:rPr>
            </w:pPr>
          </w:p>
          <w:p w:rsidR="00ED6018" w:rsidRPr="002D3C33" w:rsidRDefault="00ED6018" w:rsidP="00C50191">
            <w:pPr>
              <w:jc w:val="both"/>
              <w:rPr>
                <w:rFonts w:ascii="Arial Narrow" w:hAnsi="Arial Narrow"/>
                <w:b/>
                <w:sz w:val="24"/>
                <w:szCs w:val="24"/>
              </w:rPr>
            </w:pPr>
            <w:r w:rsidRPr="002D3C33">
              <w:rPr>
                <w:rFonts w:ascii="Arial Narrow" w:hAnsi="Arial Narrow"/>
                <w:b/>
                <w:sz w:val="24"/>
                <w:szCs w:val="24"/>
              </w:rPr>
              <w:t xml:space="preserve">Rationale: </w:t>
            </w:r>
          </w:p>
          <w:p w:rsidR="00ED6018" w:rsidRDefault="00ED6018" w:rsidP="00C50191">
            <w:pPr>
              <w:jc w:val="both"/>
              <w:rPr>
                <w:rFonts w:ascii="Arial Narrow" w:hAnsi="Arial Narrow"/>
                <w:sz w:val="24"/>
                <w:szCs w:val="24"/>
              </w:rPr>
            </w:pPr>
            <w:r>
              <w:rPr>
                <w:rFonts w:ascii="Arial Narrow" w:hAnsi="Arial Narrow"/>
                <w:sz w:val="24"/>
                <w:szCs w:val="24"/>
              </w:rPr>
              <w:t xml:space="preserve">South Africa considers LMO applications on a case-by-case and considers this to be appropriate for gene drive LMOs as well. </w:t>
            </w:r>
          </w:p>
        </w:tc>
      </w:tr>
      <w:tr w:rsidR="00ED6018" w:rsidTr="00165916">
        <w:tc>
          <w:tcPr>
            <w:tcW w:w="960" w:type="dxa"/>
          </w:tcPr>
          <w:p w:rsidR="00ED6018" w:rsidRDefault="00D5013E" w:rsidP="00131C34">
            <w:pPr>
              <w:jc w:val="both"/>
              <w:rPr>
                <w:rFonts w:ascii="Arial Narrow" w:hAnsi="Arial Narrow"/>
                <w:sz w:val="24"/>
                <w:szCs w:val="24"/>
              </w:rPr>
            </w:pPr>
            <w:r>
              <w:rPr>
                <w:rFonts w:ascii="Arial Narrow" w:hAnsi="Arial Narrow"/>
                <w:sz w:val="24"/>
                <w:szCs w:val="24"/>
              </w:rPr>
              <w:lastRenderedPageBreak/>
              <w:t>24</w:t>
            </w:r>
          </w:p>
        </w:tc>
        <w:tc>
          <w:tcPr>
            <w:tcW w:w="884" w:type="dxa"/>
          </w:tcPr>
          <w:p w:rsidR="00ED6018" w:rsidRDefault="00D5013E" w:rsidP="00131C34">
            <w:pPr>
              <w:jc w:val="both"/>
              <w:rPr>
                <w:rFonts w:ascii="Arial Narrow" w:hAnsi="Arial Narrow"/>
                <w:sz w:val="24"/>
                <w:szCs w:val="24"/>
              </w:rPr>
            </w:pPr>
            <w:r>
              <w:rPr>
                <w:rFonts w:ascii="Arial Narrow" w:hAnsi="Arial Narrow"/>
                <w:sz w:val="24"/>
                <w:szCs w:val="24"/>
              </w:rPr>
              <w:t>25</w:t>
            </w:r>
          </w:p>
        </w:tc>
        <w:tc>
          <w:tcPr>
            <w:tcW w:w="1998" w:type="dxa"/>
          </w:tcPr>
          <w:p w:rsidR="00ED6018" w:rsidRPr="00131C34" w:rsidRDefault="00ED6018" w:rsidP="00131C34">
            <w:pPr>
              <w:jc w:val="both"/>
              <w:rPr>
                <w:rFonts w:ascii="Arial Narrow" w:hAnsi="Arial Narrow"/>
                <w:sz w:val="24"/>
                <w:szCs w:val="24"/>
              </w:rPr>
            </w:pPr>
            <w:r>
              <w:rPr>
                <w:rFonts w:ascii="Arial Narrow" w:hAnsi="Arial Narrow"/>
                <w:sz w:val="24"/>
                <w:szCs w:val="24"/>
              </w:rPr>
              <w:t>Introducing a modification tool rather than a finished product</w:t>
            </w:r>
          </w:p>
        </w:tc>
        <w:tc>
          <w:tcPr>
            <w:tcW w:w="6030" w:type="dxa"/>
          </w:tcPr>
          <w:p w:rsidR="00ED6018" w:rsidRPr="002D3C33" w:rsidRDefault="00ED6018" w:rsidP="00C50191">
            <w:pPr>
              <w:jc w:val="both"/>
              <w:rPr>
                <w:rFonts w:ascii="Arial Narrow" w:hAnsi="Arial Narrow"/>
                <w:b/>
                <w:sz w:val="24"/>
                <w:szCs w:val="24"/>
              </w:rPr>
            </w:pPr>
            <w:r w:rsidRPr="002D3C33">
              <w:rPr>
                <w:rFonts w:ascii="Arial Narrow" w:hAnsi="Arial Narrow"/>
                <w:b/>
                <w:sz w:val="24"/>
                <w:szCs w:val="24"/>
              </w:rPr>
              <w:t xml:space="preserve">Comment: </w:t>
            </w:r>
          </w:p>
          <w:p w:rsidR="00ED6018" w:rsidRDefault="00ED6018" w:rsidP="00D5013E">
            <w:pPr>
              <w:jc w:val="both"/>
              <w:rPr>
                <w:rFonts w:ascii="Arial Narrow" w:hAnsi="Arial Narrow"/>
                <w:sz w:val="24"/>
                <w:szCs w:val="24"/>
              </w:rPr>
            </w:pPr>
            <w:r>
              <w:rPr>
                <w:rFonts w:ascii="Arial Narrow" w:hAnsi="Arial Narrow"/>
                <w:sz w:val="24"/>
                <w:szCs w:val="24"/>
              </w:rPr>
              <w:t>This is a different approach to the current GMOs which get release as finished products. The fact that gene drives will modify organisms in the field requires some thought in terms of what the risk assessment will entail and what information will be accepted to support the risk assessment. The use of models to</w:t>
            </w:r>
            <w:r w:rsidRPr="00D24054">
              <w:rPr>
                <w:rFonts w:ascii="Arial Narrow" w:hAnsi="Arial Narrow"/>
                <w:sz w:val="24"/>
                <w:szCs w:val="24"/>
                <w:lang w:val="en-US"/>
              </w:rPr>
              <w:t xml:space="preserve"> </w:t>
            </w:r>
            <w:r>
              <w:rPr>
                <w:rFonts w:ascii="Arial Narrow" w:hAnsi="Arial Narrow"/>
                <w:sz w:val="24"/>
                <w:szCs w:val="24"/>
                <w:lang w:val="en-US"/>
              </w:rPr>
              <w:t>help predict e</w:t>
            </w:r>
            <w:r w:rsidRPr="00D24054">
              <w:rPr>
                <w:rFonts w:ascii="Arial Narrow" w:hAnsi="Arial Narrow"/>
                <w:sz w:val="24"/>
                <w:szCs w:val="24"/>
                <w:lang w:val="en-US"/>
              </w:rPr>
              <w:t>cological effects</w:t>
            </w:r>
            <w:r>
              <w:rPr>
                <w:rFonts w:ascii="Arial Narrow" w:hAnsi="Arial Narrow"/>
                <w:sz w:val="24"/>
                <w:szCs w:val="24"/>
                <w:lang w:val="en-US"/>
              </w:rPr>
              <w:t xml:space="preserve"> and estimate certain risks should be considered</w:t>
            </w:r>
            <w:r>
              <w:rPr>
                <w:rFonts w:ascii="Arial Narrow" w:hAnsi="Arial Narrow"/>
                <w:sz w:val="24"/>
                <w:szCs w:val="24"/>
              </w:rPr>
              <w:t xml:space="preserve"> </w:t>
            </w:r>
            <w:r w:rsidR="00D5013E">
              <w:rPr>
                <w:rFonts w:ascii="Arial Narrow" w:hAnsi="Arial Narrow"/>
                <w:sz w:val="24"/>
                <w:szCs w:val="24"/>
              </w:rPr>
              <w:t>to support risk assessment.</w:t>
            </w:r>
          </w:p>
        </w:tc>
      </w:tr>
      <w:tr w:rsidR="00ED6018" w:rsidTr="00165916">
        <w:tc>
          <w:tcPr>
            <w:tcW w:w="960" w:type="dxa"/>
          </w:tcPr>
          <w:p w:rsidR="00ED6018" w:rsidRDefault="00D5013E" w:rsidP="00131C34">
            <w:pPr>
              <w:jc w:val="both"/>
              <w:rPr>
                <w:rFonts w:ascii="Arial Narrow" w:hAnsi="Arial Narrow"/>
                <w:sz w:val="24"/>
                <w:szCs w:val="24"/>
              </w:rPr>
            </w:pPr>
            <w:r>
              <w:rPr>
                <w:rFonts w:ascii="Arial Narrow" w:hAnsi="Arial Narrow"/>
                <w:sz w:val="24"/>
                <w:szCs w:val="24"/>
              </w:rPr>
              <w:t>24</w:t>
            </w:r>
          </w:p>
        </w:tc>
        <w:tc>
          <w:tcPr>
            <w:tcW w:w="884" w:type="dxa"/>
          </w:tcPr>
          <w:p w:rsidR="00ED6018" w:rsidRDefault="00D5013E" w:rsidP="00131C34">
            <w:pPr>
              <w:jc w:val="both"/>
              <w:rPr>
                <w:rFonts w:ascii="Arial Narrow" w:hAnsi="Arial Narrow"/>
                <w:sz w:val="24"/>
                <w:szCs w:val="24"/>
              </w:rPr>
            </w:pPr>
            <w:r>
              <w:rPr>
                <w:rFonts w:ascii="Arial Narrow" w:hAnsi="Arial Narrow"/>
                <w:sz w:val="24"/>
                <w:szCs w:val="24"/>
              </w:rPr>
              <w:t>40-41</w:t>
            </w:r>
          </w:p>
        </w:tc>
        <w:tc>
          <w:tcPr>
            <w:tcW w:w="1998" w:type="dxa"/>
          </w:tcPr>
          <w:p w:rsidR="00ED6018" w:rsidRPr="00131C34" w:rsidRDefault="00ED6018" w:rsidP="00131C34">
            <w:pPr>
              <w:jc w:val="both"/>
              <w:rPr>
                <w:rFonts w:ascii="Arial Narrow" w:hAnsi="Arial Narrow"/>
                <w:sz w:val="24"/>
                <w:szCs w:val="24"/>
              </w:rPr>
            </w:pPr>
            <w:r>
              <w:rPr>
                <w:rFonts w:ascii="Arial Narrow" w:hAnsi="Arial Narrow"/>
                <w:sz w:val="24"/>
                <w:szCs w:val="24"/>
              </w:rPr>
              <w:t>Targeting non-domesticated species</w:t>
            </w:r>
          </w:p>
        </w:tc>
        <w:tc>
          <w:tcPr>
            <w:tcW w:w="6030" w:type="dxa"/>
          </w:tcPr>
          <w:p w:rsidR="00ED6018" w:rsidRPr="002D3C33" w:rsidRDefault="00ED6018" w:rsidP="002B3AE1">
            <w:pPr>
              <w:jc w:val="both"/>
              <w:rPr>
                <w:rFonts w:ascii="Arial Narrow" w:hAnsi="Arial Narrow"/>
                <w:b/>
                <w:sz w:val="24"/>
                <w:szCs w:val="24"/>
              </w:rPr>
            </w:pPr>
            <w:r w:rsidRPr="002D3C33">
              <w:rPr>
                <w:rFonts w:ascii="Arial Narrow" w:hAnsi="Arial Narrow"/>
                <w:b/>
                <w:sz w:val="24"/>
                <w:szCs w:val="24"/>
              </w:rPr>
              <w:t xml:space="preserve">Comment: </w:t>
            </w:r>
          </w:p>
          <w:p w:rsidR="00ED6018" w:rsidRDefault="00ED6018" w:rsidP="00D5013E">
            <w:pPr>
              <w:jc w:val="both"/>
              <w:rPr>
                <w:rFonts w:ascii="Arial Narrow" w:hAnsi="Arial Narrow"/>
                <w:sz w:val="24"/>
                <w:szCs w:val="24"/>
              </w:rPr>
            </w:pPr>
            <w:r>
              <w:rPr>
                <w:rFonts w:ascii="Arial Narrow" w:hAnsi="Arial Narrow"/>
                <w:sz w:val="24"/>
                <w:szCs w:val="24"/>
              </w:rPr>
              <w:t xml:space="preserve">In terms of choice of comparator, considerations could be given to cases such as the </w:t>
            </w:r>
            <w:proofErr w:type="spellStart"/>
            <w:r>
              <w:rPr>
                <w:rFonts w:ascii="Arial Narrow" w:hAnsi="Arial Narrow"/>
                <w:sz w:val="24"/>
                <w:szCs w:val="24"/>
              </w:rPr>
              <w:t>Wolbachia</w:t>
            </w:r>
            <w:proofErr w:type="spellEnd"/>
            <w:r>
              <w:rPr>
                <w:rFonts w:ascii="Arial Narrow" w:hAnsi="Arial Narrow"/>
                <w:sz w:val="24"/>
                <w:szCs w:val="24"/>
              </w:rPr>
              <w:t>-infected species if it’s same species as the gene drive LMO. This will however depend on availability of information and experience with the release of these species.</w:t>
            </w:r>
          </w:p>
        </w:tc>
      </w:tr>
      <w:tr w:rsidR="00ED6018" w:rsidTr="00165916">
        <w:tc>
          <w:tcPr>
            <w:tcW w:w="960" w:type="dxa"/>
          </w:tcPr>
          <w:p w:rsidR="00ED6018" w:rsidRDefault="00D5013E" w:rsidP="00131C34">
            <w:pPr>
              <w:jc w:val="both"/>
              <w:rPr>
                <w:rFonts w:ascii="Arial Narrow" w:hAnsi="Arial Narrow"/>
                <w:sz w:val="24"/>
                <w:szCs w:val="24"/>
              </w:rPr>
            </w:pPr>
            <w:r>
              <w:rPr>
                <w:rFonts w:ascii="Arial Narrow" w:hAnsi="Arial Narrow"/>
                <w:sz w:val="24"/>
                <w:szCs w:val="24"/>
              </w:rPr>
              <w:t>25</w:t>
            </w:r>
          </w:p>
        </w:tc>
        <w:tc>
          <w:tcPr>
            <w:tcW w:w="884" w:type="dxa"/>
          </w:tcPr>
          <w:p w:rsidR="00ED6018" w:rsidRDefault="00D5013E" w:rsidP="00131C34">
            <w:pPr>
              <w:jc w:val="both"/>
              <w:rPr>
                <w:rFonts w:ascii="Arial Narrow" w:hAnsi="Arial Narrow"/>
                <w:sz w:val="24"/>
                <w:szCs w:val="24"/>
              </w:rPr>
            </w:pPr>
            <w:r>
              <w:rPr>
                <w:rFonts w:ascii="Arial Narrow" w:hAnsi="Arial Narrow"/>
                <w:sz w:val="24"/>
                <w:szCs w:val="24"/>
              </w:rPr>
              <w:t>4-6</w:t>
            </w:r>
          </w:p>
        </w:tc>
        <w:tc>
          <w:tcPr>
            <w:tcW w:w="1998" w:type="dxa"/>
          </w:tcPr>
          <w:p w:rsidR="00ED6018" w:rsidRPr="00131C34" w:rsidRDefault="00ED6018" w:rsidP="00131C34">
            <w:pPr>
              <w:jc w:val="both"/>
              <w:rPr>
                <w:rFonts w:ascii="Arial Narrow" w:hAnsi="Arial Narrow"/>
                <w:sz w:val="24"/>
                <w:szCs w:val="24"/>
              </w:rPr>
            </w:pPr>
            <w:r>
              <w:rPr>
                <w:rFonts w:ascii="Arial Narrow" w:hAnsi="Arial Narrow"/>
                <w:sz w:val="24"/>
                <w:szCs w:val="24"/>
              </w:rPr>
              <w:t>Targeting non-managed environments</w:t>
            </w:r>
          </w:p>
        </w:tc>
        <w:tc>
          <w:tcPr>
            <w:tcW w:w="6030" w:type="dxa"/>
          </w:tcPr>
          <w:p w:rsidR="00ED6018" w:rsidRPr="002D3C33" w:rsidRDefault="00ED6018" w:rsidP="00B5564E">
            <w:pPr>
              <w:jc w:val="both"/>
              <w:rPr>
                <w:rFonts w:ascii="Arial Narrow" w:hAnsi="Arial Narrow"/>
                <w:b/>
                <w:sz w:val="24"/>
                <w:szCs w:val="24"/>
              </w:rPr>
            </w:pPr>
            <w:r w:rsidRPr="002D3C33">
              <w:rPr>
                <w:rFonts w:ascii="Arial Narrow" w:hAnsi="Arial Narrow"/>
                <w:b/>
                <w:sz w:val="24"/>
                <w:szCs w:val="24"/>
              </w:rPr>
              <w:t>Comment:</w:t>
            </w:r>
          </w:p>
          <w:p w:rsidR="00ED6018" w:rsidRDefault="00ED6018" w:rsidP="00B5564E">
            <w:pPr>
              <w:jc w:val="both"/>
              <w:rPr>
                <w:rFonts w:ascii="Arial Narrow" w:hAnsi="Arial Narrow"/>
                <w:sz w:val="24"/>
                <w:szCs w:val="24"/>
              </w:rPr>
            </w:pPr>
            <w:r>
              <w:rPr>
                <w:rFonts w:ascii="Arial Narrow" w:hAnsi="Arial Narrow"/>
                <w:sz w:val="24"/>
                <w:szCs w:val="24"/>
              </w:rPr>
              <w:t xml:space="preserve">The release of gene drive LMOs into unmanaged environments will require that an </w:t>
            </w:r>
            <w:r w:rsidRPr="00150FCE">
              <w:rPr>
                <w:rFonts w:ascii="Arial Narrow" w:hAnsi="Arial Narrow"/>
                <w:sz w:val="24"/>
                <w:szCs w:val="24"/>
              </w:rPr>
              <w:t xml:space="preserve">Environmental Impact Assessment (EIA) </w:t>
            </w:r>
            <w:r>
              <w:rPr>
                <w:rFonts w:ascii="Arial Narrow" w:hAnsi="Arial Narrow"/>
                <w:sz w:val="24"/>
                <w:szCs w:val="24"/>
              </w:rPr>
              <w:t>be conducted to evaluate t</w:t>
            </w:r>
            <w:r w:rsidRPr="00150FCE">
              <w:rPr>
                <w:rFonts w:ascii="Arial Narrow" w:hAnsi="Arial Narrow"/>
                <w:sz w:val="24"/>
                <w:szCs w:val="24"/>
              </w:rPr>
              <w:t>he l</w:t>
            </w:r>
            <w:r>
              <w:rPr>
                <w:rFonts w:ascii="Arial Narrow" w:hAnsi="Arial Narrow"/>
                <w:sz w:val="24"/>
                <w:szCs w:val="24"/>
              </w:rPr>
              <w:t xml:space="preserve">ikely environmental impacts of the intended release.  </w:t>
            </w:r>
          </w:p>
          <w:p w:rsidR="00ED6018" w:rsidRDefault="00ED6018" w:rsidP="00B5564E">
            <w:pPr>
              <w:jc w:val="both"/>
              <w:rPr>
                <w:rFonts w:ascii="Arial Narrow" w:hAnsi="Arial Narrow"/>
                <w:sz w:val="24"/>
                <w:szCs w:val="24"/>
              </w:rPr>
            </w:pPr>
          </w:p>
          <w:p w:rsidR="00ED6018" w:rsidRPr="002D3C33" w:rsidRDefault="00ED6018" w:rsidP="00B5564E">
            <w:pPr>
              <w:jc w:val="both"/>
              <w:rPr>
                <w:rFonts w:ascii="Arial Narrow" w:hAnsi="Arial Narrow"/>
                <w:b/>
                <w:sz w:val="24"/>
                <w:szCs w:val="24"/>
              </w:rPr>
            </w:pPr>
            <w:r w:rsidRPr="002D3C33">
              <w:rPr>
                <w:rFonts w:ascii="Arial Narrow" w:hAnsi="Arial Narrow"/>
                <w:b/>
                <w:sz w:val="24"/>
                <w:szCs w:val="24"/>
              </w:rPr>
              <w:t>Rationale:</w:t>
            </w:r>
          </w:p>
          <w:p w:rsidR="00ED6018" w:rsidRPr="002D3C33" w:rsidRDefault="00ED6018" w:rsidP="002D3C33">
            <w:pPr>
              <w:jc w:val="both"/>
              <w:rPr>
                <w:rFonts w:ascii="Arial Narrow" w:hAnsi="Arial Narrow"/>
                <w:sz w:val="24"/>
                <w:szCs w:val="24"/>
              </w:rPr>
            </w:pPr>
            <w:r>
              <w:rPr>
                <w:rFonts w:ascii="Arial Narrow" w:hAnsi="Arial Narrow"/>
                <w:sz w:val="24"/>
                <w:szCs w:val="24"/>
              </w:rPr>
              <w:t xml:space="preserve">South Africa’s environmental legislation </w:t>
            </w:r>
            <w:r w:rsidRPr="00B5564E">
              <w:rPr>
                <w:rFonts w:ascii="Arial Narrow" w:hAnsi="Arial Narrow"/>
                <w:sz w:val="24"/>
                <w:szCs w:val="24"/>
              </w:rPr>
              <w:t xml:space="preserve">makes provision for an </w:t>
            </w:r>
            <w:r>
              <w:rPr>
                <w:rFonts w:ascii="Arial Narrow" w:hAnsi="Arial Narrow"/>
                <w:sz w:val="24"/>
                <w:szCs w:val="24"/>
              </w:rPr>
              <w:t xml:space="preserve">EIA </w:t>
            </w:r>
            <w:r w:rsidRPr="00B5564E">
              <w:rPr>
                <w:rFonts w:ascii="Arial Narrow" w:hAnsi="Arial Narrow"/>
                <w:bCs/>
                <w:sz w:val="24"/>
                <w:szCs w:val="24"/>
              </w:rPr>
              <w:t xml:space="preserve">to be conducted for </w:t>
            </w:r>
            <w:r>
              <w:rPr>
                <w:rFonts w:ascii="Arial Narrow" w:hAnsi="Arial Narrow"/>
                <w:bCs/>
                <w:sz w:val="24"/>
                <w:szCs w:val="24"/>
              </w:rPr>
              <w:t>L</w:t>
            </w:r>
            <w:r w:rsidRPr="00B5564E">
              <w:rPr>
                <w:rFonts w:ascii="Arial Narrow" w:hAnsi="Arial Narrow"/>
                <w:bCs/>
                <w:sz w:val="24"/>
                <w:szCs w:val="24"/>
              </w:rPr>
              <w:t xml:space="preserve">MOs intended for release into the environment which may pose a threat to any indigenous species or the environment. </w:t>
            </w:r>
            <w:r>
              <w:rPr>
                <w:rFonts w:ascii="Arial Narrow" w:hAnsi="Arial Narrow"/>
                <w:bCs/>
                <w:sz w:val="24"/>
                <w:szCs w:val="24"/>
              </w:rPr>
              <w:t>In this regard, the e</w:t>
            </w:r>
            <w:r>
              <w:rPr>
                <w:rFonts w:ascii="Arial Narrow" w:hAnsi="Arial Narrow"/>
                <w:sz w:val="24"/>
                <w:szCs w:val="24"/>
              </w:rPr>
              <w:t>nvironmental r</w:t>
            </w:r>
            <w:r w:rsidRPr="00B5564E">
              <w:rPr>
                <w:rFonts w:ascii="Arial Narrow" w:hAnsi="Arial Narrow"/>
                <w:sz w:val="24"/>
                <w:szCs w:val="24"/>
              </w:rPr>
              <w:t xml:space="preserve">isk </w:t>
            </w:r>
            <w:r>
              <w:rPr>
                <w:rFonts w:ascii="Arial Narrow" w:hAnsi="Arial Narrow"/>
                <w:sz w:val="24"/>
                <w:szCs w:val="24"/>
              </w:rPr>
              <w:t>assessment f</w:t>
            </w:r>
            <w:r w:rsidRPr="00B5564E">
              <w:rPr>
                <w:rFonts w:ascii="Arial Narrow" w:hAnsi="Arial Narrow"/>
                <w:sz w:val="24"/>
                <w:szCs w:val="24"/>
              </w:rPr>
              <w:t>ramework provides a list of possible triggers of an EIA, wh</w:t>
            </w:r>
            <w:r>
              <w:rPr>
                <w:rFonts w:ascii="Arial Narrow" w:hAnsi="Arial Narrow"/>
                <w:sz w:val="24"/>
                <w:szCs w:val="24"/>
              </w:rPr>
              <w:t>ich includes L</w:t>
            </w:r>
            <w:r w:rsidRPr="00B5564E">
              <w:rPr>
                <w:rFonts w:ascii="Arial Narrow" w:hAnsi="Arial Narrow"/>
                <w:sz w:val="24"/>
                <w:szCs w:val="24"/>
              </w:rPr>
              <w:t>MOs with the potential to become invasive</w:t>
            </w:r>
            <w:r>
              <w:rPr>
                <w:rFonts w:ascii="Arial Narrow" w:hAnsi="Arial Narrow"/>
                <w:sz w:val="24"/>
                <w:szCs w:val="24"/>
              </w:rPr>
              <w:t xml:space="preserve">, those with a </w:t>
            </w:r>
            <w:r w:rsidRPr="002D3C33">
              <w:rPr>
                <w:rFonts w:ascii="Arial Narrow" w:hAnsi="Arial Narrow"/>
                <w:sz w:val="24"/>
                <w:szCs w:val="24"/>
              </w:rPr>
              <w:t xml:space="preserve">potential </w:t>
            </w:r>
            <w:r>
              <w:rPr>
                <w:rFonts w:ascii="Arial Narrow" w:hAnsi="Arial Narrow"/>
                <w:sz w:val="24"/>
                <w:szCs w:val="24"/>
              </w:rPr>
              <w:t xml:space="preserve">to </w:t>
            </w:r>
            <w:r w:rsidRPr="002D3C33">
              <w:rPr>
                <w:rFonts w:ascii="Arial Narrow" w:hAnsi="Arial Narrow"/>
                <w:sz w:val="24"/>
                <w:szCs w:val="24"/>
              </w:rPr>
              <w:t>negative</w:t>
            </w:r>
            <w:r>
              <w:rPr>
                <w:rFonts w:ascii="Arial Narrow" w:hAnsi="Arial Narrow"/>
                <w:sz w:val="24"/>
                <w:szCs w:val="24"/>
              </w:rPr>
              <w:t>ly</w:t>
            </w:r>
            <w:r w:rsidRPr="002D3C33">
              <w:rPr>
                <w:rFonts w:ascii="Arial Narrow" w:hAnsi="Arial Narrow"/>
                <w:sz w:val="24"/>
                <w:szCs w:val="24"/>
              </w:rPr>
              <w:t xml:space="preserve"> impact on threatened or protected or</w:t>
            </w:r>
            <w:r>
              <w:rPr>
                <w:rFonts w:ascii="Arial Narrow" w:hAnsi="Arial Narrow"/>
                <w:sz w:val="24"/>
                <w:szCs w:val="24"/>
              </w:rPr>
              <w:t>ganisms, if the release involves i</w:t>
            </w:r>
            <w:r w:rsidRPr="002D3C33">
              <w:rPr>
                <w:rFonts w:ascii="Arial Narrow" w:hAnsi="Arial Narrow"/>
                <w:sz w:val="24"/>
                <w:szCs w:val="24"/>
              </w:rPr>
              <w:t xml:space="preserve">ndigenous </w:t>
            </w:r>
            <w:r>
              <w:rPr>
                <w:rFonts w:ascii="Arial Narrow" w:hAnsi="Arial Narrow"/>
                <w:sz w:val="24"/>
                <w:szCs w:val="24"/>
              </w:rPr>
              <w:t>LMOs, L</w:t>
            </w:r>
            <w:r w:rsidRPr="002D3C33">
              <w:rPr>
                <w:rFonts w:ascii="Arial Narrow" w:hAnsi="Arial Narrow"/>
                <w:sz w:val="24"/>
                <w:szCs w:val="24"/>
              </w:rPr>
              <w:t>MOs that have wild indigenous relatives</w:t>
            </w:r>
            <w:r>
              <w:rPr>
                <w:rFonts w:ascii="Arial Narrow" w:hAnsi="Arial Narrow"/>
                <w:sz w:val="24"/>
                <w:szCs w:val="24"/>
              </w:rPr>
              <w:t xml:space="preserve">, those with </w:t>
            </w:r>
            <w:r w:rsidRPr="002D3C33">
              <w:rPr>
                <w:rFonts w:ascii="Arial Narrow" w:hAnsi="Arial Narrow"/>
                <w:sz w:val="24"/>
                <w:szCs w:val="24"/>
              </w:rPr>
              <w:t xml:space="preserve">cultural or geopolitical significance, or </w:t>
            </w:r>
            <w:r>
              <w:rPr>
                <w:rFonts w:ascii="Arial Narrow" w:hAnsi="Arial Narrow"/>
                <w:sz w:val="24"/>
                <w:szCs w:val="24"/>
              </w:rPr>
              <w:t xml:space="preserve">that could have </w:t>
            </w:r>
            <w:r w:rsidRPr="002D3C33">
              <w:rPr>
                <w:rFonts w:ascii="Arial Narrow" w:hAnsi="Arial Narrow"/>
                <w:sz w:val="24"/>
                <w:szCs w:val="24"/>
              </w:rPr>
              <w:t>potentially negative socio economic impact</w:t>
            </w:r>
            <w:r>
              <w:rPr>
                <w:rFonts w:ascii="Arial Narrow" w:hAnsi="Arial Narrow"/>
                <w:sz w:val="24"/>
                <w:szCs w:val="24"/>
              </w:rPr>
              <w:t xml:space="preserve">. Gene drive LMOs could trigger an EIA. </w:t>
            </w:r>
          </w:p>
          <w:p w:rsidR="00ED6018" w:rsidRDefault="00ED6018" w:rsidP="002B3AE1">
            <w:pPr>
              <w:jc w:val="both"/>
              <w:rPr>
                <w:rFonts w:ascii="Arial Narrow" w:hAnsi="Arial Narrow"/>
                <w:sz w:val="24"/>
                <w:szCs w:val="24"/>
              </w:rPr>
            </w:pPr>
          </w:p>
        </w:tc>
      </w:tr>
      <w:tr w:rsidR="00ED6018" w:rsidTr="00165916">
        <w:tc>
          <w:tcPr>
            <w:tcW w:w="960" w:type="dxa"/>
          </w:tcPr>
          <w:p w:rsidR="00ED6018" w:rsidRDefault="002917AD" w:rsidP="00131C34">
            <w:pPr>
              <w:jc w:val="both"/>
              <w:rPr>
                <w:rFonts w:ascii="Arial Narrow" w:hAnsi="Arial Narrow"/>
                <w:sz w:val="24"/>
                <w:szCs w:val="24"/>
              </w:rPr>
            </w:pPr>
            <w:r>
              <w:rPr>
                <w:rFonts w:ascii="Arial Narrow" w:hAnsi="Arial Narrow"/>
                <w:sz w:val="24"/>
                <w:szCs w:val="24"/>
              </w:rPr>
              <w:t>25</w:t>
            </w:r>
          </w:p>
        </w:tc>
        <w:tc>
          <w:tcPr>
            <w:tcW w:w="884" w:type="dxa"/>
          </w:tcPr>
          <w:p w:rsidR="00ED6018" w:rsidRDefault="002917AD" w:rsidP="00131C34">
            <w:pPr>
              <w:jc w:val="both"/>
              <w:rPr>
                <w:rFonts w:ascii="Arial Narrow" w:hAnsi="Arial Narrow"/>
                <w:sz w:val="24"/>
                <w:szCs w:val="24"/>
              </w:rPr>
            </w:pPr>
            <w:r>
              <w:rPr>
                <w:rFonts w:ascii="Arial Narrow" w:hAnsi="Arial Narrow"/>
                <w:sz w:val="24"/>
                <w:szCs w:val="24"/>
              </w:rPr>
              <w:t>7</w:t>
            </w:r>
          </w:p>
        </w:tc>
        <w:tc>
          <w:tcPr>
            <w:tcW w:w="1998" w:type="dxa"/>
          </w:tcPr>
          <w:p w:rsidR="00ED6018" w:rsidRPr="00131C34" w:rsidRDefault="00ED6018" w:rsidP="00131C34">
            <w:pPr>
              <w:jc w:val="both"/>
              <w:rPr>
                <w:rFonts w:ascii="Arial Narrow" w:hAnsi="Arial Narrow"/>
                <w:sz w:val="24"/>
                <w:szCs w:val="24"/>
              </w:rPr>
            </w:pPr>
            <w:r>
              <w:rPr>
                <w:rFonts w:ascii="Arial Narrow" w:hAnsi="Arial Narrow"/>
                <w:sz w:val="24"/>
                <w:szCs w:val="24"/>
              </w:rPr>
              <w:t>Managing a step-wise approach</w:t>
            </w:r>
          </w:p>
        </w:tc>
        <w:tc>
          <w:tcPr>
            <w:tcW w:w="6030" w:type="dxa"/>
          </w:tcPr>
          <w:p w:rsidR="00ED6018" w:rsidRPr="008A54AD" w:rsidRDefault="00ED6018" w:rsidP="002D3C33">
            <w:pPr>
              <w:jc w:val="both"/>
              <w:rPr>
                <w:rFonts w:ascii="Arial Narrow" w:hAnsi="Arial Narrow"/>
                <w:b/>
                <w:sz w:val="24"/>
                <w:szCs w:val="24"/>
              </w:rPr>
            </w:pPr>
            <w:r w:rsidRPr="008A54AD">
              <w:rPr>
                <w:rFonts w:ascii="Arial Narrow" w:hAnsi="Arial Narrow"/>
                <w:b/>
                <w:sz w:val="24"/>
                <w:szCs w:val="24"/>
              </w:rPr>
              <w:t>Comment:</w:t>
            </w:r>
          </w:p>
          <w:p w:rsidR="00ED6018" w:rsidRPr="002917AD" w:rsidRDefault="00ED6018" w:rsidP="008A54AD">
            <w:pPr>
              <w:jc w:val="both"/>
              <w:rPr>
                <w:rFonts w:ascii="Arial Narrow" w:hAnsi="Arial Narrow"/>
                <w:sz w:val="24"/>
                <w:szCs w:val="24"/>
              </w:rPr>
            </w:pPr>
            <w:r>
              <w:rPr>
                <w:rFonts w:ascii="Arial Narrow" w:hAnsi="Arial Narrow"/>
                <w:sz w:val="24"/>
                <w:szCs w:val="24"/>
              </w:rPr>
              <w:t xml:space="preserve">The stepwise pathway to deployment supports generation of data for risk assessment. However, given the difference in risk profiles to the current LMOs, further consideration is need in terms of what would be acceptable under the regulatory system.  </w:t>
            </w:r>
          </w:p>
        </w:tc>
      </w:tr>
      <w:tr w:rsidR="002917AD" w:rsidTr="00D11BDA">
        <w:tc>
          <w:tcPr>
            <w:tcW w:w="960" w:type="dxa"/>
          </w:tcPr>
          <w:p w:rsidR="002917AD" w:rsidRPr="00573952" w:rsidRDefault="002917AD" w:rsidP="002B3AE1">
            <w:pPr>
              <w:jc w:val="both"/>
              <w:rPr>
                <w:rFonts w:ascii="Arial Narrow" w:hAnsi="Arial Narrow"/>
                <w:b/>
                <w:sz w:val="24"/>
                <w:szCs w:val="24"/>
              </w:rPr>
            </w:pPr>
            <w:r>
              <w:rPr>
                <w:rFonts w:ascii="Arial Narrow" w:hAnsi="Arial Narrow"/>
                <w:b/>
                <w:sz w:val="24"/>
                <w:szCs w:val="24"/>
              </w:rPr>
              <w:t>25</w:t>
            </w:r>
          </w:p>
        </w:tc>
        <w:tc>
          <w:tcPr>
            <w:tcW w:w="884" w:type="dxa"/>
          </w:tcPr>
          <w:p w:rsidR="002917AD" w:rsidRPr="00573952" w:rsidRDefault="002917AD" w:rsidP="002B3AE1">
            <w:pPr>
              <w:jc w:val="both"/>
              <w:rPr>
                <w:rFonts w:ascii="Arial Narrow" w:hAnsi="Arial Narrow"/>
                <w:b/>
                <w:sz w:val="24"/>
                <w:szCs w:val="24"/>
              </w:rPr>
            </w:pPr>
            <w:r>
              <w:rPr>
                <w:rFonts w:ascii="Arial Narrow" w:hAnsi="Arial Narrow"/>
                <w:b/>
                <w:sz w:val="24"/>
                <w:szCs w:val="24"/>
              </w:rPr>
              <w:t>18</w:t>
            </w:r>
          </w:p>
        </w:tc>
        <w:tc>
          <w:tcPr>
            <w:tcW w:w="8028" w:type="dxa"/>
            <w:gridSpan w:val="2"/>
          </w:tcPr>
          <w:p w:rsidR="002917AD" w:rsidRPr="00573952" w:rsidRDefault="002917AD" w:rsidP="002B3AE1">
            <w:pPr>
              <w:jc w:val="both"/>
              <w:rPr>
                <w:rFonts w:ascii="Arial Narrow" w:hAnsi="Arial Narrow"/>
                <w:b/>
                <w:sz w:val="24"/>
                <w:szCs w:val="24"/>
              </w:rPr>
            </w:pPr>
            <w:r w:rsidRPr="00573952">
              <w:rPr>
                <w:rFonts w:ascii="Arial Narrow" w:hAnsi="Arial Narrow"/>
                <w:b/>
                <w:sz w:val="24"/>
                <w:szCs w:val="24"/>
              </w:rPr>
              <w:t>Effects on the</w:t>
            </w:r>
            <w:r w:rsidRPr="00573952">
              <w:rPr>
                <w:rFonts w:ascii="Arial Narrow" w:hAnsi="Arial Narrow"/>
                <w:b/>
                <w:bCs/>
                <w:sz w:val="24"/>
                <w:szCs w:val="24"/>
              </w:rPr>
              <w:t xml:space="preserve"> gene drive-bearing organism</w:t>
            </w:r>
          </w:p>
        </w:tc>
      </w:tr>
      <w:tr w:rsidR="00ED6018" w:rsidTr="00165916">
        <w:tc>
          <w:tcPr>
            <w:tcW w:w="960" w:type="dxa"/>
          </w:tcPr>
          <w:p w:rsidR="00ED6018" w:rsidRDefault="002917AD" w:rsidP="002B3AE1">
            <w:pPr>
              <w:jc w:val="both"/>
              <w:rPr>
                <w:rFonts w:ascii="Arial Narrow" w:hAnsi="Arial Narrow"/>
                <w:sz w:val="24"/>
                <w:szCs w:val="24"/>
              </w:rPr>
            </w:pPr>
            <w:r>
              <w:rPr>
                <w:rFonts w:ascii="Arial Narrow" w:hAnsi="Arial Narrow"/>
                <w:sz w:val="24"/>
                <w:szCs w:val="24"/>
              </w:rPr>
              <w:t>25</w:t>
            </w:r>
          </w:p>
        </w:tc>
        <w:tc>
          <w:tcPr>
            <w:tcW w:w="884" w:type="dxa"/>
          </w:tcPr>
          <w:p w:rsidR="00ED6018" w:rsidRDefault="002917AD" w:rsidP="002B3AE1">
            <w:pPr>
              <w:jc w:val="both"/>
              <w:rPr>
                <w:rFonts w:ascii="Arial Narrow" w:hAnsi="Arial Narrow"/>
                <w:sz w:val="24"/>
                <w:szCs w:val="24"/>
              </w:rPr>
            </w:pPr>
            <w:r>
              <w:rPr>
                <w:rFonts w:ascii="Arial Narrow" w:hAnsi="Arial Narrow"/>
                <w:sz w:val="24"/>
                <w:szCs w:val="24"/>
              </w:rPr>
              <w:t>24</w:t>
            </w:r>
          </w:p>
        </w:tc>
        <w:tc>
          <w:tcPr>
            <w:tcW w:w="1998" w:type="dxa"/>
          </w:tcPr>
          <w:p w:rsidR="00ED6018" w:rsidRPr="0097028E" w:rsidRDefault="00ED6018" w:rsidP="002B3AE1">
            <w:pPr>
              <w:jc w:val="both"/>
              <w:rPr>
                <w:rFonts w:ascii="Arial Narrow" w:hAnsi="Arial Narrow"/>
                <w:sz w:val="24"/>
                <w:szCs w:val="24"/>
              </w:rPr>
            </w:pPr>
            <w:r>
              <w:rPr>
                <w:rFonts w:ascii="Arial Narrow" w:hAnsi="Arial Narrow"/>
                <w:sz w:val="24"/>
                <w:szCs w:val="24"/>
              </w:rPr>
              <w:t>Stability of the gene drive system</w:t>
            </w:r>
          </w:p>
        </w:tc>
        <w:tc>
          <w:tcPr>
            <w:tcW w:w="6030" w:type="dxa"/>
          </w:tcPr>
          <w:p w:rsidR="00ED6018" w:rsidRPr="00374FA8" w:rsidRDefault="00ED6018" w:rsidP="00196D7C">
            <w:pPr>
              <w:jc w:val="both"/>
              <w:rPr>
                <w:rFonts w:ascii="Arial Narrow" w:hAnsi="Arial Narrow"/>
                <w:b/>
                <w:sz w:val="24"/>
                <w:szCs w:val="24"/>
              </w:rPr>
            </w:pPr>
            <w:r w:rsidRPr="00374FA8">
              <w:rPr>
                <w:rFonts w:ascii="Arial Narrow" w:hAnsi="Arial Narrow"/>
                <w:b/>
                <w:sz w:val="24"/>
                <w:szCs w:val="24"/>
              </w:rPr>
              <w:t xml:space="preserve">Comment: </w:t>
            </w:r>
          </w:p>
          <w:p w:rsidR="00ED6018" w:rsidRPr="00196D7C" w:rsidRDefault="00ED6018" w:rsidP="00B70424">
            <w:pPr>
              <w:jc w:val="both"/>
              <w:rPr>
                <w:rFonts w:ascii="Arial Narrow" w:hAnsi="Arial Narrow"/>
                <w:sz w:val="24"/>
                <w:szCs w:val="24"/>
              </w:rPr>
            </w:pPr>
            <w:r>
              <w:rPr>
                <w:rFonts w:ascii="Arial Narrow" w:hAnsi="Arial Narrow"/>
                <w:sz w:val="24"/>
                <w:szCs w:val="24"/>
              </w:rPr>
              <w:t xml:space="preserve">The stability of the gene drive system is considered in the risk assessment. There would be a need for post-market monitoring to demonstrate that the gene drive system with the payload gene are stable in the host organism. </w:t>
            </w:r>
          </w:p>
        </w:tc>
      </w:tr>
      <w:tr w:rsidR="00ED6018" w:rsidTr="00165916">
        <w:tc>
          <w:tcPr>
            <w:tcW w:w="960" w:type="dxa"/>
          </w:tcPr>
          <w:p w:rsidR="00ED6018" w:rsidRDefault="002917AD" w:rsidP="00131C34">
            <w:pPr>
              <w:jc w:val="both"/>
              <w:rPr>
                <w:rFonts w:ascii="Arial Narrow" w:hAnsi="Arial Narrow"/>
                <w:sz w:val="24"/>
                <w:szCs w:val="24"/>
              </w:rPr>
            </w:pPr>
            <w:r>
              <w:rPr>
                <w:rFonts w:ascii="Arial Narrow" w:hAnsi="Arial Narrow"/>
                <w:sz w:val="24"/>
                <w:szCs w:val="24"/>
              </w:rPr>
              <w:lastRenderedPageBreak/>
              <w:t>25</w:t>
            </w:r>
          </w:p>
        </w:tc>
        <w:tc>
          <w:tcPr>
            <w:tcW w:w="884" w:type="dxa"/>
          </w:tcPr>
          <w:p w:rsidR="00ED6018" w:rsidRDefault="002917AD" w:rsidP="00131C34">
            <w:pPr>
              <w:jc w:val="both"/>
              <w:rPr>
                <w:rFonts w:ascii="Arial Narrow" w:hAnsi="Arial Narrow"/>
                <w:sz w:val="24"/>
                <w:szCs w:val="24"/>
              </w:rPr>
            </w:pPr>
            <w:r>
              <w:rPr>
                <w:rFonts w:ascii="Arial Narrow" w:hAnsi="Arial Narrow"/>
                <w:sz w:val="24"/>
                <w:szCs w:val="24"/>
              </w:rPr>
              <w:t>28</w:t>
            </w:r>
          </w:p>
        </w:tc>
        <w:tc>
          <w:tcPr>
            <w:tcW w:w="1998" w:type="dxa"/>
          </w:tcPr>
          <w:p w:rsidR="00ED6018" w:rsidRPr="0097028E" w:rsidRDefault="00ED6018" w:rsidP="00131C34">
            <w:pPr>
              <w:jc w:val="both"/>
              <w:rPr>
                <w:rFonts w:ascii="Arial Narrow" w:hAnsi="Arial Narrow"/>
                <w:sz w:val="24"/>
                <w:szCs w:val="24"/>
              </w:rPr>
            </w:pPr>
            <w:r>
              <w:rPr>
                <w:rFonts w:ascii="Arial Narrow" w:hAnsi="Arial Narrow"/>
                <w:sz w:val="24"/>
                <w:szCs w:val="24"/>
              </w:rPr>
              <w:t>Modified susceptibility</w:t>
            </w:r>
          </w:p>
        </w:tc>
        <w:tc>
          <w:tcPr>
            <w:tcW w:w="6030" w:type="dxa"/>
          </w:tcPr>
          <w:p w:rsidR="00ED6018" w:rsidRPr="00B70424" w:rsidRDefault="00ED6018" w:rsidP="0052082C">
            <w:pPr>
              <w:jc w:val="both"/>
              <w:rPr>
                <w:rFonts w:ascii="Arial Narrow" w:hAnsi="Arial Narrow"/>
                <w:b/>
                <w:sz w:val="24"/>
                <w:szCs w:val="24"/>
              </w:rPr>
            </w:pPr>
            <w:r w:rsidRPr="00B70424">
              <w:rPr>
                <w:rFonts w:ascii="Arial Narrow" w:hAnsi="Arial Narrow"/>
                <w:b/>
                <w:sz w:val="24"/>
                <w:szCs w:val="24"/>
              </w:rPr>
              <w:t>Comment:</w:t>
            </w:r>
          </w:p>
          <w:p w:rsidR="00ED6018" w:rsidRDefault="00ED6018" w:rsidP="00B70424">
            <w:pPr>
              <w:jc w:val="both"/>
              <w:rPr>
                <w:rFonts w:ascii="Arial Narrow" w:hAnsi="Arial Narrow"/>
                <w:sz w:val="24"/>
                <w:szCs w:val="24"/>
              </w:rPr>
            </w:pPr>
            <w:r w:rsidRPr="00B70424">
              <w:rPr>
                <w:rFonts w:ascii="Arial Narrow" w:hAnsi="Arial Narrow"/>
                <w:sz w:val="24"/>
                <w:szCs w:val="24"/>
              </w:rPr>
              <w:t>The risks of the vector organism having modified competency for pathogen transmission and becoming a more susceptible host to other viruses should be weighed against the benefits</w:t>
            </w:r>
            <w:r>
              <w:rPr>
                <w:rFonts w:ascii="Arial Narrow" w:hAnsi="Arial Narrow"/>
                <w:sz w:val="24"/>
                <w:szCs w:val="24"/>
              </w:rPr>
              <w:t>.</w:t>
            </w:r>
          </w:p>
        </w:tc>
      </w:tr>
      <w:tr w:rsidR="002917AD" w:rsidTr="006E0D9E">
        <w:tc>
          <w:tcPr>
            <w:tcW w:w="960" w:type="dxa"/>
          </w:tcPr>
          <w:p w:rsidR="002917AD" w:rsidRPr="00573952" w:rsidRDefault="002917AD" w:rsidP="002B3AE1">
            <w:pPr>
              <w:jc w:val="both"/>
              <w:rPr>
                <w:rFonts w:ascii="Arial Narrow" w:hAnsi="Arial Narrow"/>
                <w:b/>
                <w:sz w:val="24"/>
                <w:szCs w:val="24"/>
              </w:rPr>
            </w:pPr>
            <w:r>
              <w:rPr>
                <w:rFonts w:ascii="Arial Narrow" w:hAnsi="Arial Narrow"/>
                <w:b/>
                <w:sz w:val="24"/>
                <w:szCs w:val="24"/>
              </w:rPr>
              <w:t>25</w:t>
            </w:r>
          </w:p>
        </w:tc>
        <w:tc>
          <w:tcPr>
            <w:tcW w:w="884" w:type="dxa"/>
          </w:tcPr>
          <w:p w:rsidR="002917AD" w:rsidRPr="00573952" w:rsidRDefault="002917AD" w:rsidP="002B3AE1">
            <w:pPr>
              <w:jc w:val="both"/>
              <w:rPr>
                <w:rFonts w:ascii="Arial Narrow" w:hAnsi="Arial Narrow"/>
                <w:b/>
                <w:sz w:val="24"/>
                <w:szCs w:val="24"/>
              </w:rPr>
            </w:pPr>
            <w:r>
              <w:rPr>
                <w:rFonts w:ascii="Arial Narrow" w:hAnsi="Arial Narrow"/>
                <w:b/>
                <w:sz w:val="24"/>
                <w:szCs w:val="24"/>
              </w:rPr>
              <w:t>33</w:t>
            </w:r>
          </w:p>
        </w:tc>
        <w:tc>
          <w:tcPr>
            <w:tcW w:w="8028" w:type="dxa"/>
            <w:gridSpan w:val="2"/>
          </w:tcPr>
          <w:p w:rsidR="002917AD" w:rsidRPr="00573952" w:rsidRDefault="002917AD" w:rsidP="002B3AE1">
            <w:pPr>
              <w:jc w:val="both"/>
              <w:rPr>
                <w:rFonts w:ascii="Arial Narrow" w:hAnsi="Arial Narrow"/>
                <w:b/>
                <w:sz w:val="24"/>
                <w:szCs w:val="24"/>
              </w:rPr>
            </w:pPr>
            <w:r w:rsidRPr="00573952">
              <w:rPr>
                <w:rFonts w:ascii="Arial Narrow" w:hAnsi="Arial Narrow"/>
                <w:b/>
                <w:sz w:val="24"/>
                <w:szCs w:val="24"/>
              </w:rPr>
              <w:t>Consideration for biodiversity</w:t>
            </w:r>
          </w:p>
        </w:tc>
      </w:tr>
      <w:tr w:rsidR="00ED6018" w:rsidTr="00165916">
        <w:tc>
          <w:tcPr>
            <w:tcW w:w="960" w:type="dxa"/>
          </w:tcPr>
          <w:p w:rsidR="00ED6018" w:rsidRDefault="002917AD" w:rsidP="002B3AE1">
            <w:pPr>
              <w:jc w:val="both"/>
              <w:rPr>
                <w:rFonts w:ascii="Arial Narrow" w:hAnsi="Arial Narrow"/>
                <w:sz w:val="24"/>
                <w:szCs w:val="24"/>
              </w:rPr>
            </w:pPr>
            <w:r>
              <w:rPr>
                <w:rFonts w:ascii="Arial Narrow" w:hAnsi="Arial Narrow"/>
                <w:sz w:val="24"/>
                <w:szCs w:val="24"/>
              </w:rPr>
              <w:t>26</w:t>
            </w:r>
          </w:p>
        </w:tc>
        <w:tc>
          <w:tcPr>
            <w:tcW w:w="884" w:type="dxa"/>
          </w:tcPr>
          <w:p w:rsidR="00ED6018" w:rsidRDefault="002917AD" w:rsidP="002B3AE1">
            <w:pPr>
              <w:jc w:val="both"/>
              <w:rPr>
                <w:rFonts w:ascii="Arial Narrow" w:hAnsi="Arial Narrow"/>
                <w:sz w:val="24"/>
                <w:szCs w:val="24"/>
              </w:rPr>
            </w:pPr>
            <w:r>
              <w:rPr>
                <w:rFonts w:ascii="Arial Narrow" w:hAnsi="Arial Narrow"/>
                <w:sz w:val="24"/>
                <w:szCs w:val="24"/>
              </w:rPr>
              <w:t>4</w:t>
            </w:r>
          </w:p>
        </w:tc>
        <w:tc>
          <w:tcPr>
            <w:tcW w:w="1998" w:type="dxa"/>
          </w:tcPr>
          <w:p w:rsidR="00ED6018" w:rsidRDefault="00ED6018" w:rsidP="002B3AE1">
            <w:pPr>
              <w:jc w:val="both"/>
              <w:rPr>
                <w:rFonts w:ascii="Arial Narrow" w:hAnsi="Arial Narrow"/>
                <w:sz w:val="24"/>
                <w:szCs w:val="24"/>
              </w:rPr>
            </w:pPr>
            <w:r>
              <w:rPr>
                <w:rFonts w:ascii="Arial Narrow" w:hAnsi="Arial Narrow"/>
                <w:sz w:val="24"/>
                <w:szCs w:val="24"/>
              </w:rPr>
              <w:t>Target organism</w:t>
            </w:r>
          </w:p>
        </w:tc>
        <w:tc>
          <w:tcPr>
            <w:tcW w:w="6030" w:type="dxa"/>
          </w:tcPr>
          <w:p w:rsidR="00ED6018" w:rsidRPr="00B70424" w:rsidRDefault="00ED6018" w:rsidP="002B3AE1">
            <w:pPr>
              <w:jc w:val="both"/>
              <w:rPr>
                <w:rFonts w:ascii="Arial Narrow" w:hAnsi="Arial Narrow"/>
                <w:b/>
                <w:sz w:val="24"/>
                <w:szCs w:val="24"/>
              </w:rPr>
            </w:pPr>
            <w:r w:rsidRPr="00B70424">
              <w:rPr>
                <w:rFonts w:ascii="Arial Narrow" w:hAnsi="Arial Narrow"/>
                <w:b/>
                <w:sz w:val="24"/>
                <w:szCs w:val="24"/>
              </w:rPr>
              <w:t>Comment:</w:t>
            </w:r>
          </w:p>
          <w:p w:rsidR="00ED6018" w:rsidRDefault="00ED6018" w:rsidP="002B3AE1">
            <w:pPr>
              <w:jc w:val="both"/>
              <w:rPr>
                <w:rFonts w:ascii="Arial Narrow" w:hAnsi="Arial Narrow"/>
                <w:sz w:val="24"/>
                <w:szCs w:val="24"/>
              </w:rPr>
            </w:pPr>
            <w:r>
              <w:rPr>
                <w:rFonts w:ascii="Arial Narrow" w:hAnsi="Arial Narrow"/>
                <w:sz w:val="24"/>
                <w:szCs w:val="24"/>
              </w:rPr>
              <w:t>Consideration should be given to what is the ecological role of the target organism and the host organism and what are the implications of extinction.</w:t>
            </w:r>
          </w:p>
        </w:tc>
      </w:tr>
      <w:tr w:rsidR="00ED6018" w:rsidTr="00165916">
        <w:tc>
          <w:tcPr>
            <w:tcW w:w="960" w:type="dxa"/>
          </w:tcPr>
          <w:p w:rsidR="00ED6018" w:rsidRDefault="002917AD" w:rsidP="002B3AE1">
            <w:pPr>
              <w:jc w:val="both"/>
              <w:rPr>
                <w:rFonts w:ascii="Arial Narrow" w:hAnsi="Arial Narrow"/>
                <w:sz w:val="24"/>
                <w:szCs w:val="24"/>
              </w:rPr>
            </w:pPr>
            <w:r>
              <w:rPr>
                <w:rFonts w:ascii="Arial Narrow" w:hAnsi="Arial Narrow"/>
                <w:sz w:val="24"/>
                <w:szCs w:val="24"/>
              </w:rPr>
              <w:t>26</w:t>
            </w:r>
          </w:p>
        </w:tc>
        <w:tc>
          <w:tcPr>
            <w:tcW w:w="884" w:type="dxa"/>
          </w:tcPr>
          <w:p w:rsidR="00ED6018" w:rsidRDefault="002917AD" w:rsidP="002B3AE1">
            <w:pPr>
              <w:jc w:val="both"/>
              <w:rPr>
                <w:rFonts w:ascii="Arial Narrow" w:hAnsi="Arial Narrow"/>
                <w:sz w:val="24"/>
                <w:szCs w:val="24"/>
              </w:rPr>
            </w:pPr>
            <w:r>
              <w:rPr>
                <w:rFonts w:ascii="Arial Narrow" w:hAnsi="Arial Narrow"/>
                <w:sz w:val="24"/>
                <w:szCs w:val="24"/>
              </w:rPr>
              <w:t>9</w:t>
            </w:r>
          </w:p>
        </w:tc>
        <w:tc>
          <w:tcPr>
            <w:tcW w:w="1998" w:type="dxa"/>
          </w:tcPr>
          <w:p w:rsidR="00ED6018" w:rsidRDefault="00ED6018" w:rsidP="002B3AE1">
            <w:pPr>
              <w:jc w:val="both"/>
              <w:rPr>
                <w:rFonts w:ascii="Arial Narrow" w:hAnsi="Arial Narrow"/>
                <w:sz w:val="24"/>
                <w:szCs w:val="24"/>
              </w:rPr>
            </w:pPr>
            <w:r>
              <w:rPr>
                <w:rFonts w:ascii="Arial Narrow" w:hAnsi="Arial Narrow"/>
                <w:sz w:val="24"/>
                <w:szCs w:val="24"/>
              </w:rPr>
              <w:t>Non-target organisms</w:t>
            </w:r>
          </w:p>
        </w:tc>
        <w:tc>
          <w:tcPr>
            <w:tcW w:w="6030" w:type="dxa"/>
          </w:tcPr>
          <w:p w:rsidR="00ED6018" w:rsidRPr="00573952" w:rsidRDefault="00ED6018" w:rsidP="002B3AE1">
            <w:pPr>
              <w:jc w:val="both"/>
              <w:rPr>
                <w:rFonts w:ascii="Arial Narrow" w:hAnsi="Arial Narrow"/>
                <w:b/>
                <w:sz w:val="24"/>
                <w:szCs w:val="24"/>
              </w:rPr>
            </w:pPr>
            <w:r w:rsidRPr="00573952">
              <w:rPr>
                <w:rFonts w:ascii="Arial Narrow" w:hAnsi="Arial Narrow"/>
                <w:b/>
                <w:sz w:val="24"/>
                <w:szCs w:val="24"/>
              </w:rPr>
              <w:t>Comment:</w:t>
            </w:r>
          </w:p>
          <w:p w:rsidR="00ED6018" w:rsidRDefault="00ED6018" w:rsidP="002B3AE1">
            <w:pPr>
              <w:jc w:val="both"/>
              <w:rPr>
                <w:rFonts w:ascii="Arial Narrow" w:hAnsi="Arial Narrow"/>
                <w:sz w:val="24"/>
                <w:szCs w:val="24"/>
              </w:rPr>
            </w:pPr>
            <w:r>
              <w:rPr>
                <w:rFonts w:ascii="Arial Narrow" w:hAnsi="Arial Narrow"/>
                <w:sz w:val="24"/>
                <w:szCs w:val="24"/>
              </w:rPr>
              <w:t>The risk assessment should consider the presence of indigenous related species and potential impacts. It should also consider impact on other important species, taking into consideration appropriate assessment endpoints. Post-release monitoring plans should be developed for continued monitoring on non-target organisms.</w:t>
            </w:r>
          </w:p>
        </w:tc>
      </w:tr>
      <w:tr w:rsidR="00ED6018" w:rsidTr="00165916">
        <w:tc>
          <w:tcPr>
            <w:tcW w:w="960" w:type="dxa"/>
          </w:tcPr>
          <w:p w:rsidR="00ED6018" w:rsidRDefault="002917AD" w:rsidP="002B3AE1">
            <w:pPr>
              <w:jc w:val="both"/>
              <w:rPr>
                <w:rFonts w:ascii="Arial Narrow" w:hAnsi="Arial Narrow"/>
                <w:sz w:val="24"/>
                <w:szCs w:val="24"/>
              </w:rPr>
            </w:pPr>
            <w:r>
              <w:rPr>
                <w:rFonts w:ascii="Arial Narrow" w:hAnsi="Arial Narrow"/>
                <w:sz w:val="24"/>
                <w:szCs w:val="24"/>
              </w:rPr>
              <w:t>26</w:t>
            </w:r>
          </w:p>
        </w:tc>
        <w:tc>
          <w:tcPr>
            <w:tcW w:w="884" w:type="dxa"/>
          </w:tcPr>
          <w:p w:rsidR="00ED6018" w:rsidRDefault="002917AD" w:rsidP="002B3AE1">
            <w:pPr>
              <w:jc w:val="both"/>
              <w:rPr>
                <w:rFonts w:ascii="Arial Narrow" w:hAnsi="Arial Narrow"/>
                <w:sz w:val="24"/>
                <w:szCs w:val="24"/>
              </w:rPr>
            </w:pPr>
            <w:r>
              <w:rPr>
                <w:rFonts w:ascii="Arial Narrow" w:hAnsi="Arial Narrow"/>
                <w:sz w:val="24"/>
                <w:szCs w:val="24"/>
              </w:rPr>
              <w:t>28</w:t>
            </w:r>
          </w:p>
        </w:tc>
        <w:tc>
          <w:tcPr>
            <w:tcW w:w="1998" w:type="dxa"/>
          </w:tcPr>
          <w:p w:rsidR="00ED6018" w:rsidRPr="0097028E" w:rsidRDefault="00ED6018" w:rsidP="002B3AE1">
            <w:pPr>
              <w:jc w:val="both"/>
              <w:rPr>
                <w:rFonts w:ascii="Arial Narrow" w:hAnsi="Arial Narrow"/>
                <w:sz w:val="24"/>
                <w:szCs w:val="24"/>
              </w:rPr>
            </w:pPr>
            <w:r>
              <w:rPr>
                <w:rFonts w:ascii="Arial Narrow" w:hAnsi="Arial Narrow"/>
                <w:sz w:val="24"/>
                <w:szCs w:val="24"/>
              </w:rPr>
              <w:t>Alternative protection mechanisms and herd immunity</w:t>
            </w:r>
          </w:p>
        </w:tc>
        <w:tc>
          <w:tcPr>
            <w:tcW w:w="6030" w:type="dxa"/>
          </w:tcPr>
          <w:p w:rsidR="00ED6018" w:rsidRPr="00573952" w:rsidRDefault="00ED6018" w:rsidP="002B3AE1">
            <w:pPr>
              <w:jc w:val="both"/>
              <w:rPr>
                <w:rFonts w:ascii="Arial Narrow" w:hAnsi="Arial Narrow"/>
                <w:b/>
                <w:sz w:val="24"/>
                <w:szCs w:val="24"/>
              </w:rPr>
            </w:pPr>
            <w:r w:rsidRPr="00573952">
              <w:rPr>
                <w:rFonts w:ascii="Arial Narrow" w:hAnsi="Arial Narrow"/>
                <w:b/>
                <w:sz w:val="24"/>
                <w:szCs w:val="24"/>
              </w:rPr>
              <w:t>Comment:</w:t>
            </w:r>
          </w:p>
          <w:p w:rsidR="00ED6018" w:rsidRDefault="00ED6018" w:rsidP="00EF60D6">
            <w:pPr>
              <w:jc w:val="both"/>
              <w:rPr>
                <w:rFonts w:ascii="Arial Narrow" w:hAnsi="Arial Narrow"/>
                <w:sz w:val="24"/>
                <w:szCs w:val="24"/>
              </w:rPr>
            </w:pPr>
            <w:r>
              <w:rPr>
                <w:rFonts w:ascii="Arial Narrow" w:hAnsi="Arial Narrow"/>
                <w:sz w:val="24"/>
                <w:szCs w:val="24"/>
              </w:rPr>
              <w:t xml:space="preserve">This is a socio-economic considerations issue where parties would weigh the risks and benefits based on national circumstances. </w:t>
            </w:r>
          </w:p>
        </w:tc>
      </w:tr>
      <w:tr w:rsidR="00ED6018" w:rsidTr="00165916">
        <w:tc>
          <w:tcPr>
            <w:tcW w:w="960" w:type="dxa"/>
          </w:tcPr>
          <w:p w:rsidR="00ED6018" w:rsidRPr="008C12D1" w:rsidRDefault="002917AD" w:rsidP="002B3AE1">
            <w:pPr>
              <w:jc w:val="both"/>
              <w:rPr>
                <w:rFonts w:ascii="Arial Narrow" w:hAnsi="Arial Narrow"/>
                <w:sz w:val="24"/>
                <w:szCs w:val="24"/>
              </w:rPr>
            </w:pPr>
            <w:r>
              <w:rPr>
                <w:rFonts w:ascii="Arial Narrow" w:hAnsi="Arial Narrow"/>
                <w:sz w:val="24"/>
                <w:szCs w:val="24"/>
              </w:rPr>
              <w:t>26</w:t>
            </w:r>
          </w:p>
        </w:tc>
        <w:tc>
          <w:tcPr>
            <w:tcW w:w="884" w:type="dxa"/>
          </w:tcPr>
          <w:p w:rsidR="00ED6018" w:rsidRPr="008C12D1" w:rsidRDefault="002917AD" w:rsidP="002B3AE1">
            <w:pPr>
              <w:jc w:val="both"/>
              <w:rPr>
                <w:rFonts w:ascii="Arial Narrow" w:hAnsi="Arial Narrow"/>
                <w:sz w:val="24"/>
                <w:szCs w:val="24"/>
              </w:rPr>
            </w:pPr>
            <w:r>
              <w:rPr>
                <w:rFonts w:ascii="Arial Narrow" w:hAnsi="Arial Narrow"/>
                <w:sz w:val="24"/>
                <w:szCs w:val="24"/>
              </w:rPr>
              <w:t>33</w:t>
            </w:r>
          </w:p>
        </w:tc>
        <w:tc>
          <w:tcPr>
            <w:tcW w:w="1998" w:type="dxa"/>
          </w:tcPr>
          <w:p w:rsidR="00ED6018" w:rsidRDefault="00ED6018" w:rsidP="002B3AE1">
            <w:pPr>
              <w:jc w:val="both"/>
              <w:rPr>
                <w:rFonts w:ascii="Arial Narrow" w:hAnsi="Arial Narrow"/>
                <w:sz w:val="24"/>
                <w:szCs w:val="24"/>
              </w:rPr>
            </w:pPr>
            <w:r w:rsidRPr="008C12D1">
              <w:rPr>
                <w:rFonts w:ascii="Arial Narrow" w:hAnsi="Arial Narrow"/>
                <w:sz w:val="24"/>
                <w:szCs w:val="24"/>
              </w:rPr>
              <w:t>Relating to resistance development</w:t>
            </w:r>
          </w:p>
        </w:tc>
        <w:tc>
          <w:tcPr>
            <w:tcW w:w="6030" w:type="dxa"/>
          </w:tcPr>
          <w:p w:rsidR="00ED6018" w:rsidRDefault="00ED6018" w:rsidP="00EF60D6">
            <w:pPr>
              <w:jc w:val="both"/>
              <w:rPr>
                <w:rFonts w:ascii="Arial Narrow" w:hAnsi="Arial Narrow"/>
                <w:b/>
                <w:sz w:val="24"/>
                <w:szCs w:val="24"/>
              </w:rPr>
            </w:pPr>
            <w:r w:rsidRPr="00EF60D6">
              <w:rPr>
                <w:rFonts w:ascii="Arial Narrow" w:hAnsi="Arial Narrow"/>
                <w:b/>
                <w:sz w:val="24"/>
                <w:szCs w:val="24"/>
              </w:rPr>
              <w:t>Comment:</w:t>
            </w:r>
            <w:r>
              <w:rPr>
                <w:rFonts w:ascii="Arial Narrow" w:hAnsi="Arial Narrow"/>
                <w:b/>
                <w:sz w:val="24"/>
                <w:szCs w:val="24"/>
              </w:rPr>
              <w:t xml:space="preserve"> </w:t>
            </w:r>
          </w:p>
          <w:p w:rsidR="00ED6018" w:rsidRDefault="00ED6018" w:rsidP="00EF60D6">
            <w:pPr>
              <w:jc w:val="both"/>
              <w:rPr>
                <w:rFonts w:ascii="Arial Narrow" w:hAnsi="Arial Narrow"/>
                <w:sz w:val="24"/>
                <w:szCs w:val="24"/>
              </w:rPr>
            </w:pPr>
            <w:r>
              <w:rPr>
                <w:rFonts w:ascii="Arial Narrow" w:hAnsi="Arial Narrow"/>
                <w:sz w:val="24"/>
                <w:szCs w:val="24"/>
              </w:rPr>
              <w:t>Development of resistance is considered in the risk assessment including how this would happen, the likelihood and the consequences. A resistance management plan would be needed.</w:t>
            </w:r>
          </w:p>
        </w:tc>
      </w:tr>
      <w:tr w:rsidR="00ED6018" w:rsidTr="00165916">
        <w:tc>
          <w:tcPr>
            <w:tcW w:w="960" w:type="dxa"/>
          </w:tcPr>
          <w:p w:rsidR="00ED6018" w:rsidRDefault="002917AD" w:rsidP="0044463F">
            <w:pPr>
              <w:jc w:val="both"/>
              <w:rPr>
                <w:rFonts w:ascii="Arial Narrow" w:hAnsi="Arial Narrow"/>
                <w:sz w:val="24"/>
                <w:szCs w:val="24"/>
              </w:rPr>
            </w:pPr>
            <w:r>
              <w:rPr>
                <w:rFonts w:ascii="Arial Narrow" w:hAnsi="Arial Narrow"/>
                <w:sz w:val="24"/>
                <w:szCs w:val="24"/>
              </w:rPr>
              <w:t>27</w:t>
            </w:r>
          </w:p>
        </w:tc>
        <w:tc>
          <w:tcPr>
            <w:tcW w:w="884" w:type="dxa"/>
          </w:tcPr>
          <w:p w:rsidR="00ED6018" w:rsidRDefault="002917AD" w:rsidP="0044463F">
            <w:pPr>
              <w:jc w:val="both"/>
              <w:rPr>
                <w:rFonts w:ascii="Arial Narrow" w:hAnsi="Arial Narrow"/>
                <w:sz w:val="24"/>
                <w:szCs w:val="24"/>
              </w:rPr>
            </w:pPr>
            <w:r>
              <w:rPr>
                <w:rFonts w:ascii="Arial Narrow" w:hAnsi="Arial Narrow"/>
                <w:sz w:val="24"/>
                <w:szCs w:val="24"/>
              </w:rPr>
              <w:t>23</w:t>
            </w:r>
          </w:p>
        </w:tc>
        <w:tc>
          <w:tcPr>
            <w:tcW w:w="1998" w:type="dxa"/>
          </w:tcPr>
          <w:p w:rsidR="00ED6018" w:rsidRDefault="00ED6018" w:rsidP="0044463F">
            <w:pPr>
              <w:jc w:val="both"/>
              <w:rPr>
                <w:rFonts w:ascii="Arial Narrow" w:hAnsi="Arial Narrow"/>
                <w:sz w:val="24"/>
                <w:szCs w:val="24"/>
              </w:rPr>
            </w:pPr>
            <w:r>
              <w:rPr>
                <w:rFonts w:ascii="Arial Narrow" w:hAnsi="Arial Narrow"/>
                <w:sz w:val="24"/>
                <w:szCs w:val="24"/>
              </w:rPr>
              <w:t>E</w:t>
            </w:r>
            <w:r w:rsidRPr="008C12D1">
              <w:rPr>
                <w:rFonts w:ascii="Arial Narrow" w:hAnsi="Arial Narrow"/>
                <w:sz w:val="24"/>
                <w:szCs w:val="24"/>
              </w:rPr>
              <w:t>ffects beyond the target area</w:t>
            </w:r>
          </w:p>
        </w:tc>
        <w:tc>
          <w:tcPr>
            <w:tcW w:w="6030" w:type="dxa"/>
          </w:tcPr>
          <w:p w:rsidR="00ED6018" w:rsidRPr="00374FA8" w:rsidRDefault="00ED6018" w:rsidP="002B3AE1">
            <w:pPr>
              <w:jc w:val="both"/>
              <w:rPr>
                <w:rFonts w:ascii="Arial Narrow" w:hAnsi="Arial Narrow"/>
                <w:b/>
                <w:sz w:val="24"/>
                <w:szCs w:val="24"/>
              </w:rPr>
            </w:pPr>
            <w:r w:rsidRPr="00374FA8">
              <w:rPr>
                <w:rFonts w:ascii="Arial Narrow" w:hAnsi="Arial Narrow"/>
                <w:b/>
                <w:sz w:val="24"/>
                <w:szCs w:val="24"/>
              </w:rPr>
              <w:t>Comment:</w:t>
            </w:r>
          </w:p>
          <w:p w:rsidR="00ED6018" w:rsidRDefault="00ED6018" w:rsidP="002B3AE1">
            <w:pPr>
              <w:jc w:val="both"/>
              <w:rPr>
                <w:rFonts w:ascii="Arial Narrow" w:hAnsi="Arial Narrow"/>
                <w:sz w:val="24"/>
                <w:szCs w:val="24"/>
              </w:rPr>
            </w:pPr>
            <w:r>
              <w:rPr>
                <w:rFonts w:ascii="Arial Narrow" w:hAnsi="Arial Narrow"/>
                <w:sz w:val="24"/>
                <w:szCs w:val="24"/>
              </w:rPr>
              <w:t xml:space="preserve">Regional cooperation and integrated approaches to risk assessment assessing gene drive applications </w:t>
            </w:r>
            <w:r w:rsidRPr="008C12D1">
              <w:rPr>
                <w:rFonts w:ascii="Arial Narrow" w:hAnsi="Arial Narrow"/>
                <w:sz w:val="24"/>
                <w:szCs w:val="24"/>
              </w:rPr>
              <w:t>and decision making</w:t>
            </w:r>
            <w:r>
              <w:rPr>
                <w:rFonts w:ascii="Arial Narrow" w:hAnsi="Arial Narrow"/>
                <w:sz w:val="24"/>
                <w:szCs w:val="24"/>
              </w:rPr>
              <w:t xml:space="preserve"> are necessary given that gene drive LMOs may spread </w:t>
            </w:r>
            <w:r w:rsidRPr="000F746A">
              <w:rPr>
                <w:rFonts w:ascii="Arial Narrow" w:hAnsi="Arial Narrow"/>
                <w:sz w:val="24"/>
                <w:szCs w:val="24"/>
              </w:rPr>
              <w:t xml:space="preserve">outside the intended geographical area </w:t>
            </w:r>
            <w:r>
              <w:rPr>
                <w:rFonts w:ascii="Arial Narrow" w:hAnsi="Arial Narrow"/>
                <w:sz w:val="24"/>
                <w:szCs w:val="24"/>
              </w:rPr>
              <w:t xml:space="preserve">including </w:t>
            </w:r>
            <w:r w:rsidRPr="000F746A">
              <w:rPr>
                <w:rFonts w:ascii="Arial Narrow" w:hAnsi="Arial Narrow"/>
                <w:sz w:val="24"/>
                <w:szCs w:val="24"/>
              </w:rPr>
              <w:t>across national borders.</w:t>
            </w:r>
          </w:p>
          <w:p w:rsidR="00ED6018" w:rsidRDefault="00ED6018" w:rsidP="000F746A">
            <w:pPr>
              <w:jc w:val="both"/>
              <w:rPr>
                <w:rFonts w:ascii="Arial Narrow" w:hAnsi="Arial Narrow"/>
                <w:sz w:val="24"/>
                <w:szCs w:val="24"/>
              </w:rPr>
            </w:pPr>
          </w:p>
          <w:p w:rsidR="00ED6018" w:rsidRPr="00E1035A" w:rsidRDefault="00ED6018" w:rsidP="000F746A">
            <w:pPr>
              <w:jc w:val="both"/>
              <w:rPr>
                <w:rFonts w:ascii="Arial Narrow" w:hAnsi="Arial Narrow"/>
                <w:b/>
                <w:sz w:val="24"/>
                <w:szCs w:val="24"/>
              </w:rPr>
            </w:pPr>
            <w:r w:rsidRPr="00E1035A">
              <w:rPr>
                <w:rFonts w:ascii="Arial Narrow" w:hAnsi="Arial Narrow"/>
                <w:b/>
                <w:sz w:val="24"/>
                <w:szCs w:val="24"/>
              </w:rPr>
              <w:t xml:space="preserve">Rationale: </w:t>
            </w:r>
          </w:p>
          <w:p w:rsidR="00ED6018" w:rsidRDefault="00ED6018" w:rsidP="00EF60D6">
            <w:pPr>
              <w:jc w:val="both"/>
              <w:rPr>
                <w:rFonts w:ascii="Arial Narrow" w:hAnsi="Arial Narrow"/>
                <w:sz w:val="24"/>
                <w:szCs w:val="24"/>
              </w:rPr>
            </w:pPr>
            <w:r>
              <w:rPr>
                <w:rFonts w:ascii="Arial Narrow" w:hAnsi="Arial Narrow"/>
                <w:sz w:val="24"/>
                <w:szCs w:val="24"/>
              </w:rPr>
              <w:t>South Africa’s participation in the NEPAD Agency gene drives workshops held in SADC in 2017 and 2019 highlighted the need for such regional co-operation.</w:t>
            </w:r>
          </w:p>
        </w:tc>
      </w:tr>
      <w:tr w:rsidR="00ED6018" w:rsidTr="00165916">
        <w:tc>
          <w:tcPr>
            <w:tcW w:w="960" w:type="dxa"/>
          </w:tcPr>
          <w:p w:rsidR="00ED6018" w:rsidRDefault="002917AD" w:rsidP="0044463F">
            <w:pPr>
              <w:jc w:val="both"/>
              <w:rPr>
                <w:rFonts w:ascii="Arial Narrow" w:hAnsi="Arial Narrow"/>
                <w:sz w:val="24"/>
                <w:szCs w:val="24"/>
              </w:rPr>
            </w:pPr>
            <w:r>
              <w:rPr>
                <w:rFonts w:ascii="Arial Narrow" w:hAnsi="Arial Narrow"/>
                <w:sz w:val="24"/>
                <w:szCs w:val="24"/>
              </w:rPr>
              <w:t>28</w:t>
            </w:r>
          </w:p>
        </w:tc>
        <w:tc>
          <w:tcPr>
            <w:tcW w:w="884" w:type="dxa"/>
          </w:tcPr>
          <w:p w:rsidR="00ED6018" w:rsidRDefault="002917AD" w:rsidP="0044463F">
            <w:pPr>
              <w:jc w:val="both"/>
              <w:rPr>
                <w:rFonts w:ascii="Arial Narrow" w:hAnsi="Arial Narrow"/>
                <w:sz w:val="24"/>
                <w:szCs w:val="24"/>
              </w:rPr>
            </w:pPr>
            <w:r>
              <w:rPr>
                <w:rFonts w:ascii="Arial Narrow" w:hAnsi="Arial Narrow"/>
                <w:sz w:val="24"/>
                <w:szCs w:val="24"/>
              </w:rPr>
              <w:t>1</w:t>
            </w:r>
          </w:p>
        </w:tc>
        <w:tc>
          <w:tcPr>
            <w:tcW w:w="1998" w:type="dxa"/>
          </w:tcPr>
          <w:p w:rsidR="00ED6018" w:rsidRDefault="00ED6018" w:rsidP="0044463F">
            <w:pPr>
              <w:jc w:val="both"/>
              <w:rPr>
                <w:rFonts w:ascii="Arial Narrow" w:hAnsi="Arial Narrow"/>
                <w:sz w:val="24"/>
                <w:szCs w:val="24"/>
              </w:rPr>
            </w:pPr>
            <w:r>
              <w:rPr>
                <w:rFonts w:ascii="Arial Narrow" w:hAnsi="Arial Narrow"/>
                <w:sz w:val="24"/>
                <w:szCs w:val="24"/>
              </w:rPr>
              <w:t>P</w:t>
            </w:r>
            <w:r w:rsidRPr="008C12D1">
              <w:rPr>
                <w:rFonts w:ascii="Arial Narrow" w:hAnsi="Arial Narrow"/>
                <w:sz w:val="24"/>
                <w:szCs w:val="24"/>
              </w:rPr>
              <w:t>erspectives of indigenous peoples and local communities</w:t>
            </w:r>
          </w:p>
        </w:tc>
        <w:tc>
          <w:tcPr>
            <w:tcW w:w="6030" w:type="dxa"/>
          </w:tcPr>
          <w:p w:rsidR="00ED6018" w:rsidRPr="00EF60D6" w:rsidRDefault="00ED6018" w:rsidP="00B9048D">
            <w:pPr>
              <w:jc w:val="both"/>
              <w:rPr>
                <w:rFonts w:ascii="Arial Narrow" w:hAnsi="Arial Narrow"/>
                <w:b/>
                <w:sz w:val="24"/>
                <w:szCs w:val="24"/>
              </w:rPr>
            </w:pPr>
            <w:r w:rsidRPr="00EF60D6">
              <w:rPr>
                <w:rFonts w:ascii="Arial Narrow" w:hAnsi="Arial Narrow"/>
                <w:b/>
                <w:sz w:val="24"/>
                <w:szCs w:val="24"/>
              </w:rPr>
              <w:t xml:space="preserve">Comment: </w:t>
            </w:r>
          </w:p>
          <w:p w:rsidR="00ED6018" w:rsidRDefault="00ED6018" w:rsidP="00B9048D">
            <w:pPr>
              <w:jc w:val="both"/>
              <w:rPr>
                <w:rFonts w:ascii="Arial Narrow" w:hAnsi="Arial Narrow"/>
                <w:sz w:val="24"/>
                <w:szCs w:val="24"/>
              </w:rPr>
            </w:pPr>
            <w:r>
              <w:rPr>
                <w:rFonts w:ascii="Arial Narrow" w:hAnsi="Arial Narrow"/>
                <w:sz w:val="24"/>
                <w:szCs w:val="24"/>
              </w:rPr>
              <w:t xml:space="preserve">IPLCs are consulted as part of the public consultation processes under the regulatory system. </w:t>
            </w:r>
          </w:p>
          <w:p w:rsidR="00ED6018" w:rsidRDefault="00ED6018" w:rsidP="00B9048D">
            <w:pPr>
              <w:jc w:val="both"/>
              <w:rPr>
                <w:rFonts w:ascii="Arial Narrow" w:hAnsi="Arial Narrow"/>
                <w:sz w:val="24"/>
                <w:szCs w:val="24"/>
              </w:rPr>
            </w:pPr>
          </w:p>
          <w:p w:rsidR="00ED6018" w:rsidRPr="00EF60D6" w:rsidRDefault="00ED6018" w:rsidP="00B9048D">
            <w:pPr>
              <w:jc w:val="both"/>
              <w:rPr>
                <w:rFonts w:ascii="Arial Narrow" w:hAnsi="Arial Narrow"/>
                <w:b/>
                <w:sz w:val="24"/>
                <w:szCs w:val="24"/>
              </w:rPr>
            </w:pPr>
            <w:r w:rsidRPr="00EF60D6">
              <w:rPr>
                <w:rFonts w:ascii="Arial Narrow" w:hAnsi="Arial Narrow"/>
                <w:b/>
                <w:sz w:val="24"/>
                <w:szCs w:val="24"/>
              </w:rPr>
              <w:t xml:space="preserve">Rationale: </w:t>
            </w:r>
          </w:p>
          <w:p w:rsidR="00ED6018" w:rsidRDefault="00ED6018" w:rsidP="00EF60D6">
            <w:pPr>
              <w:jc w:val="both"/>
              <w:rPr>
                <w:rFonts w:ascii="Arial Narrow" w:hAnsi="Arial Narrow"/>
                <w:sz w:val="24"/>
                <w:szCs w:val="24"/>
              </w:rPr>
            </w:pPr>
            <w:r>
              <w:rPr>
                <w:rFonts w:ascii="Arial Narrow" w:hAnsi="Arial Narrow"/>
                <w:sz w:val="24"/>
                <w:szCs w:val="24"/>
              </w:rPr>
              <w:t xml:space="preserve">South Africa’s regulatory system has a process for the </w:t>
            </w:r>
            <w:r w:rsidRPr="000F746A">
              <w:rPr>
                <w:rFonts w:ascii="Arial Narrow" w:hAnsi="Arial Narrow"/>
                <w:sz w:val="24"/>
                <w:szCs w:val="24"/>
              </w:rPr>
              <w:t>public</w:t>
            </w:r>
            <w:r>
              <w:rPr>
                <w:rFonts w:ascii="Arial Narrow" w:hAnsi="Arial Narrow"/>
                <w:sz w:val="24"/>
                <w:szCs w:val="24"/>
              </w:rPr>
              <w:t xml:space="preserve"> to submit comments on applications lodged under the GMO Act. All interested and affected parties have an opportunity to submit comments. These comments are considered in decision making. </w:t>
            </w:r>
          </w:p>
        </w:tc>
      </w:tr>
      <w:tr w:rsidR="00863584" w:rsidTr="00400076">
        <w:tc>
          <w:tcPr>
            <w:tcW w:w="960" w:type="dxa"/>
          </w:tcPr>
          <w:p w:rsidR="00863584" w:rsidRPr="00507DD5" w:rsidRDefault="00863584" w:rsidP="00B9048D">
            <w:pPr>
              <w:jc w:val="both"/>
              <w:rPr>
                <w:rFonts w:ascii="Arial Narrow" w:hAnsi="Arial Narrow"/>
                <w:b/>
                <w:sz w:val="24"/>
                <w:szCs w:val="24"/>
              </w:rPr>
            </w:pPr>
            <w:r>
              <w:rPr>
                <w:rFonts w:ascii="Arial Narrow" w:hAnsi="Arial Narrow"/>
                <w:b/>
                <w:sz w:val="24"/>
                <w:szCs w:val="24"/>
              </w:rPr>
              <w:t>29</w:t>
            </w:r>
          </w:p>
        </w:tc>
        <w:tc>
          <w:tcPr>
            <w:tcW w:w="884" w:type="dxa"/>
          </w:tcPr>
          <w:p w:rsidR="00863584" w:rsidRPr="00507DD5" w:rsidRDefault="00863584" w:rsidP="00B9048D">
            <w:pPr>
              <w:jc w:val="both"/>
              <w:rPr>
                <w:rFonts w:ascii="Arial Narrow" w:hAnsi="Arial Narrow"/>
                <w:b/>
                <w:sz w:val="24"/>
                <w:szCs w:val="24"/>
              </w:rPr>
            </w:pPr>
            <w:r>
              <w:rPr>
                <w:rFonts w:ascii="Arial Narrow" w:hAnsi="Arial Narrow"/>
                <w:b/>
                <w:sz w:val="24"/>
                <w:szCs w:val="24"/>
              </w:rPr>
              <w:t>1</w:t>
            </w:r>
          </w:p>
        </w:tc>
        <w:tc>
          <w:tcPr>
            <w:tcW w:w="8028" w:type="dxa"/>
            <w:gridSpan w:val="2"/>
          </w:tcPr>
          <w:p w:rsidR="00863584" w:rsidRDefault="00863584" w:rsidP="00B9048D">
            <w:pPr>
              <w:jc w:val="both"/>
              <w:rPr>
                <w:rFonts w:ascii="Arial Narrow" w:hAnsi="Arial Narrow"/>
                <w:sz w:val="24"/>
                <w:szCs w:val="24"/>
              </w:rPr>
            </w:pPr>
            <w:r w:rsidRPr="00507DD5">
              <w:rPr>
                <w:rFonts w:ascii="Arial Narrow" w:hAnsi="Arial Narrow"/>
                <w:b/>
                <w:sz w:val="24"/>
                <w:szCs w:val="24"/>
              </w:rPr>
              <w:t>INFORMING THE APPLICATION OF ANNEX I OF DECISION CP-9/13</w:t>
            </w:r>
          </w:p>
        </w:tc>
      </w:tr>
      <w:tr w:rsidR="00ED6018" w:rsidTr="00165916">
        <w:tc>
          <w:tcPr>
            <w:tcW w:w="960" w:type="dxa"/>
          </w:tcPr>
          <w:p w:rsidR="00ED6018" w:rsidRDefault="00863584" w:rsidP="00507DD5">
            <w:pPr>
              <w:jc w:val="both"/>
              <w:rPr>
                <w:rFonts w:ascii="Arial Narrow" w:hAnsi="Arial Narrow"/>
                <w:sz w:val="24"/>
                <w:szCs w:val="24"/>
              </w:rPr>
            </w:pPr>
            <w:r>
              <w:rPr>
                <w:rFonts w:ascii="Arial Narrow" w:hAnsi="Arial Narrow"/>
                <w:sz w:val="24"/>
                <w:szCs w:val="24"/>
              </w:rPr>
              <w:t>29</w:t>
            </w:r>
          </w:p>
        </w:tc>
        <w:tc>
          <w:tcPr>
            <w:tcW w:w="884" w:type="dxa"/>
          </w:tcPr>
          <w:p w:rsidR="00ED6018" w:rsidRDefault="00863584" w:rsidP="00507DD5">
            <w:pPr>
              <w:jc w:val="both"/>
              <w:rPr>
                <w:rFonts w:ascii="Arial Narrow" w:hAnsi="Arial Narrow"/>
                <w:sz w:val="24"/>
                <w:szCs w:val="24"/>
              </w:rPr>
            </w:pPr>
            <w:r>
              <w:rPr>
                <w:rFonts w:ascii="Arial Narrow" w:hAnsi="Arial Narrow"/>
                <w:sz w:val="24"/>
                <w:szCs w:val="24"/>
              </w:rPr>
              <w:t>11</w:t>
            </w:r>
          </w:p>
        </w:tc>
        <w:tc>
          <w:tcPr>
            <w:tcW w:w="1998" w:type="dxa"/>
          </w:tcPr>
          <w:p w:rsidR="00ED6018" w:rsidRPr="008C12D1" w:rsidRDefault="00ED6018" w:rsidP="00507DD5">
            <w:pPr>
              <w:jc w:val="both"/>
              <w:rPr>
                <w:rFonts w:ascii="Arial Narrow" w:hAnsi="Arial Narrow"/>
                <w:sz w:val="24"/>
                <w:szCs w:val="24"/>
              </w:rPr>
            </w:pPr>
            <w:r>
              <w:rPr>
                <w:rFonts w:ascii="Arial Narrow" w:hAnsi="Arial Narrow"/>
                <w:sz w:val="24"/>
                <w:szCs w:val="24"/>
              </w:rPr>
              <w:t>Priorities identified by Parties</w:t>
            </w:r>
          </w:p>
        </w:tc>
        <w:tc>
          <w:tcPr>
            <w:tcW w:w="6030" w:type="dxa"/>
          </w:tcPr>
          <w:p w:rsidR="00ED6018" w:rsidRPr="00E1035A" w:rsidRDefault="00ED6018" w:rsidP="002B3AE1">
            <w:pPr>
              <w:jc w:val="both"/>
              <w:rPr>
                <w:rFonts w:ascii="Arial Narrow" w:hAnsi="Arial Narrow"/>
                <w:b/>
                <w:sz w:val="24"/>
                <w:szCs w:val="24"/>
              </w:rPr>
            </w:pPr>
            <w:r w:rsidRPr="00E1035A">
              <w:rPr>
                <w:rFonts w:ascii="Arial Narrow" w:hAnsi="Arial Narrow"/>
                <w:b/>
                <w:sz w:val="24"/>
                <w:szCs w:val="24"/>
              </w:rPr>
              <w:t>Comment:</w:t>
            </w:r>
          </w:p>
          <w:p w:rsidR="00ED6018" w:rsidRDefault="00ED6018" w:rsidP="00F63ACA">
            <w:pPr>
              <w:jc w:val="both"/>
              <w:rPr>
                <w:rFonts w:ascii="Arial Narrow" w:hAnsi="Arial Narrow"/>
                <w:sz w:val="24"/>
                <w:szCs w:val="24"/>
              </w:rPr>
            </w:pPr>
            <w:r>
              <w:rPr>
                <w:rFonts w:ascii="Arial Narrow" w:hAnsi="Arial Narrow"/>
                <w:sz w:val="24"/>
                <w:szCs w:val="24"/>
              </w:rPr>
              <w:t>South Africa also considers gene drive LMOs as a priority topic requiring further guidance on how to evaluate certain aspects related to gene drive LMOs.</w:t>
            </w:r>
          </w:p>
          <w:p w:rsidR="00ED6018" w:rsidRDefault="00ED6018" w:rsidP="002B3AE1">
            <w:pPr>
              <w:jc w:val="both"/>
              <w:rPr>
                <w:rFonts w:ascii="Arial Narrow" w:hAnsi="Arial Narrow"/>
                <w:sz w:val="24"/>
                <w:szCs w:val="24"/>
              </w:rPr>
            </w:pPr>
          </w:p>
          <w:p w:rsidR="00ED6018" w:rsidRPr="00E1035A" w:rsidRDefault="00ED6018" w:rsidP="002B3AE1">
            <w:pPr>
              <w:jc w:val="both"/>
              <w:rPr>
                <w:rFonts w:ascii="Arial Narrow" w:hAnsi="Arial Narrow"/>
                <w:b/>
                <w:sz w:val="24"/>
                <w:szCs w:val="24"/>
              </w:rPr>
            </w:pPr>
            <w:r w:rsidRPr="00E1035A">
              <w:rPr>
                <w:rFonts w:ascii="Arial Narrow" w:hAnsi="Arial Narrow"/>
                <w:b/>
                <w:sz w:val="24"/>
                <w:szCs w:val="24"/>
              </w:rPr>
              <w:t>Rationale:</w:t>
            </w:r>
          </w:p>
          <w:p w:rsidR="00ED6018" w:rsidRDefault="00ED6018" w:rsidP="00F63ACA">
            <w:pPr>
              <w:jc w:val="both"/>
              <w:rPr>
                <w:rFonts w:ascii="Arial Narrow" w:hAnsi="Arial Narrow"/>
                <w:sz w:val="24"/>
                <w:szCs w:val="24"/>
              </w:rPr>
            </w:pPr>
            <w:r w:rsidRPr="00E1035A">
              <w:rPr>
                <w:rFonts w:ascii="Arial Narrow" w:hAnsi="Arial Narrow"/>
                <w:sz w:val="24"/>
                <w:szCs w:val="24"/>
              </w:rPr>
              <w:lastRenderedPageBreak/>
              <w:t>South Africa has not yet reviewed or undertaken a risk assessme</w:t>
            </w:r>
            <w:r>
              <w:rPr>
                <w:rFonts w:ascii="Arial Narrow" w:hAnsi="Arial Narrow"/>
                <w:sz w:val="24"/>
                <w:szCs w:val="24"/>
              </w:rPr>
              <w:t xml:space="preserve">nt on an actual application of gene drive LMOs. While a risk assessment framework for LMOs is in place which would be appropriate for gene drive LMOs, their distinguishing </w:t>
            </w:r>
            <w:r w:rsidRPr="00F63ACA">
              <w:rPr>
                <w:rFonts w:ascii="Arial Narrow" w:hAnsi="Arial Narrow"/>
                <w:sz w:val="24"/>
                <w:szCs w:val="24"/>
              </w:rPr>
              <w:t xml:space="preserve">features </w:t>
            </w:r>
            <w:r>
              <w:rPr>
                <w:rFonts w:ascii="Arial Narrow" w:hAnsi="Arial Narrow"/>
                <w:sz w:val="24"/>
                <w:szCs w:val="24"/>
              </w:rPr>
              <w:t xml:space="preserve">could potentially impact on biodiversity. They would therefore require that risk assessment guidance is developed on specific elements, especially the problem formulation including defining assessment and measurement endpoints. </w:t>
            </w:r>
          </w:p>
        </w:tc>
      </w:tr>
      <w:tr w:rsidR="00ED6018" w:rsidTr="00165916">
        <w:tc>
          <w:tcPr>
            <w:tcW w:w="960" w:type="dxa"/>
          </w:tcPr>
          <w:p w:rsidR="00ED6018" w:rsidRDefault="00863584" w:rsidP="00507DD5">
            <w:pPr>
              <w:jc w:val="both"/>
              <w:rPr>
                <w:rFonts w:ascii="Arial Narrow" w:hAnsi="Arial Narrow"/>
                <w:sz w:val="24"/>
                <w:szCs w:val="24"/>
              </w:rPr>
            </w:pPr>
            <w:r>
              <w:rPr>
                <w:rFonts w:ascii="Arial Narrow" w:hAnsi="Arial Narrow"/>
                <w:sz w:val="24"/>
                <w:szCs w:val="24"/>
              </w:rPr>
              <w:lastRenderedPageBreak/>
              <w:t>29</w:t>
            </w:r>
          </w:p>
        </w:tc>
        <w:tc>
          <w:tcPr>
            <w:tcW w:w="884" w:type="dxa"/>
          </w:tcPr>
          <w:p w:rsidR="00ED6018" w:rsidRDefault="00863584" w:rsidP="00507DD5">
            <w:pPr>
              <w:jc w:val="both"/>
              <w:rPr>
                <w:rFonts w:ascii="Arial Narrow" w:hAnsi="Arial Narrow"/>
                <w:sz w:val="24"/>
                <w:szCs w:val="24"/>
              </w:rPr>
            </w:pPr>
            <w:r>
              <w:rPr>
                <w:rFonts w:ascii="Arial Narrow" w:hAnsi="Arial Narrow"/>
                <w:sz w:val="24"/>
                <w:szCs w:val="24"/>
              </w:rPr>
              <w:t>31</w:t>
            </w:r>
          </w:p>
        </w:tc>
        <w:tc>
          <w:tcPr>
            <w:tcW w:w="1998" w:type="dxa"/>
          </w:tcPr>
          <w:p w:rsidR="00ED6018" w:rsidRPr="008C12D1" w:rsidRDefault="00ED6018" w:rsidP="00507DD5">
            <w:pPr>
              <w:jc w:val="both"/>
              <w:rPr>
                <w:rFonts w:ascii="Arial Narrow" w:hAnsi="Arial Narrow"/>
                <w:sz w:val="24"/>
                <w:szCs w:val="24"/>
              </w:rPr>
            </w:pPr>
            <w:r>
              <w:rPr>
                <w:rFonts w:ascii="Arial Narrow" w:hAnsi="Arial Narrow"/>
                <w:sz w:val="24"/>
                <w:szCs w:val="24"/>
              </w:rPr>
              <w:t>S</w:t>
            </w:r>
            <w:r w:rsidRPr="008C12D1">
              <w:rPr>
                <w:rFonts w:ascii="Arial Narrow" w:hAnsi="Arial Narrow"/>
                <w:sz w:val="24"/>
                <w:szCs w:val="24"/>
              </w:rPr>
              <w:t>cope and objective of the Cartagena Protocol</w:t>
            </w:r>
          </w:p>
        </w:tc>
        <w:tc>
          <w:tcPr>
            <w:tcW w:w="6030" w:type="dxa"/>
          </w:tcPr>
          <w:p w:rsidR="00ED6018" w:rsidRPr="00E1035A" w:rsidRDefault="00ED6018" w:rsidP="002B3AE1">
            <w:pPr>
              <w:jc w:val="both"/>
              <w:rPr>
                <w:rFonts w:ascii="Arial Narrow" w:hAnsi="Arial Narrow"/>
                <w:b/>
                <w:sz w:val="24"/>
                <w:szCs w:val="24"/>
              </w:rPr>
            </w:pPr>
            <w:r w:rsidRPr="00E1035A">
              <w:rPr>
                <w:rFonts w:ascii="Arial Narrow" w:hAnsi="Arial Narrow"/>
                <w:b/>
                <w:sz w:val="24"/>
                <w:szCs w:val="24"/>
              </w:rPr>
              <w:t xml:space="preserve">Comment: </w:t>
            </w:r>
          </w:p>
          <w:p w:rsidR="00ED6018" w:rsidRDefault="00ED6018" w:rsidP="00891F0D">
            <w:pPr>
              <w:jc w:val="both"/>
              <w:rPr>
                <w:rFonts w:ascii="Arial Narrow" w:hAnsi="Arial Narrow"/>
                <w:sz w:val="24"/>
                <w:szCs w:val="24"/>
              </w:rPr>
            </w:pPr>
            <w:r>
              <w:rPr>
                <w:rFonts w:ascii="Arial Narrow" w:hAnsi="Arial Narrow"/>
                <w:sz w:val="24"/>
                <w:szCs w:val="24"/>
              </w:rPr>
              <w:t xml:space="preserve">A coordinated approach should be maintained between the </w:t>
            </w:r>
            <w:r w:rsidRPr="00891F0D">
              <w:rPr>
                <w:rFonts w:ascii="Arial Narrow" w:hAnsi="Arial Narrow"/>
                <w:sz w:val="24"/>
                <w:szCs w:val="24"/>
              </w:rPr>
              <w:t>AHTEG o</w:t>
            </w:r>
            <w:r>
              <w:rPr>
                <w:rFonts w:ascii="Arial Narrow" w:hAnsi="Arial Narrow"/>
                <w:sz w:val="24"/>
                <w:szCs w:val="24"/>
              </w:rPr>
              <w:t>n</w:t>
            </w:r>
            <w:r w:rsidRPr="00891F0D">
              <w:rPr>
                <w:rFonts w:ascii="Arial Narrow" w:hAnsi="Arial Narrow"/>
                <w:sz w:val="24"/>
                <w:szCs w:val="24"/>
              </w:rPr>
              <w:t xml:space="preserve"> </w:t>
            </w:r>
            <w:r>
              <w:rPr>
                <w:rFonts w:ascii="Arial Narrow" w:hAnsi="Arial Narrow"/>
                <w:sz w:val="24"/>
                <w:szCs w:val="24"/>
              </w:rPr>
              <w:t>S</w:t>
            </w:r>
            <w:r w:rsidRPr="00891F0D">
              <w:rPr>
                <w:rFonts w:ascii="Arial Narrow" w:hAnsi="Arial Narrow"/>
                <w:sz w:val="24"/>
                <w:szCs w:val="24"/>
              </w:rPr>
              <w:t xml:space="preserve">ynthetic Biology and </w:t>
            </w:r>
            <w:r>
              <w:rPr>
                <w:rFonts w:ascii="Arial Narrow" w:hAnsi="Arial Narrow"/>
                <w:sz w:val="24"/>
                <w:szCs w:val="24"/>
              </w:rPr>
              <w:t xml:space="preserve">the AHTEG on </w:t>
            </w:r>
            <w:r w:rsidRPr="00891F0D">
              <w:rPr>
                <w:rFonts w:ascii="Arial Narrow" w:hAnsi="Arial Narrow"/>
                <w:sz w:val="24"/>
                <w:szCs w:val="24"/>
              </w:rPr>
              <w:t xml:space="preserve">Risk Assessment during the development </w:t>
            </w:r>
            <w:r>
              <w:rPr>
                <w:rFonts w:ascii="Arial Narrow" w:hAnsi="Arial Narrow"/>
                <w:sz w:val="24"/>
                <w:szCs w:val="24"/>
              </w:rPr>
              <w:t xml:space="preserve">of guidance </w:t>
            </w:r>
            <w:r w:rsidRPr="00891F0D">
              <w:rPr>
                <w:rFonts w:ascii="Arial Narrow" w:hAnsi="Arial Narrow"/>
                <w:sz w:val="24"/>
                <w:szCs w:val="24"/>
              </w:rPr>
              <w:t xml:space="preserve">on risk assessment of </w:t>
            </w:r>
            <w:r>
              <w:rPr>
                <w:rFonts w:ascii="Arial Narrow" w:hAnsi="Arial Narrow"/>
                <w:sz w:val="24"/>
                <w:szCs w:val="24"/>
              </w:rPr>
              <w:t xml:space="preserve"> gene drive LMOs given the linkages with the synthetic biology discussions under the CBD.</w:t>
            </w:r>
          </w:p>
        </w:tc>
      </w:tr>
      <w:tr w:rsidR="00ED6018" w:rsidTr="00165916">
        <w:tc>
          <w:tcPr>
            <w:tcW w:w="960" w:type="dxa"/>
          </w:tcPr>
          <w:p w:rsidR="00ED6018" w:rsidRDefault="00863584" w:rsidP="002B3AE1">
            <w:pPr>
              <w:jc w:val="both"/>
              <w:rPr>
                <w:rFonts w:ascii="Arial Narrow" w:hAnsi="Arial Narrow"/>
                <w:bCs/>
                <w:sz w:val="24"/>
                <w:szCs w:val="24"/>
              </w:rPr>
            </w:pPr>
            <w:r>
              <w:rPr>
                <w:rFonts w:ascii="Arial Narrow" w:hAnsi="Arial Narrow"/>
                <w:bCs/>
                <w:sz w:val="24"/>
                <w:szCs w:val="24"/>
              </w:rPr>
              <w:t>30</w:t>
            </w:r>
          </w:p>
        </w:tc>
        <w:tc>
          <w:tcPr>
            <w:tcW w:w="884" w:type="dxa"/>
          </w:tcPr>
          <w:p w:rsidR="00ED6018" w:rsidRDefault="00863584" w:rsidP="002B3AE1">
            <w:pPr>
              <w:jc w:val="both"/>
              <w:rPr>
                <w:rFonts w:ascii="Arial Narrow" w:hAnsi="Arial Narrow"/>
                <w:bCs/>
                <w:sz w:val="24"/>
                <w:szCs w:val="24"/>
              </w:rPr>
            </w:pPr>
            <w:r>
              <w:rPr>
                <w:rFonts w:ascii="Arial Narrow" w:hAnsi="Arial Narrow"/>
                <w:bCs/>
                <w:sz w:val="24"/>
                <w:szCs w:val="24"/>
              </w:rPr>
              <w:t>5</w:t>
            </w:r>
          </w:p>
        </w:tc>
        <w:tc>
          <w:tcPr>
            <w:tcW w:w="1998" w:type="dxa"/>
          </w:tcPr>
          <w:p w:rsidR="00ED6018" w:rsidRDefault="00ED6018" w:rsidP="002B3AE1">
            <w:pPr>
              <w:jc w:val="both"/>
              <w:rPr>
                <w:rFonts w:ascii="Arial Narrow" w:hAnsi="Arial Narrow"/>
                <w:bCs/>
                <w:sz w:val="24"/>
                <w:szCs w:val="24"/>
              </w:rPr>
            </w:pPr>
            <w:r>
              <w:rPr>
                <w:rFonts w:ascii="Arial Narrow" w:hAnsi="Arial Narrow"/>
                <w:bCs/>
                <w:sz w:val="24"/>
                <w:szCs w:val="24"/>
              </w:rPr>
              <w:t>Challenges to existing risk assessment frameworks</w:t>
            </w:r>
          </w:p>
          <w:p w:rsidR="00ED6018" w:rsidRPr="0097028E" w:rsidRDefault="00ED6018" w:rsidP="002B3AE1">
            <w:pPr>
              <w:jc w:val="both"/>
              <w:rPr>
                <w:rFonts w:ascii="Arial Narrow" w:hAnsi="Arial Narrow"/>
                <w:sz w:val="24"/>
                <w:szCs w:val="24"/>
              </w:rPr>
            </w:pPr>
          </w:p>
        </w:tc>
        <w:tc>
          <w:tcPr>
            <w:tcW w:w="6030" w:type="dxa"/>
          </w:tcPr>
          <w:p w:rsidR="00ED6018" w:rsidRPr="00E1035A" w:rsidRDefault="00ED6018" w:rsidP="002B3AE1">
            <w:pPr>
              <w:jc w:val="both"/>
              <w:rPr>
                <w:rFonts w:ascii="Arial Narrow" w:hAnsi="Arial Narrow"/>
                <w:b/>
                <w:sz w:val="24"/>
                <w:szCs w:val="24"/>
                <w:lang w:val="en-US"/>
              </w:rPr>
            </w:pPr>
            <w:r w:rsidRPr="00E1035A">
              <w:rPr>
                <w:rFonts w:ascii="Arial Narrow" w:hAnsi="Arial Narrow"/>
                <w:b/>
                <w:sz w:val="24"/>
                <w:szCs w:val="24"/>
                <w:lang w:val="en-US"/>
              </w:rPr>
              <w:t>Comment:</w:t>
            </w:r>
          </w:p>
          <w:p w:rsidR="00ED6018" w:rsidRPr="002B544F" w:rsidRDefault="00ED6018" w:rsidP="002B544F">
            <w:pPr>
              <w:pStyle w:val="ListParagraph"/>
              <w:numPr>
                <w:ilvl w:val="0"/>
                <w:numId w:val="7"/>
              </w:numPr>
              <w:ind w:left="177" w:hanging="177"/>
              <w:jc w:val="both"/>
              <w:rPr>
                <w:rFonts w:ascii="Arial Narrow" w:hAnsi="Arial Narrow"/>
                <w:sz w:val="24"/>
                <w:szCs w:val="24"/>
              </w:rPr>
            </w:pPr>
            <w:r w:rsidRPr="002B544F">
              <w:rPr>
                <w:rFonts w:ascii="Arial Narrow" w:hAnsi="Arial Narrow"/>
                <w:sz w:val="24"/>
                <w:szCs w:val="24"/>
                <w:lang w:val="en-US"/>
              </w:rPr>
              <w:t xml:space="preserve">South Africa supports the views that current environmental risk assessments guidance can be used as a framework for risk assessment of gene drive applications. It also our view that additional guidance is required on specific aspects of risk assessment based on the features that distinguish gene drive LMOs from current LMOs that could increase the overall complexity of the assessment </w:t>
            </w:r>
            <w:r w:rsidRPr="002B544F">
              <w:rPr>
                <w:rFonts w:ascii="Arial Narrow" w:hAnsi="Arial Narrow"/>
                <w:bCs/>
                <w:iCs/>
                <w:sz w:val="24"/>
                <w:szCs w:val="24"/>
                <w:lang w:val="en-US"/>
              </w:rPr>
              <w:t>that may require different approaches in certain aspects.</w:t>
            </w:r>
          </w:p>
          <w:p w:rsidR="00ED6018" w:rsidRDefault="00ED6018" w:rsidP="002B544F">
            <w:pPr>
              <w:ind w:left="177" w:hanging="177"/>
              <w:jc w:val="both"/>
              <w:rPr>
                <w:rFonts w:ascii="Arial Narrow" w:hAnsi="Arial Narrow"/>
                <w:sz w:val="24"/>
                <w:szCs w:val="24"/>
                <w:lang w:val="en-US"/>
              </w:rPr>
            </w:pPr>
          </w:p>
          <w:p w:rsidR="00ED6018" w:rsidRPr="002B544F" w:rsidRDefault="00ED6018" w:rsidP="002B544F">
            <w:pPr>
              <w:pStyle w:val="ListParagraph"/>
              <w:numPr>
                <w:ilvl w:val="0"/>
                <w:numId w:val="7"/>
              </w:numPr>
              <w:ind w:left="177" w:hanging="177"/>
              <w:jc w:val="both"/>
              <w:rPr>
                <w:rFonts w:ascii="Arial Narrow" w:hAnsi="Arial Narrow"/>
                <w:sz w:val="24"/>
                <w:szCs w:val="24"/>
              </w:rPr>
            </w:pPr>
            <w:r w:rsidRPr="002B544F">
              <w:rPr>
                <w:rFonts w:ascii="Arial Narrow" w:hAnsi="Arial Narrow"/>
                <w:sz w:val="24"/>
                <w:szCs w:val="24"/>
              </w:rPr>
              <w:t xml:space="preserve">The lack of information to support risk assessment is a concern </w:t>
            </w:r>
            <w:r w:rsidRPr="002B544F">
              <w:rPr>
                <w:rFonts w:ascii="Arial Narrow" w:hAnsi="Arial Narrow"/>
                <w:sz w:val="24"/>
                <w:szCs w:val="24"/>
                <w:lang w:val="en-US"/>
              </w:rPr>
              <w:t xml:space="preserve">and more research is need. </w:t>
            </w:r>
            <w:r w:rsidRPr="00F72944">
              <w:rPr>
                <w:rFonts w:ascii="Arial Narrow" w:hAnsi="Arial Narrow"/>
                <w:sz w:val="24"/>
                <w:szCs w:val="24"/>
                <w:lang w:val="en-US"/>
              </w:rPr>
              <w:t>Whilst risks and consequences pertaining to the release of LMOs with gene drives may not be fully known or understood, it might be necessary to incorporate other tools such as modelling to support RA as a requirement. Modeling could be used to predict the ecological effects of removing species or altering complex ecological networks in a certain ecosystem, estimate the risk of introgression of drive systems into non-intended populations.</w:t>
            </w:r>
          </w:p>
          <w:p w:rsidR="00ED6018" w:rsidRDefault="00ED6018" w:rsidP="002B544F">
            <w:pPr>
              <w:ind w:left="177" w:hanging="177"/>
              <w:jc w:val="both"/>
              <w:rPr>
                <w:rFonts w:ascii="Arial Narrow" w:hAnsi="Arial Narrow"/>
                <w:sz w:val="24"/>
                <w:szCs w:val="24"/>
              </w:rPr>
            </w:pPr>
          </w:p>
          <w:p w:rsidR="00ED6018" w:rsidRPr="002B544F" w:rsidRDefault="00ED6018" w:rsidP="002B544F">
            <w:pPr>
              <w:pStyle w:val="ListParagraph"/>
              <w:numPr>
                <w:ilvl w:val="0"/>
                <w:numId w:val="7"/>
              </w:numPr>
              <w:ind w:left="177" w:hanging="177"/>
              <w:jc w:val="both"/>
              <w:rPr>
                <w:rFonts w:ascii="Arial Narrow" w:hAnsi="Arial Narrow"/>
                <w:sz w:val="24"/>
                <w:szCs w:val="24"/>
              </w:rPr>
            </w:pPr>
            <w:r w:rsidRPr="002B544F">
              <w:rPr>
                <w:rFonts w:ascii="Arial Narrow" w:hAnsi="Arial Narrow"/>
                <w:sz w:val="24"/>
                <w:szCs w:val="24"/>
              </w:rPr>
              <w:t xml:space="preserve">There is a need for further capacity building on basic scientific knowledge and understanding of gene drive for the purpose of assisting parties to be competent in undertaking risk assessment and reviewing gene drive applications and decision-making. Such could also benefit from the expertise of experts in the work involving gene drives that are not LMOs (such as the case of </w:t>
            </w:r>
            <w:proofErr w:type="spellStart"/>
            <w:r w:rsidRPr="002B544F">
              <w:rPr>
                <w:rFonts w:ascii="Arial Narrow" w:hAnsi="Arial Narrow"/>
                <w:sz w:val="24"/>
                <w:szCs w:val="24"/>
              </w:rPr>
              <w:t>Wolbachia</w:t>
            </w:r>
            <w:proofErr w:type="spellEnd"/>
            <w:r w:rsidRPr="002B544F">
              <w:rPr>
                <w:rFonts w:ascii="Arial Narrow" w:hAnsi="Arial Narrow"/>
                <w:sz w:val="24"/>
                <w:szCs w:val="24"/>
              </w:rPr>
              <w:t xml:space="preserve"> system where organisms based on this system have been released into the environment)</w:t>
            </w:r>
            <w:r>
              <w:rPr>
                <w:rFonts w:ascii="Arial Narrow" w:hAnsi="Arial Narrow"/>
                <w:sz w:val="24"/>
                <w:szCs w:val="24"/>
              </w:rPr>
              <w:t>.</w:t>
            </w:r>
          </w:p>
          <w:p w:rsidR="00ED6018" w:rsidRDefault="00ED6018" w:rsidP="002B3AE1">
            <w:pPr>
              <w:jc w:val="both"/>
              <w:rPr>
                <w:rFonts w:ascii="Arial Narrow" w:hAnsi="Arial Narrow"/>
                <w:sz w:val="24"/>
                <w:szCs w:val="24"/>
              </w:rPr>
            </w:pPr>
          </w:p>
          <w:p w:rsidR="00ED6018" w:rsidRPr="00E1035A" w:rsidRDefault="00ED6018" w:rsidP="002B3AE1">
            <w:pPr>
              <w:jc w:val="both"/>
              <w:rPr>
                <w:rFonts w:ascii="Arial Narrow" w:hAnsi="Arial Narrow"/>
                <w:b/>
                <w:sz w:val="24"/>
                <w:szCs w:val="24"/>
              </w:rPr>
            </w:pPr>
            <w:r w:rsidRPr="00E1035A">
              <w:rPr>
                <w:rFonts w:ascii="Arial Narrow" w:hAnsi="Arial Narrow"/>
                <w:b/>
                <w:sz w:val="24"/>
                <w:szCs w:val="24"/>
              </w:rPr>
              <w:t>Rationale:</w:t>
            </w:r>
          </w:p>
          <w:p w:rsidR="00ED6018" w:rsidRPr="002B544F" w:rsidRDefault="00ED6018" w:rsidP="002B544F">
            <w:pPr>
              <w:pStyle w:val="ListParagraph"/>
              <w:numPr>
                <w:ilvl w:val="0"/>
                <w:numId w:val="8"/>
              </w:numPr>
              <w:ind w:left="177" w:hanging="142"/>
              <w:jc w:val="both"/>
              <w:rPr>
                <w:rFonts w:ascii="Arial Narrow" w:hAnsi="Arial Narrow"/>
                <w:sz w:val="24"/>
                <w:szCs w:val="24"/>
              </w:rPr>
            </w:pPr>
            <w:r w:rsidRPr="002B544F">
              <w:rPr>
                <w:rFonts w:ascii="Arial Narrow" w:hAnsi="Arial Narrow"/>
                <w:sz w:val="24"/>
                <w:szCs w:val="24"/>
              </w:rPr>
              <w:t xml:space="preserve">South Africa has a risk assessment framework for LMOs in place and is currently in the process of defining assessment and measurement endpoints for current GMOs. The availability of additional guidance of specific elements of risk assessment for gene drives could be incorporated into this process taking into account national circumstances. </w:t>
            </w:r>
          </w:p>
          <w:p w:rsidR="00ED6018" w:rsidRDefault="00ED6018" w:rsidP="002B544F">
            <w:pPr>
              <w:ind w:left="177" w:hanging="142"/>
              <w:jc w:val="both"/>
              <w:rPr>
                <w:rFonts w:ascii="Arial Narrow" w:hAnsi="Arial Narrow"/>
                <w:sz w:val="24"/>
                <w:szCs w:val="24"/>
              </w:rPr>
            </w:pPr>
          </w:p>
          <w:p w:rsidR="00ED6018" w:rsidRPr="002B544F" w:rsidRDefault="00ED6018" w:rsidP="002B544F">
            <w:pPr>
              <w:pStyle w:val="ListParagraph"/>
              <w:numPr>
                <w:ilvl w:val="0"/>
                <w:numId w:val="8"/>
              </w:numPr>
              <w:ind w:left="177" w:hanging="142"/>
              <w:jc w:val="both"/>
              <w:rPr>
                <w:rFonts w:ascii="Arial Narrow" w:hAnsi="Arial Narrow"/>
                <w:sz w:val="24"/>
                <w:szCs w:val="24"/>
              </w:rPr>
            </w:pPr>
            <w:r w:rsidRPr="002B544F">
              <w:rPr>
                <w:rFonts w:ascii="Arial Narrow" w:hAnsi="Arial Narrow"/>
                <w:sz w:val="24"/>
                <w:szCs w:val="24"/>
              </w:rPr>
              <w:t xml:space="preserve">SA participated in two AU-NEPAD Agency gene drive mosquito capacity building workshops for the SADC region in 2017 and 2019 respectively. These workshops did not only provide scientific knowledge and understanding on the topic and the risk assessment process, but were also a good platform to build relationship to foster regional cooperation on development of frameworks for coordinated review of gene drive applications. South Africa therefore recommends continued capacity building in this area. </w:t>
            </w:r>
          </w:p>
          <w:p w:rsidR="00ED6018" w:rsidRDefault="00ED6018" w:rsidP="002B544F">
            <w:pPr>
              <w:jc w:val="both"/>
              <w:rPr>
                <w:rFonts w:ascii="Arial Narrow" w:hAnsi="Arial Narrow"/>
                <w:sz w:val="24"/>
                <w:szCs w:val="24"/>
              </w:rPr>
            </w:pPr>
          </w:p>
        </w:tc>
      </w:tr>
      <w:tr w:rsidR="00ED6018" w:rsidTr="00165916">
        <w:tc>
          <w:tcPr>
            <w:tcW w:w="960" w:type="dxa"/>
          </w:tcPr>
          <w:p w:rsidR="00ED6018" w:rsidRDefault="00863584" w:rsidP="00507DD5">
            <w:pPr>
              <w:jc w:val="both"/>
              <w:rPr>
                <w:rFonts w:ascii="Arial Narrow" w:hAnsi="Arial Narrow"/>
                <w:bCs/>
                <w:sz w:val="24"/>
                <w:szCs w:val="24"/>
              </w:rPr>
            </w:pPr>
            <w:r>
              <w:rPr>
                <w:rFonts w:ascii="Arial Narrow" w:hAnsi="Arial Narrow"/>
                <w:bCs/>
                <w:sz w:val="24"/>
                <w:szCs w:val="24"/>
              </w:rPr>
              <w:lastRenderedPageBreak/>
              <w:t>31</w:t>
            </w:r>
          </w:p>
        </w:tc>
        <w:tc>
          <w:tcPr>
            <w:tcW w:w="884" w:type="dxa"/>
          </w:tcPr>
          <w:p w:rsidR="00ED6018" w:rsidRDefault="00863584" w:rsidP="00507DD5">
            <w:pPr>
              <w:jc w:val="both"/>
              <w:rPr>
                <w:rFonts w:ascii="Arial Narrow" w:hAnsi="Arial Narrow"/>
                <w:bCs/>
                <w:sz w:val="24"/>
                <w:szCs w:val="24"/>
              </w:rPr>
            </w:pPr>
            <w:r>
              <w:rPr>
                <w:rFonts w:ascii="Arial Narrow" w:hAnsi="Arial Narrow"/>
                <w:bCs/>
                <w:sz w:val="24"/>
                <w:szCs w:val="24"/>
              </w:rPr>
              <w:t>38</w:t>
            </w:r>
          </w:p>
        </w:tc>
        <w:tc>
          <w:tcPr>
            <w:tcW w:w="1998" w:type="dxa"/>
          </w:tcPr>
          <w:p w:rsidR="00ED6018" w:rsidRPr="008C12D1" w:rsidRDefault="00ED6018" w:rsidP="00507DD5">
            <w:pPr>
              <w:jc w:val="both"/>
              <w:rPr>
                <w:rFonts w:ascii="Arial Narrow" w:hAnsi="Arial Narrow"/>
                <w:bCs/>
                <w:sz w:val="24"/>
                <w:szCs w:val="24"/>
              </w:rPr>
            </w:pPr>
            <w:r>
              <w:rPr>
                <w:rFonts w:ascii="Arial Narrow" w:hAnsi="Arial Narrow"/>
                <w:bCs/>
                <w:sz w:val="24"/>
                <w:szCs w:val="24"/>
              </w:rPr>
              <w:t>C</w:t>
            </w:r>
            <w:r w:rsidRPr="008C12D1">
              <w:rPr>
                <w:rFonts w:ascii="Arial Narrow" w:hAnsi="Arial Narrow"/>
                <w:bCs/>
                <w:sz w:val="24"/>
                <w:szCs w:val="24"/>
              </w:rPr>
              <w:t>learly described</w:t>
            </w:r>
            <w:r>
              <w:rPr>
                <w:rFonts w:ascii="Arial Narrow" w:hAnsi="Arial Narrow"/>
                <w:bCs/>
                <w:sz w:val="24"/>
                <w:szCs w:val="24"/>
              </w:rPr>
              <w:t xml:space="preserve"> issues</w:t>
            </w:r>
          </w:p>
        </w:tc>
        <w:tc>
          <w:tcPr>
            <w:tcW w:w="6030" w:type="dxa"/>
          </w:tcPr>
          <w:p w:rsidR="00ED6018" w:rsidRPr="00891F0D" w:rsidRDefault="00ED6018" w:rsidP="002B3AE1">
            <w:pPr>
              <w:jc w:val="both"/>
              <w:rPr>
                <w:rFonts w:ascii="Arial Narrow" w:hAnsi="Arial Narrow"/>
                <w:b/>
                <w:sz w:val="24"/>
                <w:szCs w:val="24"/>
              </w:rPr>
            </w:pPr>
            <w:r w:rsidRPr="00891F0D">
              <w:rPr>
                <w:rFonts w:ascii="Arial Narrow" w:hAnsi="Arial Narrow"/>
                <w:b/>
                <w:sz w:val="24"/>
                <w:szCs w:val="24"/>
              </w:rPr>
              <w:t>Comment:</w:t>
            </w:r>
          </w:p>
          <w:p w:rsidR="00ED6018" w:rsidRPr="00891F0D" w:rsidRDefault="00863584" w:rsidP="00863584">
            <w:pPr>
              <w:jc w:val="both"/>
              <w:rPr>
                <w:rFonts w:ascii="Arial Narrow" w:hAnsi="Arial Narrow"/>
                <w:sz w:val="24"/>
                <w:szCs w:val="24"/>
              </w:rPr>
            </w:pPr>
            <w:r>
              <w:rPr>
                <w:rFonts w:ascii="Arial Narrow" w:hAnsi="Arial Narrow"/>
                <w:sz w:val="24"/>
                <w:szCs w:val="24"/>
              </w:rPr>
              <w:t>D</w:t>
            </w:r>
            <w:r w:rsidR="00ED6018">
              <w:rPr>
                <w:rFonts w:ascii="Arial Narrow" w:hAnsi="Arial Narrow"/>
                <w:sz w:val="24"/>
                <w:szCs w:val="24"/>
              </w:rPr>
              <w:t>iscussions on this topic should focus on risk assessment of gene drives LMOs and not generic risk assessment</w:t>
            </w:r>
            <w:r w:rsidR="00ED6018" w:rsidRPr="001242E9">
              <w:rPr>
                <w:rFonts w:ascii="Arial Narrow" w:hAnsi="Arial Narrow"/>
                <w:sz w:val="24"/>
                <w:szCs w:val="24"/>
              </w:rPr>
              <w:t xml:space="preserve">. </w:t>
            </w:r>
            <w:r w:rsidR="00ED6018">
              <w:rPr>
                <w:rFonts w:ascii="Arial Narrow" w:hAnsi="Arial Narrow"/>
                <w:sz w:val="24"/>
                <w:szCs w:val="24"/>
              </w:rPr>
              <w:t xml:space="preserve">This means all features that would be considered in risk assessment, including the gene drive system, the genes, the </w:t>
            </w:r>
            <w:r w:rsidR="00ED6018" w:rsidRPr="001242E9">
              <w:rPr>
                <w:rFonts w:ascii="Arial Narrow" w:hAnsi="Arial Narrow"/>
                <w:sz w:val="24"/>
                <w:szCs w:val="24"/>
              </w:rPr>
              <w:t>host organism,</w:t>
            </w:r>
            <w:r w:rsidR="00ED6018">
              <w:rPr>
                <w:rFonts w:ascii="Arial Narrow" w:hAnsi="Arial Narrow"/>
                <w:sz w:val="24"/>
                <w:szCs w:val="24"/>
              </w:rPr>
              <w:t xml:space="preserve"> the </w:t>
            </w:r>
            <w:r w:rsidR="00ED6018" w:rsidRPr="001242E9">
              <w:rPr>
                <w:rFonts w:ascii="Arial Narrow" w:hAnsi="Arial Narrow"/>
                <w:sz w:val="24"/>
                <w:szCs w:val="24"/>
              </w:rPr>
              <w:t>introduced trait</w:t>
            </w:r>
            <w:r w:rsidR="00ED6018">
              <w:rPr>
                <w:rFonts w:ascii="Arial Narrow" w:hAnsi="Arial Narrow"/>
                <w:sz w:val="24"/>
                <w:szCs w:val="24"/>
              </w:rPr>
              <w:t xml:space="preserve">, the target organism, the receiving environment. </w:t>
            </w:r>
          </w:p>
        </w:tc>
      </w:tr>
      <w:tr w:rsidR="00ED6018" w:rsidTr="00165916">
        <w:tc>
          <w:tcPr>
            <w:tcW w:w="960" w:type="dxa"/>
          </w:tcPr>
          <w:p w:rsidR="00ED6018" w:rsidRPr="008C12D1" w:rsidRDefault="00863584" w:rsidP="002B3AE1">
            <w:pPr>
              <w:jc w:val="both"/>
              <w:rPr>
                <w:rFonts w:ascii="Arial Narrow" w:hAnsi="Arial Narrow"/>
                <w:bCs/>
                <w:sz w:val="24"/>
                <w:szCs w:val="24"/>
              </w:rPr>
            </w:pPr>
            <w:r>
              <w:rPr>
                <w:rFonts w:ascii="Arial Narrow" w:hAnsi="Arial Narrow"/>
                <w:bCs/>
                <w:sz w:val="24"/>
                <w:szCs w:val="24"/>
              </w:rPr>
              <w:t>32</w:t>
            </w:r>
          </w:p>
        </w:tc>
        <w:tc>
          <w:tcPr>
            <w:tcW w:w="884" w:type="dxa"/>
          </w:tcPr>
          <w:p w:rsidR="00ED6018" w:rsidRPr="008C12D1" w:rsidRDefault="00863584" w:rsidP="002B3AE1">
            <w:pPr>
              <w:jc w:val="both"/>
              <w:rPr>
                <w:rFonts w:ascii="Arial Narrow" w:hAnsi="Arial Narrow"/>
                <w:bCs/>
                <w:sz w:val="24"/>
                <w:szCs w:val="24"/>
              </w:rPr>
            </w:pPr>
            <w:r>
              <w:rPr>
                <w:rFonts w:ascii="Arial Narrow" w:hAnsi="Arial Narrow"/>
                <w:bCs/>
                <w:sz w:val="24"/>
                <w:szCs w:val="24"/>
              </w:rPr>
              <w:t>1</w:t>
            </w:r>
          </w:p>
        </w:tc>
        <w:tc>
          <w:tcPr>
            <w:tcW w:w="1998" w:type="dxa"/>
          </w:tcPr>
          <w:p w:rsidR="00ED6018" w:rsidRPr="008C12D1" w:rsidRDefault="00ED6018" w:rsidP="002B3AE1">
            <w:pPr>
              <w:jc w:val="both"/>
              <w:rPr>
                <w:rFonts w:ascii="Arial Narrow" w:hAnsi="Arial Narrow"/>
                <w:bCs/>
                <w:sz w:val="24"/>
                <w:szCs w:val="24"/>
              </w:rPr>
            </w:pPr>
            <w:r w:rsidRPr="008C12D1">
              <w:rPr>
                <w:rFonts w:ascii="Arial Narrow" w:hAnsi="Arial Narrow"/>
                <w:bCs/>
                <w:sz w:val="24"/>
                <w:szCs w:val="24"/>
              </w:rPr>
              <w:t>Specific issues for engineered gene drives</w:t>
            </w:r>
          </w:p>
        </w:tc>
        <w:tc>
          <w:tcPr>
            <w:tcW w:w="6030" w:type="dxa"/>
          </w:tcPr>
          <w:p w:rsidR="00ED6018" w:rsidRPr="00B70424" w:rsidRDefault="00ED6018" w:rsidP="00B70424">
            <w:pPr>
              <w:jc w:val="both"/>
              <w:rPr>
                <w:rFonts w:ascii="Arial Narrow" w:hAnsi="Arial Narrow"/>
                <w:b/>
                <w:sz w:val="24"/>
                <w:szCs w:val="24"/>
              </w:rPr>
            </w:pPr>
            <w:r>
              <w:rPr>
                <w:rFonts w:ascii="Arial Narrow" w:hAnsi="Arial Narrow"/>
                <w:b/>
                <w:sz w:val="24"/>
                <w:szCs w:val="24"/>
              </w:rPr>
              <w:t>Comment:</w:t>
            </w:r>
          </w:p>
          <w:p w:rsidR="00ED6018" w:rsidRPr="00B70424" w:rsidRDefault="00ED6018" w:rsidP="00B70424">
            <w:pPr>
              <w:jc w:val="both"/>
              <w:rPr>
                <w:rFonts w:ascii="Arial Narrow" w:hAnsi="Arial Narrow"/>
                <w:b/>
                <w:sz w:val="24"/>
                <w:szCs w:val="24"/>
                <w:lang w:val="en-US"/>
              </w:rPr>
            </w:pPr>
            <w:r w:rsidRPr="00B70424">
              <w:rPr>
                <w:rFonts w:ascii="Arial Narrow" w:hAnsi="Arial Narrow"/>
                <w:sz w:val="24"/>
                <w:szCs w:val="24"/>
                <w:lang w:val="en-US"/>
              </w:rPr>
              <w:t>Literatures proposes release of reversal drives to mitigate unintended negative impacts of gene drives on the environment, yet there are no studies that have researched adverse ecological effects that these reversal drive constructs may also introduce to the environment.</w:t>
            </w:r>
          </w:p>
          <w:p w:rsidR="00ED6018" w:rsidRPr="00E2180F" w:rsidRDefault="00ED6018" w:rsidP="00B70424">
            <w:pPr>
              <w:jc w:val="both"/>
              <w:rPr>
                <w:rFonts w:ascii="Arial Narrow" w:hAnsi="Arial Narrow"/>
                <w:sz w:val="24"/>
                <w:szCs w:val="24"/>
              </w:rPr>
            </w:pPr>
          </w:p>
          <w:p w:rsidR="00ED6018" w:rsidRDefault="00ED6018" w:rsidP="002B3AE1">
            <w:pPr>
              <w:jc w:val="both"/>
              <w:rPr>
                <w:rFonts w:ascii="Arial Narrow" w:hAnsi="Arial Narrow"/>
                <w:sz w:val="24"/>
                <w:szCs w:val="24"/>
              </w:rPr>
            </w:pPr>
          </w:p>
        </w:tc>
      </w:tr>
    </w:tbl>
    <w:p w:rsidR="002B3AE1" w:rsidRDefault="002B3AE1" w:rsidP="002B3AE1">
      <w:pPr>
        <w:ind w:left="720" w:hanging="720"/>
        <w:jc w:val="both"/>
        <w:rPr>
          <w:rFonts w:ascii="Arial Narrow" w:hAnsi="Arial Narrow"/>
          <w:sz w:val="24"/>
          <w:szCs w:val="24"/>
        </w:rPr>
      </w:pPr>
    </w:p>
    <w:p w:rsidR="00DF1797" w:rsidRPr="006424B5" w:rsidRDefault="00DF1797" w:rsidP="00021E3D">
      <w:pPr>
        <w:jc w:val="both"/>
        <w:rPr>
          <w:rFonts w:ascii="Arial Narrow" w:hAnsi="Arial Narrow"/>
          <w:sz w:val="24"/>
          <w:szCs w:val="24"/>
        </w:rPr>
      </w:pPr>
    </w:p>
    <w:p w:rsidR="006111FE" w:rsidRDefault="006111FE" w:rsidP="00CC168E">
      <w:pPr>
        <w:jc w:val="both"/>
        <w:rPr>
          <w:rFonts w:ascii="Arial Narrow" w:hAnsi="Arial Narrow"/>
          <w:sz w:val="24"/>
          <w:szCs w:val="24"/>
        </w:rPr>
      </w:pPr>
    </w:p>
    <w:p w:rsidR="00CF7FD0" w:rsidRPr="008D68A0" w:rsidRDefault="00CF7FD0" w:rsidP="006111FE">
      <w:pPr>
        <w:jc w:val="both"/>
        <w:rPr>
          <w:rFonts w:ascii="Arial Narrow" w:hAnsi="Arial Narrow"/>
          <w:b/>
          <w:sz w:val="24"/>
          <w:szCs w:val="24"/>
          <w:u w:val="single"/>
        </w:rPr>
      </w:pPr>
    </w:p>
    <w:sectPr w:rsidR="00CF7FD0" w:rsidRPr="008D6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9AE721"/>
    <w:multiLevelType w:val="hybridMultilevel"/>
    <w:tmpl w:val="B338585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2F4770"/>
    <w:multiLevelType w:val="hybridMultilevel"/>
    <w:tmpl w:val="951497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0733CC8"/>
    <w:multiLevelType w:val="hybridMultilevel"/>
    <w:tmpl w:val="EEACBBE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nsid w:val="18A65D51"/>
    <w:multiLevelType w:val="hybridMultilevel"/>
    <w:tmpl w:val="4B14CA2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
    <w:nsid w:val="1A375DE4"/>
    <w:multiLevelType w:val="multilevel"/>
    <w:tmpl w:val="7EB42B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DE76662"/>
    <w:multiLevelType w:val="hybridMultilevel"/>
    <w:tmpl w:val="06A42E84"/>
    <w:lvl w:ilvl="0" w:tplc="1C090011">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nsid w:val="2CC077BE"/>
    <w:multiLevelType w:val="hybridMultilevel"/>
    <w:tmpl w:val="0B10BF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4A1D08AC"/>
    <w:multiLevelType w:val="hybridMultilevel"/>
    <w:tmpl w:val="CCE026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5A6E6AEB"/>
    <w:multiLevelType w:val="hybridMultilevel"/>
    <w:tmpl w:val="0DB644E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8"/>
  </w:num>
  <w:num w:numId="5">
    <w:abstractNumId w:val="4"/>
  </w:num>
  <w:num w:numId="6">
    <w:abstractNumId w:val="0"/>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C6"/>
    <w:rsid w:val="00021E3D"/>
    <w:rsid w:val="000B730A"/>
    <w:rsid w:val="000F4425"/>
    <w:rsid w:val="000F746A"/>
    <w:rsid w:val="001128A4"/>
    <w:rsid w:val="001242E9"/>
    <w:rsid w:val="00131C34"/>
    <w:rsid w:val="00150FCE"/>
    <w:rsid w:val="00165916"/>
    <w:rsid w:val="00196D7C"/>
    <w:rsid w:val="002917AD"/>
    <w:rsid w:val="00292715"/>
    <w:rsid w:val="002A50E1"/>
    <w:rsid w:val="002B3AE1"/>
    <w:rsid w:val="002B544F"/>
    <w:rsid w:val="002D3C33"/>
    <w:rsid w:val="003729FE"/>
    <w:rsid w:val="00374FA8"/>
    <w:rsid w:val="003A3858"/>
    <w:rsid w:val="0044463F"/>
    <w:rsid w:val="00462242"/>
    <w:rsid w:val="004D36CA"/>
    <w:rsid w:val="004F5E4B"/>
    <w:rsid w:val="00507DD5"/>
    <w:rsid w:val="00511D6B"/>
    <w:rsid w:val="0052082C"/>
    <w:rsid w:val="005324FB"/>
    <w:rsid w:val="00533C1B"/>
    <w:rsid w:val="00573952"/>
    <w:rsid w:val="005D6A23"/>
    <w:rsid w:val="006111FE"/>
    <w:rsid w:val="00612306"/>
    <w:rsid w:val="00616839"/>
    <w:rsid w:val="006424B5"/>
    <w:rsid w:val="006D538A"/>
    <w:rsid w:val="007259C5"/>
    <w:rsid w:val="00726A27"/>
    <w:rsid w:val="007523C8"/>
    <w:rsid w:val="00780DFE"/>
    <w:rsid w:val="00797EE9"/>
    <w:rsid w:val="00830DB9"/>
    <w:rsid w:val="00847C7C"/>
    <w:rsid w:val="00863584"/>
    <w:rsid w:val="00891F0D"/>
    <w:rsid w:val="008934C1"/>
    <w:rsid w:val="008A54AD"/>
    <w:rsid w:val="008A5DB4"/>
    <w:rsid w:val="008A782A"/>
    <w:rsid w:val="008C12D1"/>
    <w:rsid w:val="008D0F08"/>
    <w:rsid w:val="008D1C4B"/>
    <w:rsid w:val="008D68A0"/>
    <w:rsid w:val="00945984"/>
    <w:rsid w:val="009675E2"/>
    <w:rsid w:val="0097028E"/>
    <w:rsid w:val="00983FCC"/>
    <w:rsid w:val="009B0E9C"/>
    <w:rsid w:val="009B1B64"/>
    <w:rsid w:val="009F2958"/>
    <w:rsid w:val="00A043D5"/>
    <w:rsid w:val="00A16241"/>
    <w:rsid w:val="00A2621A"/>
    <w:rsid w:val="00A32369"/>
    <w:rsid w:val="00A47150"/>
    <w:rsid w:val="00A6622C"/>
    <w:rsid w:val="00A87747"/>
    <w:rsid w:val="00A94FBB"/>
    <w:rsid w:val="00AC1167"/>
    <w:rsid w:val="00B073C6"/>
    <w:rsid w:val="00B273E0"/>
    <w:rsid w:val="00B31AC4"/>
    <w:rsid w:val="00B5564E"/>
    <w:rsid w:val="00B70424"/>
    <w:rsid w:val="00B9048D"/>
    <w:rsid w:val="00BC09C7"/>
    <w:rsid w:val="00BE745D"/>
    <w:rsid w:val="00C50191"/>
    <w:rsid w:val="00C9573B"/>
    <w:rsid w:val="00CC168E"/>
    <w:rsid w:val="00CD429F"/>
    <w:rsid w:val="00CF7FD0"/>
    <w:rsid w:val="00D24054"/>
    <w:rsid w:val="00D5013E"/>
    <w:rsid w:val="00D61D5E"/>
    <w:rsid w:val="00D84D75"/>
    <w:rsid w:val="00D87610"/>
    <w:rsid w:val="00DF0799"/>
    <w:rsid w:val="00DF1797"/>
    <w:rsid w:val="00DF40C9"/>
    <w:rsid w:val="00E1035A"/>
    <w:rsid w:val="00E2180F"/>
    <w:rsid w:val="00E74029"/>
    <w:rsid w:val="00EC08FF"/>
    <w:rsid w:val="00ED6018"/>
    <w:rsid w:val="00EF60D6"/>
    <w:rsid w:val="00F00E9C"/>
    <w:rsid w:val="00F63ACA"/>
    <w:rsid w:val="00F72944"/>
    <w:rsid w:val="00FA0A69"/>
    <w:rsid w:val="00FA0D66"/>
    <w:rsid w:val="00FF0E4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19085-CE84-495B-9BB6-63465765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11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1F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111FE"/>
    <w:pPr>
      <w:ind w:left="720"/>
      <w:contextualSpacing/>
    </w:pPr>
  </w:style>
  <w:style w:type="paragraph" w:customStyle="1" w:styleId="Default">
    <w:name w:val="Default"/>
    <w:rsid w:val="003A385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C1167"/>
    <w:rPr>
      <w:sz w:val="16"/>
      <w:szCs w:val="16"/>
    </w:rPr>
  </w:style>
  <w:style w:type="paragraph" w:styleId="CommentText">
    <w:name w:val="annotation text"/>
    <w:basedOn w:val="Normal"/>
    <w:link w:val="CommentTextChar"/>
    <w:uiPriority w:val="99"/>
    <w:semiHidden/>
    <w:unhideWhenUsed/>
    <w:rsid w:val="00AC1167"/>
    <w:pPr>
      <w:spacing w:line="240" w:lineRule="auto"/>
    </w:pPr>
    <w:rPr>
      <w:sz w:val="20"/>
      <w:szCs w:val="20"/>
    </w:rPr>
  </w:style>
  <w:style w:type="character" w:customStyle="1" w:styleId="CommentTextChar">
    <w:name w:val="Comment Text Char"/>
    <w:basedOn w:val="DefaultParagraphFont"/>
    <w:link w:val="CommentText"/>
    <w:uiPriority w:val="99"/>
    <w:semiHidden/>
    <w:rsid w:val="00AC1167"/>
    <w:rPr>
      <w:sz w:val="20"/>
      <w:szCs w:val="20"/>
    </w:rPr>
  </w:style>
  <w:style w:type="paragraph" w:styleId="CommentSubject">
    <w:name w:val="annotation subject"/>
    <w:basedOn w:val="CommentText"/>
    <w:next w:val="CommentText"/>
    <w:link w:val="CommentSubjectChar"/>
    <w:uiPriority w:val="99"/>
    <w:semiHidden/>
    <w:unhideWhenUsed/>
    <w:rsid w:val="00AC1167"/>
    <w:rPr>
      <w:b/>
      <w:bCs/>
    </w:rPr>
  </w:style>
  <w:style w:type="character" w:customStyle="1" w:styleId="CommentSubjectChar">
    <w:name w:val="Comment Subject Char"/>
    <w:basedOn w:val="CommentTextChar"/>
    <w:link w:val="CommentSubject"/>
    <w:uiPriority w:val="99"/>
    <w:semiHidden/>
    <w:rsid w:val="00AC1167"/>
    <w:rPr>
      <w:b/>
      <w:bCs/>
      <w:sz w:val="20"/>
      <w:szCs w:val="20"/>
    </w:rPr>
  </w:style>
  <w:style w:type="paragraph" w:styleId="BalloonText">
    <w:name w:val="Balloon Text"/>
    <w:basedOn w:val="Normal"/>
    <w:link w:val="BalloonTextChar"/>
    <w:uiPriority w:val="99"/>
    <w:semiHidden/>
    <w:unhideWhenUsed/>
    <w:rsid w:val="00AC1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167"/>
    <w:rPr>
      <w:rFonts w:ascii="Segoe UI" w:hAnsi="Segoe UI" w:cs="Segoe UI"/>
      <w:sz w:val="18"/>
      <w:szCs w:val="18"/>
    </w:rPr>
  </w:style>
  <w:style w:type="paragraph" w:styleId="NoSpacing">
    <w:name w:val="No Spacing"/>
    <w:uiPriority w:val="1"/>
    <w:qFormat/>
    <w:rsid w:val="009B1B64"/>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DF40C9"/>
    <w:rPr>
      <w:color w:val="0563C1" w:themeColor="hyperlink"/>
      <w:u w:val="single"/>
    </w:rPr>
  </w:style>
  <w:style w:type="table" w:styleId="TableGrid">
    <w:name w:val="Table Grid"/>
    <w:basedOn w:val="TableNormal"/>
    <w:uiPriority w:val="39"/>
    <w:rsid w:val="002B3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06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B1DE6-E5A8-47FE-83AD-2FF9D259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Ntakadzeni Tshidada</dc:creator>
  <cp:keywords/>
  <dc:description/>
  <cp:lastModifiedBy>Wadzi Mandivenyi</cp:lastModifiedBy>
  <cp:revision>2</cp:revision>
  <dcterms:created xsi:type="dcterms:W3CDTF">2020-01-24T07:29:00Z</dcterms:created>
  <dcterms:modified xsi:type="dcterms:W3CDTF">2020-01-24T07:29:00Z</dcterms:modified>
</cp:coreProperties>
</file>