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C5D" w:rsidRPr="00543F57" w:rsidRDefault="00405C5D" w:rsidP="00250B33">
      <w:pPr>
        <w:jc w:val="center"/>
        <w:rPr>
          <w:rFonts w:ascii="Arial Narrow" w:hAnsi="Arial Narrow"/>
          <w:b/>
          <w:lang w:val="es-MX"/>
        </w:rPr>
      </w:pPr>
      <w:r w:rsidRPr="00543F57">
        <w:rPr>
          <w:rFonts w:ascii="Arial Narrow" w:hAnsi="Arial Narrow"/>
          <w:b/>
          <w:lang w:val="es-MX"/>
        </w:rPr>
        <w:t>SECRETARÍA DE SALUD</w:t>
      </w:r>
    </w:p>
    <w:p w:rsidR="00405C5D" w:rsidRPr="000F4F5C" w:rsidRDefault="00405C5D" w:rsidP="00405C5D">
      <w:pPr>
        <w:jc w:val="center"/>
        <w:rPr>
          <w:rFonts w:ascii="Arial Narrow" w:hAnsi="Arial Narrow"/>
          <w:b/>
          <w:lang w:val="es-MX"/>
        </w:rPr>
      </w:pPr>
      <w:r w:rsidRPr="000F4F5C">
        <w:rPr>
          <w:rFonts w:ascii="Arial Narrow" w:hAnsi="Arial Narrow"/>
          <w:b/>
          <w:lang w:val="es-MX"/>
        </w:rPr>
        <w:t>COMISIÓN FEDERAL PARA LA PROTECCIÓN CONTRA RIESGOS SANITARIOS</w:t>
      </w:r>
    </w:p>
    <w:p w:rsidR="00405C5D" w:rsidRPr="000F4F5C" w:rsidRDefault="00405C5D" w:rsidP="00405C5D">
      <w:pPr>
        <w:jc w:val="center"/>
        <w:rPr>
          <w:rFonts w:ascii="Arial Narrow" w:hAnsi="Arial Narrow"/>
          <w:b/>
          <w:lang w:val="es-MX"/>
        </w:rPr>
      </w:pPr>
    </w:p>
    <w:p w:rsidR="00405C5D" w:rsidRPr="000F4F5C" w:rsidRDefault="00213BBA" w:rsidP="00405C5D">
      <w:pPr>
        <w:jc w:val="center"/>
        <w:rPr>
          <w:rFonts w:ascii="Arial Narrow" w:hAnsi="Arial Narrow"/>
          <w:b/>
          <w:lang w:val="es-MX"/>
        </w:rPr>
      </w:pPr>
      <w:r w:rsidRPr="000F4F5C">
        <w:rPr>
          <w:rFonts w:ascii="Arial Narrow" w:hAnsi="Arial Narrow"/>
          <w:b/>
          <w:lang w:val="es-MX"/>
        </w:rPr>
        <w:t xml:space="preserve">RESUMEN </w:t>
      </w:r>
      <w:r w:rsidR="00405C5D" w:rsidRPr="000F4F5C">
        <w:rPr>
          <w:rFonts w:ascii="Arial Narrow" w:hAnsi="Arial Narrow"/>
          <w:b/>
          <w:lang w:val="es-MX"/>
        </w:rPr>
        <w:t>DE EVALUACIÓN DE LA</w:t>
      </w:r>
    </w:p>
    <w:p w:rsidR="00405C5D" w:rsidRPr="000F4F5C" w:rsidRDefault="00405C5D" w:rsidP="00405C5D">
      <w:pPr>
        <w:jc w:val="center"/>
        <w:rPr>
          <w:rFonts w:ascii="Arial Narrow" w:hAnsi="Arial Narrow"/>
          <w:b/>
          <w:lang w:val="es-MX"/>
        </w:rPr>
      </w:pPr>
      <w:r w:rsidRPr="000F4F5C">
        <w:rPr>
          <w:rFonts w:ascii="Arial Narrow" w:hAnsi="Arial Narrow"/>
          <w:b/>
          <w:lang w:val="es-MX"/>
        </w:rPr>
        <w:t>INOCUI</w:t>
      </w:r>
      <w:r w:rsidR="00213BBA" w:rsidRPr="000F4F5C">
        <w:rPr>
          <w:rFonts w:ascii="Arial Narrow" w:hAnsi="Arial Narrow"/>
          <w:b/>
          <w:lang w:val="es-MX"/>
        </w:rPr>
        <w:t>DAD DE LOS ORGANISMOS VIVOS MODIFICADOS</w:t>
      </w:r>
    </w:p>
    <w:p w:rsidR="00E70328" w:rsidRPr="000F4F5C" w:rsidRDefault="00E70328" w:rsidP="00E70328">
      <w:pPr>
        <w:jc w:val="center"/>
        <w:rPr>
          <w:rFonts w:ascii="Arial Narrow" w:hAnsi="Arial Narrow" w:cs="Arial"/>
          <w:b/>
          <w:lang w:val="es-MX"/>
        </w:rPr>
      </w:pPr>
    </w:p>
    <w:tbl>
      <w:tblPr>
        <w:tblW w:w="10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42"/>
      </w:tblGrid>
      <w:tr w:rsidR="00E70328" w:rsidRPr="00BD7231" w:rsidTr="00914764">
        <w:trPr>
          <w:cantSplit/>
        </w:trPr>
        <w:tc>
          <w:tcPr>
            <w:tcW w:w="10542" w:type="dxa"/>
          </w:tcPr>
          <w:p w:rsidR="00E70328" w:rsidRPr="00BD7231" w:rsidRDefault="00934E1E" w:rsidP="00E70328">
            <w:pPr>
              <w:jc w:val="both"/>
              <w:rPr>
                <w:rFonts w:ascii="Arial Narrow" w:hAnsi="Arial Narrow"/>
                <w:lang w:val="es-MX"/>
              </w:rPr>
            </w:pPr>
            <w:r w:rsidRPr="00BD7231">
              <w:rPr>
                <w:rFonts w:ascii="Arial Narrow" w:hAnsi="Arial Narrow"/>
                <w:b/>
                <w:lang w:val="es-MX"/>
              </w:rPr>
              <w:t>Fecha de evaluación</w:t>
            </w:r>
          </w:p>
          <w:p w:rsidR="00E70328" w:rsidRPr="00BD7231" w:rsidRDefault="006E671E" w:rsidP="00A66C85">
            <w:pPr>
              <w:jc w:val="both"/>
              <w:rPr>
                <w:rFonts w:ascii="Arial Narrow" w:hAnsi="Arial Narrow"/>
                <w:lang w:val="es-MX"/>
              </w:rPr>
            </w:pPr>
            <w:r w:rsidRPr="00BD7231">
              <w:rPr>
                <w:rFonts w:ascii="Arial Narrow" w:hAnsi="Arial Narrow"/>
                <w:lang w:val="es-MX"/>
              </w:rPr>
              <w:t>22</w:t>
            </w:r>
            <w:r w:rsidR="00E70328" w:rsidRPr="00BD7231">
              <w:rPr>
                <w:rFonts w:ascii="Arial Narrow" w:hAnsi="Arial Narrow"/>
                <w:lang w:val="es-MX"/>
              </w:rPr>
              <w:t>/</w:t>
            </w:r>
            <w:r w:rsidRPr="00BD7231">
              <w:rPr>
                <w:rFonts w:ascii="Arial Narrow" w:hAnsi="Arial Narrow"/>
                <w:lang w:val="es-MX"/>
              </w:rPr>
              <w:t>N</w:t>
            </w:r>
            <w:r w:rsidR="00934E1E" w:rsidRPr="00BD7231">
              <w:rPr>
                <w:rFonts w:ascii="Arial Narrow" w:hAnsi="Arial Narrow"/>
                <w:lang w:val="es-MX"/>
              </w:rPr>
              <w:t>o</w:t>
            </w:r>
            <w:r w:rsidRPr="00BD7231">
              <w:rPr>
                <w:rFonts w:ascii="Arial Narrow" w:hAnsi="Arial Narrow"/>
                <w:lang w:val="es-MX"/>
              </w:rPr>
              <w:t>viembre/2013</w:t>
            </w:r>
          </w:p>
        </w:tc>
      </w:tr>
    </w:tbl>
    <w:p w:rsidR="00405C5D" w:rsidRPr="00BD7231" w:rsidRDefault="00405C5D" w:rsidP="00405C5D">
      <w:pPr>
        <w:rPr>
          <w:rFonts w:ascii="Arial Narrow" w:hAnsi="Arial Narrow"/>
          <w:color w:val="FF0000"/>
          <w:lang w:val="es-MX"/>
        </w:rPr>
      </w:pPr>
    </w:p>
    <w:p w:rsidR="00405C5D" w:rsidRPr="00BD7231" w:rsidRDefault="00405C5D" w:rsidP="00405C5D">
      <w:pPr>
        <w:keepNext/>
        <w:outlineLvl w:val="0"/>
        <w:rPr>
          <w:rFonts w:ascii="Arial Narrow" w:hAnsi="Arial Narrow"/>
          <w:b/>
          <w:bCs/>
          <w:lang w:val="es-MX"/>
        </w:rPr>
      </w:pPr>
      <w:r w:rsidRPr="00BD7231">
        <w:rPr>
          <w:rFonts w:ascii="Arial Narrow" w:hAnsi="Arial Narrow"/>
          <w:b/>
          <w:bCs/>
          <w:lang w:val="es-MX"/>
        </w:rPr>
        <w:t>Nombre del producto genéticamente modificado y del cultivo receptor: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42"/>
      </w:tblGrid>
      <w:tr w:rsidR="00405C5D" w:rsidRPr="00BD7231" w:rsidTr="00E702B7">
        <w:tc>
          <w:tcPr>
            <w:tcW w:w="10542" w:type="dxa"/>
          </w:tcPr>
          <w:p w:rsidR="002E0FA5" w:rsidRPr="00BD7231" w:rsidRDefault="002E0FA5" w:rsidP="002E0FA5">
            <w:pPr>
              <w:pStyle w:val="Default"/>
              <w:rPr>
                <w:rFonts w:ascii="Arial Narrow" w:hAnsi="Arial Narrow"/>
                <w:lang w:eastAsia="es-MX"/>
              </w:rPr>
            </w:pPr>
            <w:r w:rsidRPr="00BD7231">
              <w:rPr>
                <w:rFonts w:ascii="Arial Narrow" w:hAnsi="Arial Narrow"/>
                <w:lang w:eastAsia="es-MX"/>
              </w:rPr>
              <w:t>Maíz (</w:t>
            </w:r>
            <w:r w:rsidRPr="00BD7231">
              <w:rPr>
                <w:rFonts w:ascii="Arial Narrow" w:hAnsi="Arial Narrow"/>
                <w:i/>
                <w:lang w:eastAsia="es-MX"/>
              </w:rPr>
              <w:t xml:space="preserve">Zea </w:t>
            </w:r>
            <w:proofErr w:type="spellStart"/>
            <w:r w:rsidRPr="00BD7231">
              <w:rPr>
                <w:rFonts w:ascii="Arial Narrow" w:hAnsi="Arial Narrow"/>
                <w:i/>
                <w:lang w:eastAsia="es-MX"/>
              </w:rPr>
              <w:t>mays</w:t>
            </w:r>
            <w:proofErr w:type="spellEnd"/>
            <w:r w:rsidRPr="00BD7231">
              <w:rPr>
                <w:rFonts w:ascii="Arial Narrow" w:hAnsi="Arial Narrow"/>
                <w:lang w:eastAsia="es-MX"/>
              </w:rPr>
              <w:t>) genéticamente modificado resistente a insectos lepidópteros y coleópteros, y tolerante a la actividad herbicida del glifosato y glufosinato de amonio. Nombre común: Bt11 x MIR162 x MIR604 x TC1507 x 5307 x GA21.</w:t>
            </w:r>
          </w:p>
          <w:p w:rsidR="00A80657" w:rsidRPr="00BD7231" w:rsidRDefault="002E0FA5" w:rsidP="002E0FA5">
            <w:pPr>
              <w:rPr>
                <w:rFonts w:ascii="Arial Narrow" w:hAnsi="Arial Narrow" w:cs="Arial"/>
                <w:color w:val="000000"/>
                <w:lang w:val="es-MX"/>
              </w:rPr>
            </w:pPr>
            <w:r w:rsidRPr="00BD7231">
              <w:rPr>
                <w:rFonts w:ascii="Arial Narrow" w:hAnsi="Arial Narrow"/>
                <w:lang w:eastAsia="es-MX"/>
              </w:rPr>
              <w:t>Identificador OECD:SYN-BtØ11-1 x SYN-IR162-4 x SYN-IR6Ø4-5 x DAS-Ø15Ø7-1 x SYN-Ø53Ø7-1 x MON-ØØØ21-9</w:t>
            </w:r>
          </w:p>
        </w:tc>
      </w:tr>
    </w:tbl>
    <w:p w:rsidR="00545C66" w:rsidRPr="00BD7231" w:rsidRDefault="00545C66" w:rsidP="00405C5D">
      <w:pPr>
        <w:tabs>
          <w:tab w:val="left" w:pos="7106"/>
          <w:tab w:val="left" w:pos="7480"/>
        </w:tabs>
        <w:ind w:right="-126"/>
        <w:jc w:val="both"/>
        <w:rPr>
          <w:rFonts w:ascii="Arial Narrow" w:hAnsi="Arial Narrow"/>
          <w:color w:val="FF0000"/>
          <w:lang w:val="es-MX"/>
        </w:rPr>
      </w:pPr>
    </w:p>
    <w:p w:rsidR="00405C5D" w:rsidRPr="000F4F5C" w:rsidRDefault="00405C5D" w:rsidP="00405C5D">
      <w:pPr>
        <w:tabs>
          <w:tab w:val="left" w:pos="7106"/>
          <w:tab w:val="left" w:pos="7480"/>
        </w:tabs>
        <w:ind w:right="-126"/>
        <w:jc w:val="both"/>
        <w:rPr>
          <w:rFonts w:ascii="Arial Narrow" w:hAnsi="Arial Narrow"/>
          <w:b/>
          <w:bCs/>
          <w:lang w:val="es-MX"/>
        </w:rPr>
      </w:pPr>
      <w:r w:rsidRPr="00BD7231">
        <w:rPr>
          <w:rFonts w:ascii="Arial Narrow" w:hAnsi="Arial Narrow"/>
          <w:b/>
          <w:bCs/>
          <w:lang w:val="es-MX"/>
        </w:rPr>
        <w:t>Información presentada (la documentación deberá presentarse en español y podrá estar contenida en archivo electrónico):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81"/>
        <w:gridCol w:w="561"/>
      </w:tblGrid>
      <w:tr w:rsidR="00405C5D" w:rsidRPr="000F4F5C" w:rsidTr="00E702B7">
        <w:tc>
          <w:tcPr>
            <w:tcW w:w="9981" w:type="dxa"/>
          </w:tcPr>
          <w:p w:rsidR="00405C5D" w:rsidRPr="000F4F5C" w:rsidRDefault="00405C5D" w:rsidP="00405C5D">
            <w:pPr>
              <w:jc w:val="both"/>
              <w:rPr>
                <w:rFonts w:ascii="Arial Narrow" w:hAnsi="Arial Narrow"/>
                <w:lang w:val="es-MX"/>
              </w:rPr>
            </w:pPr>
            <w:r w:rsidRPr="000F4F5C">
              <w:rPr>
                <w:rFonts w:ascii="Arial Narrow" w:hAnsi="Arial Narrow"/>
                <w:lang w:val="es-MX"/>
              </w:rPr>
              <w:t>1) Descripción de aplicaciones o usos propuestos del alimento modificado</w:t>
            </w:r>
          </w:p>
        </w:tc>
        <w:tc>
          <w:tcPr>
            <w:tcW w:w="561" w:type="dxa"/>
          </w:tcPr>
          <w:p w:rsidR="00405C5D" w:rsidRPr="000F4F5C" w:rsidRDefault="00CA23AA" w:rsidP="00405C5D">
            <w:pPr>
              <w:jc w:val="center"/>
              <w:rPr>
                <w:rFonts w:ascii="Arial Narrow" w:hAnsi="Arial Narrow"/>
                <w:b/>
                <w:lang w:val="es-MX"/>
              </w:rPr>
            </w:pPr>
            <w:r w:rsidRPr="000F4F5C">
              <w:rPr>
                <w:rFonts w:ascii="Arial Narrow" w:hAnsi="Arial Narrow"/>
                <w:b/>
                <w:lang w:val="es-MX"/>
              </w:rPr>
              <w:sym w:font="Wingdings" w:char="F0FC"/>
            </w:r>
          </w:p>
        </w:tc>
      </w:tr>
      <w:tr w:rsidR="00405C5D" w:rsidRPr="000F4F5C" w:rsidTr="00E702B7">
        <w:tc>
          <w:tcPr>
            <w:tcW w:w="9981" w:type="dxa"/>
          </w:tcPr>
          <w:p w:rsidR="00405C5D" w:rsidRPr="000F4F5C" w:rsidRDefault="00405C5D" w:rsidP="00405C5D">
            <w:pPr>
              <w:jc w:val="both"/>
              <w:rPr>
                <w:rFonts w:ascii="Arial Narrow" w:hAnsi="Arial Narrow"/>
                <w:lang w:val="es-MX"/>
              </w:rPr>
            </w:pPr>
            <w:r w:rsidRPr="000F4F5C">
              <w:rPr>
                <w:rFonts w:ascii="Arial Narrow" w:hAnsi="Arial Narrow"/>
                <w:lang w:val="es-MX"/>
              </w:rPr>
              <w:t>2) Información concerniente a fuente, identidad y función del material genético introducido, incluyendo pruebas de estabilidad</w:t>
            </w:r>
          </w:p>
        </w:tc>
        <w:tc>
          <w:tcPr>
            <w:tcW w:w="561" w:type="dxa"/>
          </w:tcPr>
          <w:p w:rsidR="00405C5D" w:rsidRPr="000F4F5C" w:rsidRDefault="00CA23AA" w:rsidP="00405C5D">
            <w:pPr>
              <w:jc w:val="center"/>
              <w:rPr>
                <w:rFonts w:ascii="Arial Narrow" w:hAnsi="Arial Narrow"/>
                <w:b/>
                <w:lang w:val="es-MX"/>
              </w:rPr>
            </w:pPr>
            <w:r w:rsidRPr="000F4F5C">
              <w:rPr>
                <w:rFonts w:ascii="Arial Narrow" w:hAnsi="Arial Narrow"/>
                <w:b/>
                <w:lang w:val="es-MX"/>
              </w:rPr>
              <w:sym w:font="Wingdings" w:char="F0FC"/>
            </w:r>
          </w:p>
        </w:tc>
      </w:tr>
      <w:tr w:rsidR="00405C5D" w:rsidRPr="000F4F5C" w:rsidTr="00E702B7">
        <w:tc>
          <w:tcPr>
            <w:tcW w:w="9981" w:type="dxa"/>
          </w:tcPr>
          <w:p w:rsidR="00405C5D" w:rsidRPr="000F4F5C" w:rsidRDefault="00405C5D" w:rsidP="00405C5D">
            <w:pPr>
              <w:jc w:val="both"/>
              <w:rPr>
                <w:rFonts w:ascii="Arial Narrow" w:hAnsi="Arial Narrow"/>
                <w:lang w:val="es-MX"/>
              </w:rPr>
            </w:pPr>
            <w:r w:rsidRPr="000F4F5C">
              <w:rPr>
                <w:rFonts w:ascii="Arial Narrow" w:hAnsi="Arial Narrow"/>
                <w:lang w:val="es-MX"/>
              </w:rPr>
              <w:t>3) Información sobre la descripción de la modificación genética y su caracterización (descripción del método de transformación genética, caracterización y descripción de los materiales genéticos insertados)</w:t>
            </w:r>
          </w:p>
        </w:tc>
        <w:tc>
          <w:tcPr>
            <w:tcW w:w="561" w:type="dxa"/>
          </w:tcPr>
          <w:p w:rsidR="00405C5D" w:rsidRPr="000F4F5C" w:rsidRDefault="00CA23AA" w:rsidP="00405C5D">
            <w:pPr>
              <w:jc w:val="center"/>
              <w:rPr>
                <w:rFonts w:ascii="Arial Narrow" w:hAnsi="Arial Narrow"/>
                <w:b/>
                <w:lang w:val="es-MX"/>
              </w:rPr>
            </w:pPr>
            <w:r w:rsidRPr="000F4F5C">
              <w:rPr>
                <w:rFonts w:ascii="Arial Narrow" w:hAnsi="Arial Narrow"/>
                <w:b/>
                <w:lang w:val="es-MX"/>
              </w:rPr>
              <w:sym w:font="Wingdings" w:char="F0FC"/>
            </w:r>
          </w:p>
        </w:tc>
      </w:tr>
      <w:tr w:rsidR="00405C5D" w:rsidRPr="000F4F5C" w:rsidTr="00E702B7">
        <w:tc>
          <w:tcPr>
            <w:tcW w:w="9981" w:type="dxa"/>
          </w:tcPr>
          <w:p w:rsidR="00405C5D" w:rsidRPr="000F4F5C" w:rsidRDefault="00405C5D" w:rsidP="00405C5D">
            <w:pPr>
              <w:jc w:val="both"/>
              <w:rPr>
                <w:rFonts w:ascii="Arial Narrow" w:hAnsi="Arial Narrow"/>
                <w:lang w:val="es-MX"/>
              </w:rPr>
            </w:pPr>
            <w:r w:rsidRPr="000F4F5C">
              <w:rPr>
                <w:rFonts w:ascii="Arial Narrow" w:hAnsi="Arial Narrow"/>
                <w:lang w:val="es-MX"/>
              </w:rPr>
              <w:t>4) Información concerniente a la identidad y función de la expresión de los productos modificados, incluyendo un estimado de la concentración de la modificación en el cultivo modificado o su alimento derivado</w:t>
            </w:r>
          </w:p>
        </w:tc>
        <w:tc>
          <w:tcPr>
            <w:tcW w:w="561" w:type="dxa"/>
          </w:tcPr>
          <w:p w:rsidR="00405C5D" w:rsidRPr="000F4F5C" w:rsidRDefault="00CA23AA" w:rsidP="00405C5D">
            <w:pPr>
              <w:jc w:val="center"/>
              <w:rPr>
                <w:rFonts w:ascii="Arial Narrow" w:hAnsi="Arial Narrow"/>
                <w:b/>
                <w:lang w:val="es-MX"/>
              </w:rPr>
            </w:pPr>
            <w:r w:rsidRPr="000F4F5C">
              <w:rPr>
                <w:rFonts w:ascii="Arial Narrow" w:hAnsi="Arial Narrow"/>
                <w:b/>
                <w:lang w:val="es-MX"/>
              </w:rPr>
              <w:sym w:font="Wingdings" w:char="F0FC"/>
            </w:r>
          </w:p>
        </w:tc>
      </w:tr>
      <w:tr w:rsidR="00405C5D" w:rsidRPr="000F4F5C" w:rsidTr="00E702B7">
        <w:tc>
          <w:tcPr>
            <w:tcW w:w="9981" w:type="dxa"/>
          </w:tcPr>
          <w:p w:rsidR="00405C5D" w:rsidRPr="000F4F5C" w:rsidRDefault="00405C5D" w:rsidP="00405C5D">
            <w:pPr>
              <w:jc w:val="both"/>
              <w:rPr>
                <w:rFonts w:ascii="Arial Narrow" w:hAnsi="Arial Narrow"/>
                <w:lang w:val="es-MX"/>
              </w:rPr>
            </w:pPr>
            <w:r w:rsidRPr="000F4F5C">
              <w:rPr>
                <w:rFonts w:ascii="Arial Narrow" w:hAnsi="Arial Narrow"/>
                <w:lang w:val="es-MX"/>
              </w:rPr>
              <w:t>5) Información concerniente a cualquier alergenicidad esperada o conocida de la expresión del producto y el fundamento para concluir que el alimento que la contiene pueda ser consumido con seguridad</w:t>
            </w:r>
          </w:p>
        </w:tc>
        <w:tc>
          <w:tcPr>
            <w:tcW w:w="561" w:type="dxa"/>
          </w:tcPr>
          <w:p w:rsidR="00405C5D" w:rsidRPr="000F4F5C" w:rsidRDefault="00CA23AA" w:rsidP="00405C5D">
            <w:pPr>
              <w:jc w:val="center"/>
              <w:rPr>
                <w:rFonts w:ascii="Arial Narrow" w:hAnsi="Arial Narrow"/>
                <w:b/>
                <w:lang w:val="es-MX"/>
              </w:rPr>
            </w:pPr>
            <w:r w:rsidRPr="000F4F5C">
              <w:rPr>
                <w:rFonts w:ascii="Arial Narrow" w:hAnsi="Arial Narrow"/>
                <w:b/>
                <w:lang w:val="es-MX"/>
              </w:rPr>
              <w:sym w:font="Wingdings" w:char="F0FC"/>
            </w:r>
          </w:p>
        </w:tc>
      </w:tr>
      <w:tr w:rsidR="00405C5D" w:rsidRPr="000F4F5C" w:rsidTr="00E702B7">
        <w:tc>
          <w:tcPr>
            <w:tcW w:w="9981" w:type="dxa"/>
          </w:tcPr>
          <w:p w:rsidR="00405C5D" w:rsidRPr="000F4F5C" w:rsidRDefault="00405C5D" w:rsidP="00405C5D">
            <w:pPr>
              <w:jc w:val="both"/>
              <w:rPr>
                <w:rFonts w:ascii="Arial Narrow" w:hAnsi="Arial Narrow"/>
                <w:lang w:val="es-MX"/>
              </w:rPr>
            </w:pPr>
            <w:r w:rsidRPr="000F4F5C">
              <w:rPr>
                <w:rFonts w:ascii="Arial Narrow" w:hAnsi="Arial Narrow"/>
                <w:lang w:val="es-MX"/>
              </w:rPr>
              <w:t>6) Información comparando la composición o características de los alimentos modificados con los alimentos derivados de la variedad original u otras variedades comúnmente consumidas, con particular énfasis sobre los nutrientes importantes y tóxicos que de manera natural puedan presentarse en el alimento</w:t>
            </w:r>
          </w:p>
        </w:tc>
        <w:tc>
          <w:tcPr>
            <w:tcW w:w="561" w:type="dxa"/>
          </w:tcPr>
          <w:p w:rsidR="00405C5D" w:rsidRPr="000F4F5C" w:rsidRDefault="00CA23AA" w:rsidP="00405C5D">
            <w:pPr>
              <w:jc w:val="center"/>
              <w:rPr>
                <w:rFonts w:ascii="Arial Narrow" w:hAnsi="Arial Narrow"/>
                <w:b/>
                <w:lang w:val="es-MX"/>
              </w:rPr>
            </w:pPr>
            <w:r w:rsidRPr="000F4F5C">
              <w:rPr>
                <w:rFonts w:ascii="Arial Narrow" w:hAnsi="Arial Narrow"/>
                <w:b/>
                <w:lang w:val="es-MX"/>
              </w:rPr>
              <w:sym w:font="Wingdings" w:char="F0FC"/>
            </w:r>
          </w:p>
        </w:tc>
      </w:tr>
      <w:tr w:rsidR="00405C5D" w:rsidRPr="000F4F5C" w:rsidTr="00E702B7">
        <w:tc>
          <w:tcPr>
            <w:tcW w:w="9981" w:type="dxa"/>
          </w:tcPr>
          <w:p w:rsidR="00405C5D" w:rsidRPr="000F4F5C" w:rsidRDefault="00405C5D" w:rsidP="00405C5D">
            <w:pPr>
              <w:jc w:val="both"/>
              <w:rPr>
                <w:rFonts w:ascii="Arial Narrow" w:hAnsi="Arial Narrow"/>
                <w:lang w:val="es-MX"/>
              </w:rPr>
            </w:pPr>
            <w:r w:rsidRPr="000F4F5C">
              <w:rPr>
                <w:rFonts w:ascii="Arial Narrow" w:hAnsi="Arial Narrow"/>
                <w:lang w:val="es-MX"/>
              </w:rPr>
              <w:t>7) Información adicional (relevante para la seguridad y evaluación nutricional del alimento modificado)</w:t>
            </w:r>
          </w:p>
        </w:tc>
        <w:tc>
          <w:tcPr>
            <w:tcW w:w="561" w:type="dxa"/>
          </w:tcPr>
          <w:p w:rsidR="00405C5D" w:rsidRPr="000F4F5C" w:rsidRDefault="00CA23AA" w:rsidP="00405C5D">
            <w:pPr>
              <w:jc w:val="center"/>
              <w:rPr>
                <w:rFonts w:ascii="Arial Narrow" w:hAnsi="Arial Narrow"/>
                <w:b/>
                <w:lang w:val="es-MX"/>
              </w:rPr>
            </w:pPr>
            <w:r w:rsidRPr="000F4F5C">
              <w:rPr>
                <w:rFonts w:ascii="Arial Narrow" w:hAnsi="Arial Narrow"/>
                <w:b/>
                <w:lang w:val="es-MX"/>
              </w:rPr>
              <w:sym w:font="Wingdings" w:char="F0FC"/>
            </w:r>
          </w:p>
        </w:tc>
      </w:tr>
      <w:tr w:rsidR="00405C5D" w:rsidRPr="000F4F5C" w:rsidTr="00E702B7">
        <w:tc>
          <w:tcPr>
            <w:tcW w:w="9981" w:type="dxa"/>
          </w:tcPr>
          <w:p w:rsidR="00405C5D" w:rsidRPr="000F4F5C" w:rsidRDefault="00405C5D" w:rsidP="00405C5D">
            <w:pPr>
              <w:jc w:val="both"/>
              <w:rPr>
                <w:rFonts w:ascii="Arial Narrow" w:hAnsi="Arial Narrow"/>
                <w:lang w:val="es-MX"/>
              </w:rPr>
            </w:pPr>
            <w:r w:rsidRPr="000F4F5C">
              <w:rPr>
                <w:rFonts w:ascii="Arial Narrow" w:hAnsi="Arial Narrow"/>
                <w:lang w:val="es-MX"/>
              </w:rPr>
              <w:t>8) Autorizaciones emitidas por otros países del producto para consumo humano (copia)</w:t>
            </w:r>
          </w:p>
        </w:tc>
        <w:tc>
          <w:tcPr>
            <w:tcW w:w="561" w:type="dxa"/>
          </w:tcPr>
          <w:p w:rsidR="00405C5D" w:rsidRPr="000F4F5C" w:rsidRDefault="005237CE" w:rsidP="008E20E2">
            <w:pPr>
              <w:jc w:val="center"/>
              <w:rPr>
                <w:rFonts w:ascii="Arial Narrow" w:hAnsi="Arial Narrow"/>
                <w:b/>
                <w:lang w:val="es-MX"/>
              </w:rPr>
            </w:pPr>
            <w:r w:rsidRPr="000F4F5C">
              <w:rPr>
                <w:rFonts w:ascii="Arial Narrow" w:hAnsi="Arial Narrow"/>
                <w:b/>
                <w:lang w:val="es-MX"/>
              </w:rPr>
              <w:sym w:font="Wingdings" w:char="F0FC"/>
            </w:r>
          </w:p>
        </w:tc>
      </w:tr>
    </w:tbl>
    <w:p w:rsidR="006A4C1F" w:rsidRPr="000F4F5C" w:rsidRDefault="006A4C1F" w:rsidP="006A4C1F">
      <w:pPr>
        <w:jc w:val="both"/>
        <w:rPr>
          <w:rFonts w:ascii="Arial Narrow" w:hAnsi="Arial Narrow"/>
          <w:color w:val="FF0000"/>
          <w:lang w:val="es-MX"/>
        </w:rPr>
      </w:pPr>
    </w:p>
    <w:p w:rsidR="006A4C1F" w:rsidRPr="00BD7231" w:rsidRDefault="006A4C1F" w:rsidP="006A4C1F">
      <w:pPr>
        <w:keepNext/>
        <w:jc w:val="both"/>
        <w:outlineLvl w:val="0"/>
        <w:rPr>
          <w:rFonts w:ascii="Arial Narrow" w:hAnsi="Arial Narrow"/>
          <w:b/>
          <w:bCs/>
          <w:lang w:val="es-MX"/>
        </w:rPr>
      </w:pPr>
      <w:r w:rsidRPr="00BD7231">
        <w:rPr>
          <w:rFonts w:ascii="Arial Narrow" w:hAnsi="Arial Narrow"/>
          <w:b/>
          <w:bCs/>
          <w:lang w:val="es-MX"/>
        </w:rPr>
        <w:t>Usos propuestos: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42"/>
      </w:tblGrid>
      <w:tr w:rsidR="006A4C1F" w:rsidRPr="00BD7231" w:rsidTr="00E702B7">
        <w:tc>
          <w:tcPr>
            <w:tcW w:w="10542" w:type="dxa"/>
          </w:tcPr>
          <w:p w:rsidR="006A4C1F" w:rsidRPr="00BD7231" w:rsidRDefault="00CF6223" w:rsidP="00915691">
            <w:pPr>
              <w:jc w:val="both"/>
              <w:rPr>
                <w:rFonts w:ascii="Arial Narrow" w:hAnsi="Arial Narrow"/>
                <w:color w:val="FF0000"/>
                <w:lang w:val="es-MX"/>
              </w:rPr>
            </w:pPr>
            <w:r w:rsidRPr="00BD7231">
              <w:rPr>
                <w:rFonts w:ascii="Arial Narrow" w:hAnsi="Arial Narrow"/>
                <w:lang w:val="es-MX"/>
              </w:rPr>
              <w:t xml:space="preserve">Para ser procesado y usado en los alimentos de consumo humano y animal, forraje y productos industriales en la misma forma como los productos obtenidos con el </w:t>
            </w:r>
            <w:r w:rsidR="00915691" w:rsidRPr="00BD7231">
              <w:rPr>
                <w:rFonts w:ascii="Arial Narrow" w:hAnsi="Arial Narrow"/>
                <w:lang w:val="es-MX"/>
              </w:rPr>
              <w:t xml:space="preserve">maíz </w:t>
            </w:r>
            <w:r w:rsidRPr="00BD7231">
              <w:rPr>
                <w:rFonts w:ascii="Arial Narrow" w:hAnsi="Arial Narrow"/>
                <w:lang w:val="es-MX"/>
              </w:rPr>
              <w:t>convencional.</w:t>
            </w:r>
          </w:p>
        </w:tc>
      </w:tr>
    </w:tbl>
    <w:p w:rsidR="006A4C1F" w:rsidRPr="00BD7231" w:rsidRDefault="006A4C1F" w:rsidP="006A4C1F">
      <w:pPr>
        <w:jc w:val="both"/>
        <w:rPr>
          <w:rFonts w:ascii="Arial Narrow" w:hAnsi="Arial Narrow"/>
          <w:color w:val="FF0000"/>
          <w:lang w:val="es-MX"/>
        </w:rPr>
      </w:pPr>
    </w:p>
    <w:p w:rsidR="006A4C1F" w:rsidRPr="00BD7231" w:rsidRDefault="006A4C1F" w:rsidP="006A4C1F">
      <w:pPr>
        <w:keepNext/>
        <w:jc w:val="both"/>
        <w:outlineLvl w:val="0"/>
        <w:rPr>
          <w:rFonts w:ascii="Arial Narrow" w:hAnsi="Arial Narrow"/>
          <w:b/>
          <w:bCs/>
          <w:lang w:val="es-MX"/>
        </w:rPr>
      </w:pPr>
      <w:r w:rsidRPr="00BD7231">
        <w:rPr>
          <w:rFonts w:ascii="Arial Narrow" w:hAnsi="Arial Narrow"/>
          <w:b/>
          <w:bCs/>
          <w:lang w:val="es-MX"/>
        </w:rPr>
        <w:t>Descripción del producto de transformación: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42"/>
      </w:tblGrid>
      <w:tr w:rsidR="00373332" w:rsidRPr="00BD7231" w:rsidTr="00E702B7">
        <w:tc>
          <w:tcPr>
            <w:tcW w:w="10542" w:type="dxa"/>
          </w:tcPr>
          <w:p w:rsidR="002E0FA5" w:rsidRPr="00BD7231" w:rsidRDefault="002E0FA5" w:rsidP="002E0FA5">
            <w:pPr>
              <w:jc w:val="both"/>
              <w:rPr>
                <w:rFonts w:ascii="Arial Narrow" w:hAnsi="Arial Narrow"/>
                <w:b/>
              </w:rPr>
            </w:pPr>
            <w:r w:rsidRPr="00BD7231">
              <w:rPr>
                <w:rFonts w:ascii="Arial Narrow" w:hAnsi="Arial Narrow"/>
                <w:b/>
              </w:rPr>
              <w:t>Bt11</w:t>
            </w:r>
          </w:p>
          <w:p w:rsidR="002E0FA5" w:rsidRPr="00BD7231" w:rsidRDefault="002E0FA5" w:rsidP="002E0FA5">
            <w:pPr>
              <w:jc w:val="both"/>
              <w:rPr>
                <w:rFonts w:ascii="Arial Narrow" w:hAnsi="Arial Narrow"/>
              </w:rPr>
            </w:pPr>
            <w:r w:rsidRPr="00BD7231">
              <w:rPr>
                <w:rFonts w:ascii="Arial Narrow" w:hAnsi="Arial Narrow"/>
                <w:lang w:val="es-MX"/>
              </w:rPr>
              <w:t xml:space="preserve">El maíz evento Bt11 se modificó mediante la transformación directa de </w:t>
            </w:r>
            <w:proofErr w:type="spellStart"/>
            <w:r w:rsidRPr="00BD7231">
              <w:rPr>
                <w:rFonts w:ascii="Arial Narrow" w:hAnsi="Arial Narrow"/>
                <w:lang w:val="es-MX"/>
              </w:rPr>
              <w:t>protoplastos</w:t>
            </w:r>
            <w:proofErr w:type="spellEnd"/>
            <w:r w:rsidRPr="00BD7231">
              <w:rPr>
                <w:rFonts w:ascii="Arial Narrow" w:hAnsi="Arial Narrow"/>
                <w:lang w:val="es-MX"/>
              </w:rPr>
              <w:t xml:space="preserve"> vegetales de la línea </w:t>
            </w:r>
            <w:proofErr w:type="spellStart"/>
            <w:r w:rsidRPr="00BD7231">
              <w:rPr>
                <w:rFonts w:ascii="Arial Narrow" w:hAnsi="Arial Narrow"/>
                <w:lang w:val="es-MX"/>
              </w:rPr>
              <w:t>endocriada</w:t>
            </w:r>
            <w:proofErr w:type="spellEnd"/>
            <w:r w:rsidRPr="00BD7231">
              <w:rPr>
                <w:rFonts w:ascii="Arial Narrow" w:hAnsi="Arial Narrow"/>
                <w:lang w:val="es-MX"/>
              </w:rPr>
              <w:t xml:space="preserve"> de maíz H8540 con regeneración en un medio de cultivo. El </w:t>
            </w:r>
            <w:r w:rsidR="003F3B8D" w:rsidRPr="00BD7231">
              <w:rPr>
                <w:rFonts w:ascii="Arial Narrow" w:hAnsi="Arial Narrow"/>
              </w:rPr>
              <w:t>vector</w:t>
            </w:r>
            <w:r w:rsidRPr="00BD7231">
              <w:rPr>
                <w:rFonts w:ascii="Arial Narrow" w:hAnsi="Arial Narrow"/>
              </w:rPr>
              <w:t xml:space="preserve"> contiene dos </w:t>
            </w:r>
            <w:proofErr w:type="spellStart"/>
            <w:r w:rsidRPr="00BD7231">
              <w:rPr>
                <w:rFonts w:ascii="Arial Narrow" w:hAnsi="Arial Narrow"/>
              </w:rPr>
              <w:t>cassettes</w:t>
            </w:r>
            <w:proofErr w:type="spellEnd"/>
            <w:r w:rsidRPr="00BD7231">
              <w:rPr>
                <w:rFonts w:ascii="Arial Narrow" w:hAnsi="Arial Narrow"/>
              </w:rPr>
              <w:t xml:space="preserve"> genéticos. El primer </w:t>
            </w:r>
            <w:proofErr w:type="spellStart"/>
            <w:r w:rsidRPr="00BD7231">
              <w:rPr>
                <w:rFonts w:ascii="Arial Narrow" w:hAnsi="Arial Narrow"/>
              </w:rPr>
              <w:t>cassette</w:t>
            </w:r>
            <w:proofErr w:type="spellEnd"/>
            <w:r w:rsidRPr="00BD7231">
              <w:rPr>
                <w:rFonts w:ascii="Arial Narrow" w:hAnsi="Arial Narrow"/>
              </w:rPr>
              <w:t xml:space="preserve"> contiene el gen </w:t>
            </w:r>
            <w:r w:rsidRPr="00BD7231">
              <w:rPr>
                <w:rFonts w:ascii="Arial Narrow" w:hAnsi="Arial Narrow"/>
                <w:i/>
              </w:rPr>
              <w:t xml:space="preserve">cry1Ab </w:t>
            </w:r>
            <w:r w:rsidRPr="00BD7231">
              <w:rPr>
                <w:rFonts w:ascii="Arial Narrow" w:hAnsi="Arial Narrow"/>
              </w:rPr>
              <w:t>que</w:t>
            </w:r>
            <w:r w:rsidRPr="00BD7231">
              <w:rPr>
                <w:rFonts w:ascii="Arial Narrow" w:hAnsi="Arial Narrow"/>
                <w:i/>
              </w:rPr>
              <w:t xml:space="preserve"> </w:t>
            </w:r>
            <w:r w:rsidRPr="00BD7231">
              <w:rPr>
                <w:rFonts w:ascii="Arial Narrow" w:hAnsi="Arial Narrow"/>
              </w:rPr>
              <w:t xml:space="preserve">codifica para una proteína </w:t>
            </w:r>
            <w:proofErr w:type="spellStart"/>
            <w:r w:rsidRPr="00BD7231">
              <w:rPr>
                <w:rFonts w:ascii="Arial Narrow" w:hAnsi="Arial Narrow"/>
              </w:rPr>
              <w:t>Cry</w:t>
            </w:r>
            <w:proofErr w:type="spellEnd"/>
            <w:r w:rsidRPr="00BD7231">
              <w:rPr>
                <w:rFonts w:ascii="Arial Narrow" w:hAnsi="Arial Narrow"/>
                <w:i/>
              </w:rPr>
              <w:t>.</w:t>
            </w:r>
            <w:r w:rsidRPr="00BD7231">
              <w:rPr>
                <w:rFonts w:ascii="Arial Narrow" w:hAnsi="Arial Narrow"/>
              </w:rPr>
              <w:t xml:space="preserve"> La señal de terminación es la derivada por el gen NOS que codifica la </w:t>
            </w:r>
            <w:proofErr w:type="spellStart"/>
            <w:r w:rsidRPr="00BD7231">
              <w:rPr>
                <w:rFonts w:ascii="Arial Narrow" w:hAnsi="Arial Narrow"/>
              </w:rPr>
              <w:t>nopalina</w:t>
            </w:r>
            <w:proofErr w:type="spellEnd"/>
            <w:r w:rsidRPr="00BD7231">
              <w:rPr>
                <w:rFonts w:ascii="Arial Narrow" w:hAnsi="Arial Narrow"/>
              </w:rPr>
              <w:t xml:space="preserve"> </w:t>
            </w:r>
            <w:proofErr w:type="spellStart"/>
            <w:r w:rsidRPr="00BD7231">
              <w:rPr>
                <w:rFonts w:ascii="Arial Narrow" w:hAnsi="Arial Narrow"/>
              </w:rPr>
              <w:t>sintasa</w:t>
            </w:r>
            <w:proofErr w:type="spellEnd"/>
            <w:r w:rsidRPr="00BD7231">
              <w:rPr>
                <w:rFonts w:ascii="Arial Narrow" w:hAnsi="Arial Narrow"/>
              </w:rPr>
              <w:t xml:space="preserve">. El segundo </w:t>
            </w:r>
            <w:proofErr w:type="spellStart"/>
            <w:r w:rsidRPr="00BD7231">
              <w:rPr>
                <w:rFonts w:ascii="Arial Narrow" w:hAnsi="Arial Narrow"/>
              </w:rPr>
              <w:t>cassette</w:t>
            </w:r>
            <w:proofErr w:type="spellEnd"/>
            <w:r w:rsidRPr="00BD7231">
              <w:rPr>
                <w:rFonts w:ascii="Arial Narrow" w:hAnsi="Arial Narrow"/>
              </w:rPr>
              <w:t xml:space="preserve"> contiene el gen </w:t>
            </w:r>
            <w:proofErr w:type="spellStart"/>
            <w:r w:rsidRPr="00BD7231">
              <w:rPr>
                <w:rFonts w:ascii="Arial Narrow" w:hAnsi="Arial Narrow"/>
                <w:i/>
              </w:rPr>
              <w:t>pat</w:t>
            </w:r>
            <w:proofErr w:type="spellEnd"/>
            <w:r w:rsidRPr="00BD7231">
              <w:rPr>
                <w:rFonts w:ascii="Arial Narrow" w:hAnsi="Arial Narrow"/>
                <w:i/>
              </w:rPr>
              <w:t xml:space="preserve"> </w:t>
            </w:r>
            <w:r w:rsidRPr="00BD7231">
              <w:rPr>
                <w:rFonts w:ascii="Arial Narrow" w:hAnsi="Arial Narrow"/>
              </w:rPr>
              <w:t>que</w:t>
            </w:r>
            <w:r w:rsidRPr="00BD7231">
              <w:rPr>
                <w:rFonts w:ascii="Arial Narrow" w:hAnsi="Arial Narrow"/>
                <w:i/>
              </w:rPr>
              <w:t xml:space="preserve"> </w:t>
            </w:r>
            <w:r w:rsidRPr="00BD7231">
              <w:rPr>
                <w:rFonts w:ascii="Arial Narrow" w:hAnsi="Arial Narrow"/>
              </w:rPr>
              <w:t xml:space="preserve">codifica la </w:t>
            </w:r>
            <w:proofErr w:type="spellStart"/>
            <w:r w:rsidRPr="00BD7231">
              <w:rPr>
                <w:rFonts w:ascii="Arial Narrow" w:hAnsi="Arial Narrow"/>
              </w:rPr>
              <w:t>fo</w:t>
            </w:r>
            <w:r w:rsidR="003F3B8D" w:rsidRPr="00BD7231">
              <w:rPr>
                <w:rFonts w:ascii="Arial Narrow" w:hAnsi="Arial Narrow"/>
              </w:rPr>
              <w:t>sfinotricina</w:t>
            </w:r>
            <w:proofErr w:type="spellEnd"/>
            <w:r w:rsidR="003F3B8D" w:rsidRPr="00BD7231">
              <w:rPr>
                <w:rFonts w:ascii="Arial Narrow" w:hAnsi="Arial Narrow"/>
              </w:rPr>
              <w:t xml:space="preserve"> acetil </w:t>
            </w:r>
            <w:proofErr w:type="spellStart"/>
            <w:r w:rsidR="003F3B8D" w:rsidRPr="00BD7231">
              <w:rPr>
                <w:rFonts w:ascii="Arial Narrow" w:hAnsi="Arial Narrow"/>
              </w:rPr>
              <w:t>transferasa</w:t>
            </w:r>
            <w:proofErr w:type="spellEnd"/>
            <w:r w:rsidRPr="00BD7231">
              <w:rPr>
                <w:rFonts w:ascii="Arial Narrow" w:hAnsi="Arial Narrow"/>
                <w:i/>
              </w:rPr>
              <w:t>.</w:t>
            </w:r>
            <w:r w:rsidRPr="00BD7231">
              <w:rPr>
                <w:rFonts w:ascii="Arial Narrow" w:hAnsi="Arial Narrow"/>
              </w:rPr>
              <w:t xml:space="preserve"> La señal de terminación es la </w:t>
            </w:r>
            <w:proofErr w:type="spellStart"/>
            <w:r w:rsidRPr="00BD7231">
              <w:rPr>
                <w:rFonts w:ascii="Arial Narrow" w:hAnsi="Arial Narrow"/>
              </w:rPr>
              <w:t>poliadenilación</w:t>
            </w:r>
            <w:proofErr w:type="spellEnd"/>
            <w:r w:rsidRPr="00BD7231">
              <w:rPr>
                <w:rFonts w:ascii="Arial Narrow" w:hAnsi="Arial Narrow"/>
              </w:rPr>
              <w:t xml:space="preserve"> del gen NOS</w:t>
            </w:r>
            <w:r w:rsidRPr="00BD7231">
              <w:rPr>
                <w:rFonts w:ascii="Arial Narrow" w:hAnsi="Arial Narrow"/>
                <w:i/>
              </w:rPr>
              <w:t xml:space="preserve"> </w:t>
            </w:r>
            <w:r w:rsidRPr="00BD7231">
              <w:rPr>
                <w:rFonts w:ascii="Arial Narrow" w:hAnsi="Arial Narrow"/>
              </w:rPr>
              <w:t xml:space="preserve">de la </w:t>
            </w:r>
            <w:proofErr w:type="spellStart"/>
            <w:r w:rsidRPr="00BD7231">
              <w:rPr>
                <w:rFonts w:ascii="Arial Narrow" w:hAnsi="Arial Narrow"/>
              </w:rPr>
              <w:t>nopalina</w:t>
            </w:r>
            <w:proofErr w:type="spellEnd"/>
            <w:r w:rsidRPr="00BD7231">
              <w:rPr>
                <w:rFonts w:ascii="Arial Narrow" w:hAnsi="Arial Narrow"/>
              </w:rPr>
              <w:t xml:space="preserve"> </w:t>
            </w:r>
            <w:proofErr w:type="spellStart"/>
            <w:r w:rsidRPr="00BD7231">
              <w:rPr>
                <w:rFonts w:ascii="Arial Narrow" w:hAnsi="Arial Narrow"/>
              </w:rPr>
              <w:t>sintasa</w:t>
            </w:r>
            <w:proofErr w:type="spellEnd"/>
            <w:r w:rsidRPr="00BD7231">
              <w:rPr>
                <w:rFonts w:ascii="Arial Narrow" w:hAnsi="Arial Narrow"/>
              </w:rPr>
              <w:t xml:space="preserve">. </w:t>
            </w:r>
          </w:p>
          <w:p w:rsidR="002E0FA5" w:rsidRPr="00BD7231" w:rsidRDefault="002E0FA5" w:rsidP="002E0FA5">
            <w:pPr>
              <w:jc w:val="both"/>
              <w:rPr>
                <w:rFonts w:ascii="Arial Narrow" w:hAnsi="Arial Narrow"/>
                <w:b/>
              </w:rPr>
            </w:pPr>
            <w:r w:rsidRPr="00BD7231">
              <w:rPr>
                <w:rFonts w:ascii="Arial Narrow" w:hAnsi="Arial Narrow"/>
                <w:b/>
              </w:rPr>
              <w:t>GA21</w:t>
            </w:r>
          </w:p>
          <w:p w:rsidR="002E0FA5" w:rsidRPr="00BD7231" w:rsidRDefault="002E0FA5" w:rsidP="00722DC6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BD7231">
              <w:rPr>
                <w:rFonts w:ascii="Arial Narrow" w:hAnsi="Arial Narrow"/>
              </w:rPr>
              <w:lastRenderedPageBreak/>
              <w:t xml:space="preserve">El vector pDPG434 fue preparado para realizar la transformación mediante el método de </w:t>
            </w:r>
            <w:proofErr w:type="spellStart"/>
            <w:r w:rsidRPr="00BD7231">
              <w:rPr>
                <w:rFonts w:ascii="Arial Narrow" w:hAnsi="Arial Narrow"/>
              </w:rPr>
              <w:t>biobalística</w:t>
            </w:r>
            <w:proofErr w:type="spellEnd"/>
            <w:r w:rsidRPr="00BD7231">
              <w:rPr>
                <w:rFonts w:ascii="Arial Narrow" w:hAnsi="Arial Narrow"/>
              </w:rPr>
              <w:t xml:space="preserve">. El vector contiene un sólo </w:t>
            </w:r>
            <w:proofErr w:type="spellStart"/>
            <w:r w:rsidRPr="00BD7231">
              <w:rPr>
                <w:rFonts w:ascii="Arial Narrow" w:hAnsi="Arial Narrow"/>
              </w:rPr>
              <w:t>cassette</w:t>
            </w:r>
            <w:proofErr w:type="spellEnd"/>
            <w:r w:rsidRPr="00BD7231">
              <w:rPr>
                <w:rFonts w:ascii="Arial Narrow" w:hAnsi="Arial Narrow"/>
              </w:rPr>
              <w:t xml:space="preserve"> con el gen </w:t>
            </w:r>
            <w:proofErr w:type="spellStart"/>
            <w:r w:rsidRPr="00BD7231">
              <w:rPr>
                <w:rFonts w:ascii="Arial Narrow" w:hAnsi="Arial Narrow"/>
                <w:i/>
              </w:rPr>
              <w:t>mepsps</w:t>
            </w:r>
            <w:proofErr w:type="spellEnd"/>
            <w:r w:rsidRPr="00BD7231">
              <w:rPr>
                <w:rFonts w:ascii="Arial Narrow" w:hAnsi="Arial Narrow"/>
                <w:i/>
              </w:rPr>
              <w:t xml:space="preserve"> </w:t>
            </w:r>
            <w:r w:rsidRPr="00BD7231">
              <w:rPr>
                <w:rFonts w:ascii="Arial Narrow" w:hAnsi="Arial Narrow"/>
              </w:rPr>
              <w:t xml:space="preserve">que </w:t>
            </w:r>
            <w:r w:rsidRPr="00BD7231">
              <w:rPr>
                <w:rFonts w:ascii="Arial Narrow" w:hAnsi="Arial Narrow" w:cs="Arial"/>
              </w:rPr>
              <w:t>codifica la proteína EPSPS (</w:t>
            </w:r>
            <w:proofErr w:type="spellStart"/>
            <w:r w:rsidRPr="00BD7231">
              <w:rPr>
                <w:rFonts w:ascii="Arial Narrow" w:hAnsi="Arial Narrow" w:cs="Arial"/>
              </w:rPr>
              <w:t>mEPSPS</w:t>
            </w:r>
            <w:proofErr w:type="spellEnd"/>
            <w:r w:rsidRPr="00BD7231">
              <w:rPr>
                <w:rFonts w:ascii="Arial Narrow" w:hAnsi="Arial Narrow" w:cs="Arial"/>
              </w:rPr>
              <w:t>), en el maíz modificado (</w:t>
            </w:r>
            <w:r w:rsidRPr="00BD7231">
              <w:rPr>
                <w:rFonts w:ascii="Arial Narrow" w:hAnsi="Arial Narrow" w:cs="Arial"/>
                <w:i/>
                <w:iCs/>
              </w:rPr>
              <w:t xml:space="preserve">Zea </w:t>
            </w:r>
            <w:proofErr w:type="spellStart"/>
            <w:r w:rsidRPr="00BD7231">
              <w:rPr>
                <w:rFonts w:ascii="Arial Narrow" w:hAnsi="Arial Narrow" w:cs="Arial"/>
                <w:i/>
                <w:iCs/>
              </w:rPr>
              <w:t>mays</w:t>
            </w:r>
            <w:proofErr w:type="spellEnd"/>
            <w:r w:rsidRPr="00BD7231">
              <w:rPr>
                <w:rFonts w:ascii="Arial Narrow" w:hAnsi="Arial Narrow" w:cs="Arial"/>
              </w:rPr>
              <w:t xml:space="preserve">), que confiere tolerancia al glifosato. </w:t>
            </w:r>
          </w:p>
          <w:p w:rsidR="002E0FA5" w:rsidRPr="00BD7231" w:rsidRDefault="002E0FA5" w:rsidP="002E0FA5">
            <w:pPr>
              <w:jc w:val="both"/>
              <w:rPr>
                <w:rFonts w:ascii="Arial Narrow" w:hAnsi="Arial Narrow" w:cs="Arial"/>
                <w:b/>
                <w:lang w:val="es-MX"/>
              </w:rPr>
            </w:pPr>
          </w:p>
          <w:p w:rsidR="002E0FA5" w:rsidRPr="00BD7231" w:rsidRDefault="002E0FA5" w:rsidP="002E0FA5">
            <w:pPr>
              <w:jc w:val="both"/>
              <w:rPr>
                <w:rFonts w:ascii="Arial Narrow" w:hAnsi="Arial Narrow" w:cs="Arial"/>
                <w:b/>
                <w:lang w:val="es-MX"/>
              </w:rPr>
            </w:pPr>
            <w:r w:rsidRPr="00BD7231">
              <w:rPr>
                <w:rFonts w:ascii="Arial Narrow" w:hAnsi="Arial Narrow" w:cs="Arial"/>
                <w:b/>
                <w:lang w:val="es-MX"/>
              </w:rPr>
              <w:t>5307</w:t>
            </w:r>
          </w:p>
          <w:p w:rsidR="002E0FA5" w:rsidRPr="00BD7231" w:rsidRDefault="002E0FA5" w:rsidP="002E0FA5">
            <w:pPr>
              <w:jc w:val="both"/>
              <w:rPr>
                <w:rFonts w:ascii="Arial Narrow" w:hAnsi="Arial Narrow" w:cs="Arial"/>
                <w:lang w:val="es-MX"/>
              </w:rPr>
            </w:pPr>
            <w:r w:rsidRPr="00BD7231">
              <w:rPr>
                <w:rFonts w:ascii="Arial Narrow" w:hAnsi="Arial Narrow" w:cs="Arial"/>
                <w:lang w:val="es-MX"/>
              </w:rPr>
              <w:t>El evento 5307 expresa las proteínas eCry3.1Ab y PMI, la primera confiriéndole resistencia a las especies plaga del maíz: gusano occidental de la raíz (</w:t>
            </w:r>
            <w:proofErr w:type="spellStart"/>
            <w:r w:rsidRPr="00BD7231">
              <w:rPr>
                <w:rFonts w:ascii="Arial Narrow" w:hAnsi="Arial Narrow" w:cs="Arial"/>
                <w:i/>
                <w:lang w:val="es-MX"/>
              </w:rPr>
              <w:t>Diabrotica</w:t>
            </w:r>
            <w:proofErr w:type="spellEnd"/>
            <w:r w:rsidRPr="00BD7231">
              <w:rPr>
                <w:rFonts w:ascii="Arial Narrow" w:hAnsi="Arial Narrow" w:cs="Arial"/>
                <w:i/>
                <w:lang w:val="es-MX"/>
              </w:rPr>
              <w:t xml:space="preserve"> </w:t>
            </w:r>
            <w:proofErr w:type="spellStart"/>
            <w:r w:rsidRPr="00BD7231">
              <w:rPr>
                <w:rFonts w:ascii="Arial Narrow" w:hAnsi="Arial Narrow" w:cs="Arial"/>
                <w:i/>
                <w:lang w:val="es-MX"/>
              </w:rPr>
              <w:t>virgifera</w:t>
            </w:r>
            <w:proofErr w:type="spellEnd"/>
            <w:r w:rsidRPr="00BD7231">
              <w:rPr>
                <w:rFonts w:ascii="Arial Narrow" w:hAnsi="Arial Narrow" w:cs="Arial"/>
                <w:i/>
                <w:lang w:val="es-MX"/>
              </w:rPr>
              <w:t xml:space="preserve"> </w:t>
            </w:r>
            <w:proofErr w:type="spellStart"/>
            <w:r w:rsidRPr="00BD7231">
              <w:rPr>
                <w:rFonts w:ascii="Arial Narrow" w:hAnsi="Arial Narrow" w:cs="Arial"/>
                <w:i/>
                <w:lang w:val="es-MX"/>
              </w:rPr>
              <w:t>virgifera</w:t>
            </w:r>
            <w:proofErr w:type="spellEnd"/>
            <w:r w:rsidRPr="00BD7231">
              <w:rPr>
                <w:rFonts w:ascii="Arial Narrow" w:hAnsi="Arial Narrow" w:cs="Arial"/>
                <w:lang w:val="es-MX"/>
              </w:rPr>
              <w:t>) y gusano norteño de la raíz (</w:t>
            </w:r>
            <w:proofErr w:type="spellStart"/>
            <w:r w:rsidRPr="00BD7231">
              <w:rPr>
                <w:rFonts w:ascii="Arial Narrow" w:hAnsi="Arial Narrow" w:cs="Arial"/>
                <w:i/>
                <w:lang w:val="es-MX"/>
              </w:rPr>
              <w:t>Diabrotica</w:t>
            </w:r>
            <w:proofErr w:type="spellEnd"/>
            <w:r w:rsidRPr="00BD7231">
              <w:rPr>
                <w:rFonts w:ascii="Arial Narrow" w:hAnsi="Arial Narrow" w:cs="Arial"/>
                <w:i/>
                <w:lang w:val="es-MX"/>
              </w:rPr>
              <w:t xml:space="preserve"> </w:t>
            </w:r>
            <w:proofErr w:type="spellStart"/>
            <w:r w:rsidRPr="00BD7231">
              <w:rPr>
                <w:rFonts w:ascii="Arial Narrow" w:hAnsi="Arial Narrow" w:cs="Arial"/>
                <w:i/>
                <w:lang w:val="es-MX"/>
              </w:rPr>
              <w:t>longicornis</w:t>
            </w:r>
            <w:proofErr w:type="spellEnd"/>
            <w:r w:rsidRPr="00BD7231">
              <w:rPr>
                <w:rFonts w:ascii="Arial Narrow" w:hAnsi="Arial Narrow" w:cs="Arial"/>
                <w:i/>
                <w:lang w:val="es-MX"/>
              </w:rPr>
              <w:t xml:space="preserve"> </w:t>
            </w:r>
            <w:proofErr w:type="spellStart"/>
            <w:r w:rsidRPr="00BD7231">
              <w:rPr>
                <w:rFonts w:ascii="Arial Narrow" w:hAnsi="Arial Narrow" w:cs="Arial"/>
                <w:i/>
                <w:lang w:val="es-MX"/>
              </w:rPr>
              <w:t>barberi</w:t>
            </w:r>
            <w:proofErr w:type="spellEnd"/>
            <w:r w:rsidRPr="00BD7231">
              <w:rPr>
                <w:rFonts w:ascii="Arial Narrow" w:hAnsi="Arial Narrow" w:cs="Arial"/>
                <w:i/>
                <w:lang w:val="es-MX"/>
              </w:rPr>
              <w:t>),</w:t>
            </w:r>
            <w:r w:rsidRPr="00BD7231">
              <w:rPr>
                <w:rFonts w:ascii="Arial Narrow" w:hAnsi="Arial Narrow" w:cs="Arial"/>
                <w:lang w:val="es-MX"/>
              </w:rPr>
              <w:t xml:space="preserve"> y la segunda actuando como marcador de selección. El gen </w:t>
            </w:r>
            <w:proofErr w:type="spellStart"/>
            <w:r w:rsidRPr="00BD7231">
              <w:rPr>
                <w:rFonts w:ascii="Arial Narrow" w:hAnsi="Arial Narrow" w:cs="Arial"/>
                <w:i/>
                <w:lang w:val="es-MX"/>
              </w:rPr>
              <w:t>pmi</w:t>
            </w:r>
            <w:proofErr w:type="spellEnd"/>
            <w:r w:rsidRPr="00BD7231">
              <w:rPr>
                <w:rFonts w:ascii="Arial Narrow" w:hAnsi="Arial Narrow" w:cs="Arial"/>
                <w:lang w:val="es-MX"/>
              </w:rPr>
              <w:t xml:space="preserve"> fue obtenido de </w:t>
            </w:r>
            <w:proofErr w:type="spellStart"/>
            <w:r w:rsidRPr="00BD7231">
              <w:rPr>
                <w:rFonts w:ascii="Arial Narrow" w:hAnsi="Arial Narrow" w:cs="Arial"/>
                <w:i/>
                <w:lang w:val="es-MX"/>
              </w:rPr>
              <w:t>Escherichia</w:t>
            </w:r>
            <w:proofErr w:type="spellEnd"/>
            <w:r w:rsidRPr="00BD7231">
              <w:rPr>
                <w:rFonts w:ascii="Arial Narrow" w:hAnsi="Arial Narrow" w:cs="Arial"/>
                <w:i/>
                <w:lang w:val="es-MX"/>
              </w:rPr>
              <w:t xml:space="preserve"> </w:t>
            </w:r>
            <w:proofErr w:type="spellStart"/>
            <w:r w:rsidRPr="00BD7231">
              <w:rPr>
                <w:rFonts w:ascii="Arial Narrow" w:hAnsi="Arial Narrow" w:cs="Arial"/>
                <w:i/>
                <w:lang w:val="es-MX"/>
              </w:rPr>
              <w:t>coli</w:t>
            </w:r>
            <w:proofErr w:type="spellEnd"/>
            <w:r w:rsidRPr="00BD7231">
              <w:rPr>
                <w:rFonts w:ascii="Arial Narrow" w:hAnsi="Arial Narrow" w:cs="Arial"/>
                <w:lang w:val="es-MX"/>
              </w:rPr>
              <w:t xml:space="preserve"> cepa K-12 y la proteína que codifica fue utilizada como un marcador selectivo durante el desarrollo del maíz 5307.</w:t>
            </w:r>
          </w:p>
          <w:p w:rsidR="002E0FA5" w:rsidRPr="00BD7231" w:rsidRDefault="002E0FA5" w:rsidP="002E0FA5">
            <w:pPr>
              <w:jc w:val="both"/>
              <w:rPr>
                <w:rFonts w:ascii="Arial Narrow" w:hAnsi="Arial Narrow" w:cs="Arial"/>
                <w:lang w:val="es-MX"/>
              </w:rPr>
            </w:pPr>
            <w:r w:rsidRPr="00BD7231">
              <w:rPr>
                <w:rFonts w:ascii="Arial Narrow" w:hAnsi="Arial Narrow" w:cs="Arial"/>
                <w:lang w:val="es-MX"/>
              </w:rPr>
              <w:t xml:space="preserve">La transformación de </w:t>
            </w:r>
            <w:r w:rsidRPr="00BD7231">
              <w:rPr>
                <w:rFonts w:ascii="Arial Narrow" w:hAnsi="Arial Narrow" w:cs="Arial"/>
                <w:i/>
                <w:lang w:val="es-MX"/>
              </w:rPr>
              <w:t xml:space="preserve">Z. </w:t>
            </w:r>
            <w:proofErr w:type="spellStart"/>
            <w:r w:rsidRPr="00BD7231">
              <w:rPr>
                <w:rFonts w:ascii="Arial Narrow" w:hAnsi="Arial Narrow" w:cs="Arial"/>
                <w:i/>
                <w:lang w:val="es-MX"/>
              </w:rPr>
              <w:t>mays</w:t>
            </w:r>
            <w:proofErr w:type="spellEnd"/>
            <w:r w:rsidRPr="00BD7231">
              <w:rPr>
                <w:rFonts w:ascii="Arial Narrow" w:hAnsi="Arial Narrow" w:cs="Arial"/>
                <w:lang w:val="es-MX"/>
              </w:rPr>
              <w:t xml:space="preserve"> fue lograda</w:t>
            </w:r>
            <w:r w:rsidR="008038F8" w:rsidRPr="00BD7231">
              <w:rPr>
                <w:rFonts w:ascii="Arial Narrow" w:hAnsi="Arial Narrow" w:cs="Arial"/>
                <w:lang w:val="es-MX"/>
              </w:rPr>
              <w:t xml:space="preserve"> </w:t>
            </w:r>
            <w:r w:rsidRPr="00BD7231">
              <w:rPr>
                <w:rFonts w:ascii="Arial Narrow" w:hAnsi="Arial Narrow" w:cs="Arial"/>
                <w:lang w:val="es-MX"/>
              </w:rPr>
              <w:t xml:space="preserve">a través de una transformación mediada por </w:t>
            </w:r>
            <w:proofErr w:type="spellStart"/>
            <w:r w:rsidRPr="00BD7231">
              <w:rPr>
                <w:rFonts w:ascii="Arial Narrow" w:hAnsi="Arial Narrow" w:cs="Arial"/>
                <w:i/>
                <w:lang w:val="es-MX"/>
              </w:rPr>
              <w:t>Agrobacterium</w:t>
            </w:r>
            <w:proofErr w:type="spellEnd"/>
            <w:r w:rsidRPr="00BD7231">
              <w:rPr>
                <w:rFonts w:ascii="Arial Narrow" w:hAnsi="Arial Narrow" w:cs="Arial"/>
                <w:i/>
                <w:lang w:val="es-MX"/>
              </w:rPr>
              <w:t xml:space="preserve"> </w:t>
            </w:r>
            <w:proofErr w:type="spellStart"/>
            <w:r w:rsidRPr="00BD7231">
              <w:rPr>
                <w:rFonts w:ascii="Arial Narrow" w:hAnsi="Arial Narrow" w:cs="Arial"/>
                <w:i/>
                <w:lang w:val="es-MX"/>
              </w:rPr>
              <w:t>tumefaciens</w:t>
            </w:r>
            <w:proofErr w:type="spellEnd"/>
            <w:r w:rsidR="008038F8" w:rsidRPr="00BD7231">
              <w:rPr>
                <w:rFonts w:ascii="Arial Narrow" w:hAnsi="Arial Narrow" w:cs="Arial"/>
                <w:lang w:val="es-MX"/>
              </w:rPr>
              <w:t>.</w:t>
            </w:r>
            <w:r w:rsidRPr="00BD7231">
              <w:rPr>
                <w:rFonts w:ascii="Arial Narrow" w:hAnsi="Arial Narrow" w:cs="Arial"/>
                <w:lang w:val="es-MX"/>
              </w:rPr>
              <w:t xml:space="preserve"> </w:t>
            </w:r>
          </w:p>
          <w:p w:rsidR="002E0FA5" w:rsidRPr="00BD7231" w:rsidRDefault="002E0FA5" w:rsidP="002E0FA5">
            <w:pPr>
              <w:jc w:val="both"/>
              <w:rPr>
                <w:rFonts w:ascii="Arial Narrow" w:hAnsi="Arial Narrow" w:cs="Arial"/>
                <w:lang w:val="es-MX"/>
              </w:rPr>
            </w:pPr>
          </w:p>
          <w:p w:rsidR="002E0FA5" w:rsidRPr="00BD7231" w:rsidRDefault="002E0FA5" w:rsidP="002E0FA5">
            <w:pPr>
              <w:jc w:val="both"/>
              <w:rPr>
                <w:rFonts w:ascii="Arial Narrow" w:hAnsi="Arial Narrow" w:cs="Arial"/>
                <w:b/>
                <w:lang w:val="es-MX"/>
              </w:rPr>
            </w:pPr>
            <w:r w:rsidRPr="00BD7231">
              <w:rPr>
                <w:rFonts w:ascii="Arial Narrow" w:hAnsi="Arial Narrow" w:cs="Arial"/>
                <w:b/>
                <w:lang w:val="es-MX"/>
              </w:rPr>
              <w:t>TC1507-1 (HX1)</w:t>
            </w:r>
          </w:p>
          <w:p w:rsidR="002E0FA5" w:rsidRPr="00BD7231" w:rsidRDefault="002E0FA5" w:rsidP="002E0FA5">
            <w:pPr>
              <w:jc w:val="both"/>
              <w:rPr>
                <w:rFonts w:ascii="Arial Narrow" w:eastAsia="MS Mincho" w:hAnsi="Arial Narrow"/>
              </w:rPr>
            </w:pPr>
            <w:r w:rsidRPr="00BD7231">
              <w:rPr>
                <w:rFonts w:ascii="Arial Narrow" w:hAnsi="Arial Narrow" w:cs="Arial"/>
                <w:lang w:val="es-MX"/>
              </w:rPr>
              <w:t xml:space="preserve">El producto TC1507 </w:t>
            </w:r>
            <w:r w:rsidRPr="00BD7231">
              <w:rPr>
                <w:rFonts w:ascii="Arial Narrow" w:hAnsi="Arial Narrow"/>
              </w:rPr>
              <w:t>fue producido a través de bombardeo de micro proyectiles de células de maíz</w:t>
            </w:r>
            <w:r w:rsidR="008038F8" w:rsidRPr="00BD7231">
              <w:rPr>
                <w:rFonts w:ascii="Arial Narrow" w:hAnsi="Arial Narrow"/>
              </w:rPr>
              <w:t>.</w:t>
            </w:r>
            <w:r w:rsidRPr="00BD7231">
              <w:rPr>
                <w:rFonts w:ascii="Arial Narrow" w:hAnsi="Arial Narrow"/>
              </w:rPr>
              <w:t xml:space="preserve"> </w:t>
            </w:r>
            <w:r w:rsidRPr="00BD7231">
              <w:rPr>
                <w:rFonts w:ascii="Arial Narrow" w:eastAsia="MS Mincho" w:hAnsi="Arial Narrow"/>
              </w:rPr>
              <w:t xml:space="preserve">TC1507 produce la proteína de </w:t>
            </w:r>
            <w:proofErr w:type="spellStart"/>
            <w:r w:rsidRPr="00BD7231">
              <w:rPr>
                <w:rFonts w:ascii="Arial Narrow" w:eastAsia="MS Mincho" w:hAnsi="Arial Narrow"/>
                <w:i/>
                <w:iCs/>
              </w:rPr>
              <w:t>Bacillus</w:t>
            </w:r>
            <w:proofErr w:type="spellEnd"/>
            <w:r w:rsidRPr="00BD7231">
              <w:rPr>
                <w:rFonts w:ascii="Arial Narrow" w:eastAsia="MS Mincho" w:hAnsi="Arial Narrow"/>
                <w:i/>
                <w:iCs/>
              </w:rPr>
              <w:t xml:space="preserve"> </w:t>
            </w:r>
            <w:proofErr w:type="spellStart"/>
            <w:r w:rsidRPr="00BD7231">
              <w:rPr>
                <w:rFonts w:ascii="Arial Narrow" w:eastAsia="MS Mincho" w:hAnsi="Arial Narrow"/>
                <w:i/>
                <w:iCs/>
              </w:rPr>
              <w:t>thuringiensis</w:t>
            </w:r>
            <w:proofErr w:type="spellEnd"/>
            <w:r w:rsidRPr="00BD7231">
              <w:rPr>
                <w:rFonts w:ascii="Arial Narrow" w:eastAsia="MS Mincho" w:hAnsi="Arial Narrow"/>
                <w:i/>
                <w:iCs/>
              </w:rPr>
              <w:t xml:space="preserve"> </w:t>
            </w:r>
            <w:r w:rsidRPr="00BD7231">
              <w:rPr>
                <w:rFonts w:ascii="Arial Narrow" w:eastAsia="MS Mincho" w:hAnsi="Arial Narrow"/>
              </w:rPr>
              <w:t xml:space="preserve">variedad </w:t>
            </w:r>
            <w:proofErr w:type="spellStart"/>
            <w:r w:rsidRPr="00BD7231">
              <w:rPr>
                <w:rFonts w:ascii="Arial Narrow" w:eastAsia="MS Mincho" w:hAnsi="Arial Narrow"/>
                <w:i/>
                <w:iCs/>
              </w:rPr>
              <w:t>aizawai</w:t>
            </w:r>
            <w:proofErr w:type="spellEnd"/>
            <w:r w:rsidRPr="00BD7231">
              <w:rPr>
                <w:rFonts w:ascii="Arial Narrow" w:eastAsia="MS Mincho" w:hAnsi="Arial Narrow"/>
                <w:i/>
                <w:iCs/>
              </w:rPr>
              <w:t xml:space="preserve"> </w:t>
            </w:r>
            <w:r w:rsidRPr="00BD7231">
              <w:rPr>
                <w:rFonts w:ascii="Arial Narrow" w:eastAsia="MS Mincho" w:hAnsi="Arial Narrow"/>
              </w:rPr>
              <w:t>Cry1F para controlar selectivamente las larvas del barrenador Europeo del maíz y otras plagas de insectos lepidópteros. Además, el</w:t>
            </w:r>
            <w:r w:rsidR="008038F8" w:rsidRPr="00BD7231">
              <w:rPr>
                <w:rFonts w:ascii="Arial Narrow" w:eastAsia="MS Mincho" w:hAnsi="Arial Narrow"/>
              </w:rPr>
              <w:t xml:space="preserve"> evento</w:t>
            </w:r>
            <w:r w:rsidRPr="00BD7231">
              <w:rPr>
                <w:rFonts w:ascii="Arial Narrow" w:eastAsia="MS Mincho" w:hAnsi="Arial Narrow"/>
              </w:rPr>
              <w:t xml:space="preserve"> TC1507 produce la proteína </w:t>
            </w:r>
            <w:proofErr w:type="spellStart"/>
            <w:r w:rsidRPr="00BD7231">
              <w:rPr>
                <w:rFonts w:ascii="Arial Narrow" w:eastAsia="MS Mincho" w:hAnsi="Arial Narrow"/>
              </w:rPr>
              <w:t>acetiltransferasa</w:t>
            </w:r>
            <w:proofErr w:type="spellEnd"/>
            <w:r w:rsidRPr="00BD7231">
              <w:rPr>
                <w:rFonts w:ascii="Arial Narrow" w:eastAsia="MS Mincho" w:hAnsi="Arial Narrow"/>
              </w:rPr>
              <w:t xml:space="preserve"> de </w:t>
            </w:r>
            <w:proofErr w:type="spellStart"/>
            <w:r w:rsidRPr="00BD7231">
              <w:rPr>
                <w:rFonts w:ascii="Arial Narrow" w:eastAsia="MS Mincho" w:hAnsi="Arial Narrow"/>
              </w:rPr>
              <w:t>fosfinotricina</w:t>
            </w:r>
            <w:proofErr w:type="spellEnd"/>
            <w:r w:rsidRPr="00BD7231">
              <w:rPr>
                <w:rFonts w:ascii="Arial Narrow" w:eastAsia="MS Mincho" w:hAnsi="Arial Narrow"/>
              </w:rPr>
              <w:t xml:space="preserve"> (PAT) de </w:t>
            </w:r>
            <w:proofErr w:type="spellStart"/>
            <w:r w:rsidRPr="00BD7231">
              <w:rPr>
                <w:rFonts w:ascii="Arial Narrow" w:eastAsia="MS Mincho" w:hAnsi="Arial Narrow"/>
                <w:i/>
                <w:iCs/>
              </w:rPr>
              <w:t>Streptomyces</w:t>
            </w:r>
            <w:proofErr w:type="spellEnd"/>
            <w:r w:rsidRPr="00BD7231">
              <w:rPr>
                <w:rFonts w:ascii="Arial Narrow" w:eastAsia="MS Mincho" w:hAnsi="Arial Narrow"/>
                <w:i/>
                <w:iCs/>
              </w:rPr>
              <w:t xml:space="preserve"> </w:t>
            </w:r>
            <w:proofErr w:type="spellStart"/>
            <w:r w:rsidRPr="00BD7231">
              <w:rPr>
                <w:rFonts w:ascii="Arial Narrow" w:eastAsia="MS Mincho" w:hAnsi="Arial Narrow"/>
                <w:i/>
                <w:iCs/>
              </w:rPr>
              <w:t>viridochromogenes</w:t>
            </w:r>
            <w:proofErr w:type="spellEnd"/>
            <w:r w:rsidRPr="00BD7231">
              <w:rPr>
                <w:rFonts w:ascii="Arial Narrow" w:eastAsia="MS Mincho" w:hAnsi="Arial Narrow"/>
              </w:rPr>
              <w:t>, para conferir tolerancia al herbicida glufosinato.</w:t>
            </w:r>
          </w:p>
          <w:p w:rsidR="002E0FA5" w:rsidRPr="00BD7231" w:rsidRDefault="002E0FA5" w:rsidP="002E0FA5">
            <w:pPr>
              <w:jc w:val="both"/>
              <w:rPr>
                <w:rFonts w:ascii="Arial Narrow" w:hAnsi="Arial Narrow" w:cs="Arial"/>
                <w:lang w:val="es-MX"/>
              </w:rPr>
            </w:pPr>
          </w:p>
          <w:p w:rsidR="00722DC6" w:rsidRPr="00BD7231" w:rsidRDefault="00722DC6" w:rsidP="00722DC6">
            <w:pPr>
              <w:jc w:val="both"/>
              <w:rPr>
                <w:rFonts w:ascii="Arial Narrow" w:hAnsi="Arial Narrow"/>
                <w:b/>
              </w:rPr>
            </w:pPr>
            <w:r w:rsidRPr="00BD7231">
              <w:rPr>
                <w:rFonts w:ascii="Arial Narrow" w:hAnsi="Arial Narrow"/>
                <w:b/>
              </w:rPr>
              <w:t>MIR604</w:t>
            </w:r>
          </w:p>
          <w:p w:rsidR="00722DC6" w:rsidRPr="00BD7231" w:rsidRDefault="00722DC6" w:rsidP="00722DC6">
            <w:pPr>
              <w:jc w:val="both"/>
              <w:rPr>
                <w:rFonts w:ascii="Arial Narrow" w:hAnsi="Arial Narrow"/>
              </w:rPr>
            </w:pPr>
            <w:r w:rsidRPr="00BD7231">
              <w:rPr>
                <w:rFonts w:ascii="Arial Narrow" w:hAnsi="Arial Narrow"/>
              </w:rPr>
              <w:t xml:space="preserve">El evento MIR604 se produjo a través de la transformación mediada por </w:t>
            </w:r>
            <w:proofErr w:type="spellStart"/>
            <w:r w:rsidRPr="00BD7231">
              <w:rPr>
                <w:rFonts w:ascii="Arial Narrow" w:hAnsi="Arial Narrow"/>
                <w:i/>
              </w:rPr>
              <w:t>Agrobacterium</w:t>
            </w:r>
            <w:proofErr w:type="spellEnd"/>
            <w:r w:rsidRPr="00BD7231">
              <w:rPr>
                <w:rFonts w:ascii="Arial Narrow" w:hAnsi="Arial Narrow"/>
              </w:rPr>
              <w:t xml:space="preserve">, conteniendo dos </w:t>
            </w:r>
            <w:proofErr w:type="spellStart"/>
            <w:r w:rsidRPr="00BD7231">
              <w:rPr>
                <w:rFonts w:ascii="Arial Narrow" w:hAnsi="Arial Narrow"/>
              </w:rPr>
              <w:t>cassettes</w:t>
            </w:r>
            <w:proofErr w:type="spellEnd"/>
            <w:r w:rsidRPr="00BD7231">
              <w:rPr>
                <w:rFonts w:ascii="Arial Narrow" w:hAnsi="Arial Narrow"/>
              </w:rPr>
              <w:t xml:space="preserve"> de expresión: </w:t>
            </w:r>
            <w:r w:rsidRPr="00BD7231">
              <w:rPr>
                <w:rFonts w:ascii="Arial Narrow" w:hAnsi="Arial Narrow"/>
                <w:i/>
              </w:rPr>
              <w:t xml:space="preserve">mcry3A y </w:t>
            </w:r>
            <w:proofErr w:type="spellStart"/>
            <w:r w:rsidRPr="00BD7231">
              <w:rPr>
                <w:rFonts w:ascii="Arial Narrow" w:hAnsi="Arial Narrow"/>
                <w:i/>
              </w:rPr>
              <w:t>pmi</w:t>
            </w:r>
            <w:proofErr w:type="spellEnd"/>
            <w:r w:rsidRPr="00BD7231">
              <w:rPr>
                <w:rFonts w:ascii="Arial Narrow" w:hAnsi="Arial Narrow"/>
              </w:rPr>
              <w:t xml:space="preserve">. El primer gen le confiere resistencia a insectos coleópteros, mientras que el segundo metaboliza la </w:t>
            </w:r>
            <w:proofErr w:type="spellStart"/>
            <w:r w:rsidRPr="00BD7231">
              <w:rPr>
                <w:rFonts w:ascii="Arial Narrow" w:hAnsi="Arial Narrow"/>
              </w:rPr>
              <w:t>manosa</w:t>
            </w:r>
            <w:proofErr w:type="spellEnd"/>
            <w:r w:rsidRPr="00BD7231">
              <w:rPr>
                <w:rFonts w:ascii="Arial Narrow" w:hAnsi="Arial Narrow"/>
              </w:rPr>
              <w:t>, permitiendo la selección positiva para la recuperación de plantas transformadas.</w:t>
            </w:r>
          </w:p>
          <w:p w:rsidR="00722DC6" w:rsidRPr="00BD7231" w:rsidRDefault="00722DC6" w:rsidP="002E0FA5">
            <w:pPr>
              <w:jc w:val="both"/>
              <w:rPr>
                <w:rFonts w:ascii="Arial Narrow" w:hAnsi="Arial Narrow" w:cs="Arial"/>
                <w:b/>
              </w:rPr>
            </w:pPr>
          </w:p>
          <w:p w:rsidR="002E0FA5" w:rsidRPr="00BD7231" w:rsidRDefault="002E0FA5" w:rsidP="002E0FA5">
            <w:pPr>
              <w:jc w:val="both"/>
              <w:rPr>
                <w:rFonts w:ascii="Arial Narrow" w:hAnsi="Arial Narrow" w:cs="Arial"/>
                <w:b/>
              </w:rPr>
            </w:pPr>
            <w:r w:rsidRPr="00BD7231">
              <w:rPr>
                <w:rFonts w:ascii="Arial Narrow" w:hAnsi="Arial Narrow" w:cs="Arial"/>
                <w:b/>
              </w:rPr>
              <w:t>MIR162</w:t>
            </w:r>
          </w:p>
          <w:p w:rsidR="002E0FA5" w:rsidRPr="00BD7231" w:rsidRDefault="002E0FA5" w:rsidP="002E0FA5">
            <w:pPr>
              <w:jc w:val="both"/>
              <w:rPr>
                <w:rFonts w:ascii="Arial Narrow" w:hAnsi="Arial Narrow"/>
              </w:rPr>
            </w:pPr>
            <w:r w:rsidRPr="00BD7231">
              <w:rPr>
                <w:rFonts w:ascii="Arial Narrow" w:hAnsi="Arial Narrow"/>
              </w:rPr>
              <w:t xml:space="preserve">Los elementos genéticos correspondientes al evento MIR162 son los siguientes: a) Región promotora (1993 </w:t>
            </w:r>
            <w:proofErr w:type="spellStart"/>
            <w:r w:rsidRPr="00BD7231">
              <w:rPr>
                <w:rFonts w:ascii="Arial Narrow" w:hAnsi="Arial Narrow"/>
              </w:rPr>
              <w:t>pb</w:t>
            </w:r>
            <w:proofErr w:type="spellEnd"/>
            <w:r w:rsidRPr="00BD7231">
              <w:rPr>
                <w:rFonts w:ascii="Arial Narrow" w:hAnsi="Arial Narrow"/>
              </w:rPr>
              <w:t xml:space="preserve">) del gen </w:t>
            </w:r>
            <w:proofErr w:type="spellStart"/>
            <w:r w:rsidRPr="00BD7231">
              <w:rPr>
                <w:rFonts w:ascii="Arial Narrow" w:hAnsi="Arial Narrow"/>
              </w:rPr>
              <w:t>poliubiquitina</w:t>
            </w:r>
            <w:proofErr w:type="spellEnd"/>
            <w:r w:rsidRPr="00BD7231">
              <w:rPr>
                <w:rFonts w:ascii="Arial Narrow" w:hAnsi="Arial Narrow"/>
              </w:rPr>
              <w:t xml:space="preserve"> de </w:t>
            </w:r>
            <w:r w:rsidRPr="00BD7231">
              <w:rPr>
                <w:rFonts w:ascii="Arial Narrow" w:hAnsi="Arial Narrow"/>
                <w:i/>
              </w:rPr>
              <w:t xml:space="preserve">Zea </w:t>
            </w:r>
            <w:proofErr w:type="spellStart"/>
            <w:r w:rsidRPr="00BD7231">
              <w:rPr>
                <w:rFonts w:ascii="Arial Narrow" w:hAnsi="Arial Narrow"/>
                <w:i/>
              </w:rPr>
              <w:t>mays</w:t>
            </w:r>
            <w:proofErr w:type="spellEnd"/>
            <w:r w:rsidRPr="00BD7231">
              <w:rPr>
                <w:rFonts w:ascii="Arial Narrow" w:hAnsi="Arial Narrow"/>
              </w:rPr>
              <w:t xml:space="preserve">, </w:t>
            </w:r>
            <w:proofErr w:type="spellStart"/>
            <w:r w:rsidRPr="00BD7231">
              <w:rPr>
                <w:rFonts w:ascii="Arial Narrow" w:hAnsi="Arial Narrow"/>
                <w:i/>
              </w:rPr>
              <w:t>zmUbiInt</w:t>
            </w:r>
            <w:proofErr w:type="spellEnd"/>
            <w:r w:rsidR="00722DC6" w:rsidRPr="00BD7231">
              <w:rPr>
                <w:rFonts w:ascii="Arial Narrow" w:hAnsi="Arial Narrow"/>
                <w:i/>
              </w:rPr>
              <w:t xml:space="preserve"> </w:t>
            </w:r>
            <w:r w:rsidRPr="00BD7231">
              <w:rPr>
                <w:rFonts w:ascii="Arial Narrow" w:hAnsi="Arial Narrow"/>
              </w:rPr>
              <w:t xml:space="preserve">b) </w:t>
            </w:r>
            <w:r w:rsidRPr="00BD7231">
              <w:rPr>
                <w:rFonts w:ascii="Arial Narrow" w:hAnsi="Arial Narrow"/>
                <w:i/>
              </w:rPr>
              <w:t>vip3Aa19</w:t>
            </w:r>
            <w:r w:rsidRPr="00BD7231">
              <w:rPr>
                <w:rFonts w:ascii="Arial Narrow" w:hAnsi="Arial Narrow"/>
              </w:rPr>
              <w:t xml:space="preserve">, versión modificada del gen nativo </w:t>
            </w:r>
            <w:r w:rsidRPr="00BD7231">
              <w:rPr>
                <w:rFonts w:ascii="Arial Narrow" w:hAnsi="Arial Narrow"/>
                <w:i/>
              </w:rPr>
              <w:t>vip3Aa1</w:t>
            </w:r>
            <w:r w:rsidRPr="00BD7231">
              <w:rPr>
                <w:rFonts w:ascii="Arial Narrow" w:hAnsi="Arial Narrow"/>
              </w:rPr>
              <w:t xml:space="preserve"> de </w:t>
            </w:r>
            <w:r w:rsidRPr="00BD7231">
              <w:rPr>
                <w:rFonts w:ascii="Arial Narrow" w:hAnsi="Arial Narrow"/>
                <w:i/>
              </w:rPr>
              <w:t xml:space="preserve">B. </w:t>
            </w:r>
            <w:proofErr w:type="spellStart"/>
            <w:r w:rsidRPr="00BD7231">
              <w:rPr>
                <w:rFonts w:ascii="Arial Narrow" w:hAnsi="Arial Narrow"/>
                <w:i/>
              </w:rPr>
              <w:t>thuringiensis</w:t>
            </w:r>
            <w:proofErr w:type="spellEnd"/>
            <w:r w:rsidRPr="00BD7231">
              <w:rPr>
                <w:rFonts w:ascii="Arial Narrow" w:hAnsi="Arial Narrow"/>
              </w:rPr>
              <w:t xml:space="preserve"> cepa AB88</w:t>
            </w:r>
            <w:r w:rsidR="00722DC6" w:rsidRPr="00BD7231">
              <w:rPr>
                <w:rFonts w:ascii="Arial Narrow" w:hAnsi="Arial Narrow"/>
              </w:rPr>
              <w:t xml:space="preserve">, que </w:t>
            </w:r>
            <w:r w:rsidRPr="00BD7231">
              <w:rPr>
                <w:rFonts w:ascii="Arial Narrow" w:hAnsi="Arial Narrow"/>
              </w:rPr>
              <w:t>codifica la proteína Vip3Aa1</w:t>
            </w:r>
            <w:r w:rsidR="00722DC6" w:rsidRPr="00BD7231">
              <w:rPr>
                <w:rFonts w:ascii="Arial Narrow" w:hAnsi="Arial Narrow"/>
              </w:rPr>
              <w:t xml:space="preserve">9, </w:t>
            </w:r>
            <w:r w:rsidRPr="00BD7231">
              <w:rPr>
                <w:rFonts w:ascii="Arial Narrow" w:hAnsi="Arial Narrow"/>
              </w:rPr>
              <w:t xml:space="preserve">c) Secuencia del </w:t>
            </w:r>
            <w:proofErr w:type="spellStart"/>
            <w:r w:rsidRPr="00BD7231">
              <w:rPr>
                <w:rFonts w:ascii="Arial Narrow" w:hAnsi="Arial Narrow"/>
              </w:rPr>
              <w:t>intrón</w:t>
            </w:r>
            <w:proofErr w:type="spellEnd"/>
            <w:r w:rsidRPr="00BD7231">
              <w:rPr>
                <w:rFonts w:ascii="Arial Narrow" w:hAnsi="Arial Narrow"/>
              </w:rPr>
              <w:t xml:space="preserve"> 9 del gen de la </w:t>
            </w:r>
            <w:proofErr w:type="spellStart"/>
            <w:r w:rsidRPr="00BD7231">
              <w:rPr>
                <w:rFonts w:ascii="Arial Narrow" w:hAnsi="Arial Narrow"/>
              </w:rPr>
              <w:t>fosfoenolpiruvato</w:t>
            </w:r>
            <w:proofErr w:type="spellEnd"/>
            <w:r w:rsidRPr="00BD7231">
              <w:rPr>
                <w:rFonts w:ascii="Arial Narrow" w:hAnsi="Arial Narrow"/>
              </w:rPr>
              <w:t xml:space="preserve"> </w:t>
            </w:r>
            <w:proofErr w:type="spellStart"/>
            <w:r w:rsidRPr="00BD7231">
              <w:rPr>
                <w:rFonts w:ascii="Arial Narrow" w:hAnsi="Arial Narrow"/>
              </w:rPr>
              <w:t>carboxilasa</w:t>
            </w:r>
            <w:proofErr w:type="spellEnd"/>
            <w:r w:rsidRPr="00BD7231">
              <w:rPr>
                <w:rFonts w:ascii="Arial Narrow" w:hAnsi="Arial Narrow"/>
              </w:rPr>
              <w:t xml:space="preserve">, y d) Secuencia de </w:t>
            </w:r>
            <w:proofErr w:type="spellStart"/>
            <w:r w:rsidRPr="00BD7231">
              <w:rPr>
                <w:rFonts w:ascii="Arial Narrow" w:hAnsi="Arial Narrow"/>
              </w:rPr>
              <w:t>poliadenilación</w:t>
            </w:r>
            <w:proofErr w:type="spellEnd"/>
            <w:r w:rsidRPr="00BD7231">
              <w:rPr>
                <w:rFonts w:ascii="Arial Narrow" w:hAnsi="Arial Narrow"/>
              </w:rPr>
              <w:t xml:space="preserve"> terminadora (253 </w:t>
            </w:r>
            <w:proofErr w:type="spellStart"/>
            <w:r w:rsidRPr="00BD7231">
              <w:rPr>
                <w:rFonts w:ascii="Arial Narrow" w:hAnsi="Arial Narrow"/>
              </w:rPr>
              <w:t>pb</w:t>
            </w:r>
            <w:proofErr w:type="spellEnd"/>
            <w:r w:rsidRPr="00BD7231">
              <w:rPr>
                <w:rFonts w:ascii="Arial Narrow" w:hAnsi="Arial Narrow"/>
              </w:rPr>
              <w:t xml:space="preserve">) del gen </w:t>
            </w:r>
            <w:r w:rsidRPr="00BD7231">
              <w:rPr>
                <w:rFonts w:ascii="Arial Narrow" w:hAnsi="Arial Narrow"/>
                <w:i/>
              </w:rPr>
              <w:t>nos</w:t>
            </w:r>
            <w:r w:rsidRPr="00BD7231">
              <w:rPr>
                <w:rFonts w:ascii="Arial Narrow" w:hAnsi="Arial Narrow"/>
              </w:rPr>
              <w:t xml:space="preserve">, proveniente de </w:t>
            </w:r>
            <w:proofErr w:type="spellStart"/>
            <w:r w:rsidRPr="00BD7231">
              <w:rPr>
                <w:rFonts w:ascii="Arial Narrow" w:hAnsi="Arial Narrow"/>
                <w:i/>
              </w:rPr>
              <w:t>Agrobacterium</w:t>
            </w:r>
            <w:proofErr w:type="spellEnd"/>
            <w:r w:rsidRPr="00BD7231">
              <w:rPr>
                <w:rFonts w:ascii="Arial Narrow" w:hAnsi="Arial Narrow"/>
                <w:i/>
              </w:rPr>
              <w:t xml:space="preserve"> </w:t>
            </w:r>
            <w:proofErr w:type="spellStart"/>
            <w:r w:rsidRPr="00BD7231">
              <w:rPr>
                <w:rFonts w:ascii="Arial Narrow" w:hAnsi="Arial Narrow"/>
                <w:i/>
              </w:rPr>
              <w:t>tumefaciens</w:t>
            </w:r>
            <w:proofErr w:type="spellEnd"/>
            <w:r w:rsidRPr="00BD7231">
              <w:rPr>
                <w:rFonts w:ascii="Arial Narrow" w:hAnsi="Arial Narrow"/>
              </w:rPr>
              <w:t xml:space="preserve">, e) Región promotora (1993 </w:t>
            </w:r>
            <w:proofErr w:type="spellStart"/>
            <w:r w:rsidRPr="00BD7231">
              <w:rPr>
                <w:rFonts w:ascii="Arial Narrow" w:hAnsi="Arial Narrow"/>
              </w:rPr>
              <w:t>pb</w:t>
            </w:r>
            <w:proofErr w:type="spellEnd"/>
            <w:r w:rsidRPr="00BD7231">
              <w:rPr>
                <w:rFonts w:ascii="Arial Narrow" w:hAnsi="Arial Narrow"/>
              </w:rPr>
              <w:t xml:space="preserve">), del gen </w:t>
            </w:r>
            <w:proofErr w:type="spellStart"/>
            <w:r w:rsidRPr="00BD7231">
              <w:rPr>
                <w:rFonts w:ascii="Arial Narrow" w:hAnsi="Arial Narrow"/>
              </w:rPr>
              <w:t>poliubiquitina</w:t>
            </w:r>
            <w:proofErr w:type="spellEnd"/>
            <w:r w:rsidRPr="00BD7231">
              <w:rPr>
                <w:rFonts w:ascii="Arial Narrow" w:hAnsi="Arial Narrow"/>
              </w:rPr>
              <w:t xml:space="preserve"> de </w:t>
            </w:r>
            <w:r w:rsidRPr="00BD7231">
              <w:rPr>
                <w:rFonts w:ascii="Arial Narrow" w:hAnsi="Arial Narrow"/>
                <w:i/>
              </w:rPr>
              <w:t xml:space="preserve">Zea </w:t>
            </w:r>
            <w:proofErr w:type="spellStart"/>
            <w:r w:rsidRPr="00BD7231">
              <w:rPr>
                <w:rFonts w:ascii="Arial Narrow" w:hAnsi="Arial Narrow"/>
                <w:i/>
              </w:rPr>
              <w:t>mays</w:t>
            </w:r>
            <w:proofErr w:type="spellEnd"/>
            <w:r w:rsidRPr="00BD7231">
              <w:rPr>
                <w:rFonts w:ascii="Arial Narrow" w:hAnsi="Arial Narrow"/>
              </w:rPr>
              <w:t xml:space="preserve">, </w:t>
            </w:r>
            <w:proofErr w:type="spellStart"/>
            <w:r w:rsidRPr="00BD7231">
              <w:rPr>
                <w:rFonts w:ascii="Arial Narrow" w:hAnsi="Arial Narrow"/>
                <w:i/>
              </w:rPr>
              <w:t>zmUbiInt</w:t>
            </w:r>
            <w:proofErr w:type="spellEnd"/>
            <w:r w:rsidRPr="00BD7231">
              <w:rPr>
                <w:rFonts w:ascii="Arial Narrow" w:hAnsi="Arial Narrow"/>
                <w:i/>
              </w:rPr>
              <w:t xml:space="preserve">, </w:t>
            </w:r>
            <w:r w:rsidRPr="00BD7231">
              <w:rPr>
                <w:rFonts w:ascii="Arial Narrow" w:hAnsi="Arial Narrow"/>
              </w:rPr>
              <w:t xml:space="preserve">f) Secuencia del gen </w:t>
            </w:r>
            <w:proofErr w:type="spellStart"/>
            <w:r w:rsidRPr="00BD7231">
              <w:rPr>
                <w:rFonts w:ascii="Arial Narrow" w:hAnsi="Arial Narrow"/>
                <w:i/>
              </w:rPr>
              <w:t>pmi</w:t>
            </w:r>
            <w:proofErr w:type="spellEnd"/>
            <w:r w:rsidRPr="00BD7231">
              <w:rPr>
                <w:rFonts w:ascii="Arial Narrow" w:hAnsi="Arial Narrow"/>
              </w:rPr>
              <w:t xml:space="preserve"> (</w:t>
            </w:r>
            <w:proofErr w:type="spellStart"/>
            <w:r w:rsidRPr="00BD7231">
              <w:rPr>
                <w:rFonts w:ascii="Arial Narrow" w:hAnsi="Arial Narrow"/>
              </w:rPr>
              <w:t>fosfomanosa</w:t>
            </w:r>
            <w:proofErr w:type="spellEnd"/>
            <w:r w:rsidRPr="00BD7231">
              <w:rPr>
                <w:rFonts w:ascii="Arial Narrow" w:hAnsi="Arial Narrow"/>
              </w:rPr>
              <w:t xml:space="preserve"> </w:t>
            </w:r>
            <w:proofErr w:type="spellStart"/>
            <w:r w:rsidRPr="00BD7231">
              <w:rPr>
                <w:rFonts w:ascii="Arial Narrow" w:hAnsi="Arial Narrow"/>
              </w:rPr>
              <w:t>isomerasa</w:t>
            </w:r>
            <w:proofErr w:type="spellEnd"/>
            <w:r w:rsidRPr="00BD7231">
              <w:rPr>
                <w:rFonts w:ascii="Arial Narrow" w:hAnsi="Arial Narrow"/>
              </w:rPr>
              <w:t xml:space="preserve">) de </w:t>
            </w:r>
            <w:proofErr w:type="spellStart"/>
            <w:r w:rsidRPr="00BD7231">
              <w:rPr>
                <w:rFonts w:ascii="Arial Narrow" w:hAnsi="Arial Narrow"/>
                <w:i/>
              </w:rPr>
              <w:t>Escherichia</w:t>
            </w:r>
            <w:proofErr w:type="spellEnd"/>
            <w:r w:rsidRPr="00BD7231">
              <w:rPr>
                <w:rFonts w:ascii="Arial Narrow" w:hAnsi="Arial Narrow"/>
                <w:i/>
              </w:rPr>
              <w:t xml:space="preserve"> </w:t>
            </w:r>
            <w:proofErr w:type="spellStart"/>
            <w:r w:rsidRPr="00BD7231">
              <w:rPr>
                <w:rFonts w:ascii="Arial Narrow" w:hAnsi="Arial Narrow"/>
                <w:i/>
              </w:rPr>
              <w:t>coli</w:t>
            </w:r>
            <w:proofErr w:type="spellEnd"/>
            <w:r w:rsidRPr="00BD7231">
              <w:rPr>
                <w:rFonts w:ascii="Arial Narrow" w:hAnsi="Arial Narrow"/>
              </w:rPr>
              <w:t xml:space="preserve"> (marcador de selección), que cataliza la isomerización de la manosa-6-fosfato a fructuosa-6-fosfato, y finalmente g) Secuencia terminadora de la enzima NOS (</w:t>
            </w:r>
            <w:proofErr w:type="spellStart"/>
            <w:r w:rsidRPr="00BD7231">
              <w:rPr>
                <w:rFonts w:ascii="Arial Narrow" w:hAnsi="Arial Narrow"/>
              </w:rPr>
              <w:t>nopalina</w:t>
            </w:r>
            <w:proofErr w:type="spellEnd"/>
            <w:r w:rsidRPr="00BD7231">
              <w:rPr>
                <w:rFonts w:ascii="Arial Narrow" w:hAnsi="Arial Narrow"/>
              </w:rPr>
              <w:t xml:space="preserve"> </w:t>
            </w:r>
            <w:proofErr w:type="spellStart"/>
            <w:r w:rsidRPr="00BD7231">
              <w:rPr>
                <w:rFonts w:ascii="Arial Narrow" w:hAnsi="Arial Narrow"/>
              </w:rPr>
              <w:t>sintasa</w:t>
            </w:r>
            <w:proofErr w:type="spellEnd"/>
            <w:r w:rsidRPr="00BD7231">
              <w:rPr>
                <w:rFonts w:ascii="Arial Narrow" w:hAnsi="Arial Narrow"/>
              </w:rPr>
              <w:t xml:space="preserve">), de </w:t>
            </w:r>
            <w:proofErr w:type="spellStart"/>
            <w:r w:rsidRPr="00BD7231">
              <w:rPr>
                <w:rFonts w:ascii="Arial Narrow" w:hAnsi="Arial Narrow"/>
                <w:i/>
              </w:rPr>
              <w:t>Agrobacterium</w:t>
            </w:r>
            <w:proofErr w:type="spellEnd"/>
            <w:r w:rsidRPr="00BD7231">
              <w:rPr>
                <w:rFonts w:ascii="Arial Narrow" w:hAnsi="Arial Narrow"/>
                <w:i/>
              </w:rPr>
              <w:t xml:space="preserve"> </w:t>
            </w:r>
            <w:proofErr w:type="spellStart"/>
            <w:r w:rsidRPr="00BD7231">
              <w:rPr>
                <w:rFonts w:ascii="Arial Narrow" w:hAnsi="Arial Narrow"/>
                <w:i/>
              </w:rPr>
              <w:t>tumefaciens</w:t>
            </w:r>
            <w:proofErr w:type="spellEnd"/>
            <w:r w:rsidRPr="00BD7231">
              <w:rPr>
                <w:rFonts w:ascii="Arial Narrow" w:hAnsi="Arial Narrow"/>
              </w:rPr>
              <w:t xml:space="preserve"> (253 </w:t>
            </w:r>
            <w:proofErr w:type="spellStart"/>
            <w:r w:rsidRPr="00BD7231">
              <w:rPr>
                <w:rFonts w:ascii="Arial Narrow" w:hAnsi="Arial Narrow"/>
              </w:rPr>
              <w:t>pb</w:t>
            </w:r>
            <w:proofErr w:type="spellEnd"/>
            <w:r w:rsidRPr="00BD7231">
              <w:rPr>
                <w:rFonts w:ascii="Arial Narrow" w:hAnsi="Arial Narrow"/>
              </w:rPr>
              <w:t>).</w:t>
            </w:r>
          </w:p>
          <w:p w:rsidR="002310CA" w:rsidRPr="00BD7231" w:rsidRDefault="002310CA" w:rsidP="00815366">
            <w:pPr>
              <w:jc w:val="both"/>
              <w:rPr>
                <w:rFonts w:ascii="Arial Narrow" w:hAnsi="Arial Narrow"/>
              </w:rPr>
            </w:pPr>
          </w:p>
        </w:tc>
      </w:tr>
    </w:tbl>
    <w:p w:rsidR="00BB11F1" w:rsidRPr="00BD7231" w:rsidRDefault="00BB11F1" w:rsidP="006A4C1F">
      <w:pPr>
        <w:keepNext/>
        <w:jc w:val="both"/>
        <w:outlineLvl w:val="0"/>
        <w:rPr>
          <w:rFonts w:ascii="Arial Narrow" w:hAnsi="Arial Narrow"/>
          <w:b/>
          <w:bCs/>
          <w:lang w:val="es-MX"/>
        </w:rPr>
      </w:pPr>
    </w:p>
    <w:p w:rsidR="006A4C1F" w:rsidRPr="00BD7231" w:rsidRDefault="006A4C1F" w:rsidP="006A4C1F">
      <w:pPr>
        <w:keepNext/>
        <w:jc w:val="both"/>
        <w:outlineLvl w:val="0"/>
        <w:rPr>
          <w:rFonts w:ascii="Arial Narrow" w:hAnsi="Arial Narrow"/>
          <w:b/>
          <w:bCs/>
          <w:lang w:val="es-MX"/>
        </w:rPr>
      </w:pPr>
      <w:r w:rsidRPr="00BD7231">
        <w:rPr>
          <w:rFonts w:ascii="Arial Narrow" w:hAnsi="Arial Narrow"/>
          <w:b/>
          <w:bCs/>
          <w:lang w:val="es-MX"/>
        </w:rPr>
        <w:t>Evaluación de la inocuidad: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42"/>
      </w:tblGrid>
      <w:tr w:rsidR="006A4C1F" w:rsidRPr="00BD7231" w:rsidTr="00BC646A">
        <w:trPr>
          <w:trHeight w:val="416"/>
        </w:trPr>
        <w:tc>
          <w:tcPr>
            <w:tcW w:w="10542" w:type="dxa"/>
          </w:tcPr>
          <w:p w:rsidR="008B52BC" w:rsidRPr="00BD7231" w:rsidRDefault="006A4C1F" w:rsidP="006A4C1F">
            <w:pPr>
              <w:jc w:val="both"/>
              <w:rPr>
                <w:rFonts w:ascii="Arial Narrow" w:hAnsi="Arial Narrow"/>
                <w:b/>
                <w:lang w:val="es-MX"/>
              </w:rPr>
            </w:pPr>
            <w:proofErr w:type="spellStart"/>
            <w:r w:rsidRPr="00BD7231">
              <w:rPr>
                <w:rFonts w:ascii="Arial Narrow" w:hAnsi="Arial Narrow"/>
                <w:b/>
                <w:lang w:val="es-MX"/>
              </w:rPr>
              <w:t>Alergenicidad</w:t>
            </w:r>
            <w:proofErr w:type="spellEnd"/>
            <w:r w:rsidRPr="00BD7231">
              <w:rPr>
                <w:rFonts w:ascii="Arial Narrow" w:hAnsi="Arial Narrow"/>
                <w:b/>
                <w:lang w:val="es-MX"/>
              </w:rPr>
              <w:t>:</w:t>
            </w:r>
          </w:p>
          <w:p w:rsidR="005F025B" w:rsidRPr="00BD7231" w:rsidRDefault="003B5DE6" w:rsidP="007A1D2D">
            <w:pPr>
              <w:jc w:val="both"/>
              <w:rPr>
                <w:rFonts w:ascii="Arial Narrow" w:hAnsi="Arial Narrow"/>
              </w:rPr>
            </w:pPr>
            <w:r w:rsidRPr="00BD7231">
              <w:rPr>
                <w:rFonts w:ascii="Arial Narrow" w:hAnsi="Arial Narrow"/>
              </w:rPr>
              <w:t>Los ensayos de digestión simulada y de estabilidad al calor, así como la comparación informática con alérgenos conocidos, demostraron que la probabilidad de alergenicidad de las proteínas insertadas es baja</w:t>
            </w:r>
            <w:r w:rsidR="00A11D03" w:rsidRPr="00BD7231">
              <w:rPr>
                <w:rFonts w:ascii="Arial Narrow" w:hAnsi="Arial Narrow"/>
              </w:rPr>
              <w:t>.</w:t>
            </w:r>
          </w:p>
        </w:tc>
      </w:tr>
      <w:tr w:rsidR="006A4C1F" w:rsidRPr="00BD7231" w:rsidTr="00E702B7">
        <w:tc>
          <w:tcPr>
            <w:tcW w:w="10542" w:type="dxa"/>
          </w:tcPr>
          <w:p w:rsidR="005F025B" w:rsidRPr="00BD7231" w:rsidRDefault="005F025B" w:rsidP="005F025B">
            <w:pPr>
              <w:jc w:val="both"/>
              <w:rPr>
                <w:rFonts w:ascii="Arial Narrow" w:hAnsi="Arial Narrow"/>
                <w:b/>
                <w:lang w:val="es-MX"/>
              </w:rPr>
            </w:pPr>
            <w:r w:rsidRPr="00BD7231">
              <w:rPr>
                <w:rFonts w:ascii="Arial Narrow" w:hAnsi="Arial Narrow"/>
                <w:b/>
                <w:lang w:val="es-MX"/>
              </w:rPr>
              <w:t>Toxicidad:</w:t>
            </w:r>
          </w:p>
          <w:p w:rsidR="00F67AE3" w:rsidRPr="00BD7231" w:rsidRDefault="005F025B" w:rsidP="0062544F">
            <w:pPr>
              <w:jc w:val="both"/>
              <w:rPr>
                <w:rFonts w:ascii="Arial Narrow" w:hAnsi="Arial Narrow"/>
                <w:lang w:val="es-MX"/>
              </w:rPr>
            </w:pPr>
            <w:r w:rsidRPr="00BD7231">
              <w:rPr>
                <w:rFonts w:ascii="Arial Narrow" w:hAnsi="Arial Narrow"/>
                <w:lang w:val="es-MX"/>
              </w:rPr>
              <w:t>Los estudios de toxicidad aguda y subcrónica, así como la comparación informática con toxinas conocidas, demostraron que la toxicidad de las proteínas insertadas es baja.</w:t>
            </w:r>
          </w:p>
        </w:tc>
      </w:tr>
      <w:tr w:rsidR="005F025B" w:rsidRPr="00BD7231" w:rsidTr="005F025B">
        <w:tc>
          <w:tcPr>
            <w:tcW w:w="10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5B" w:rsidRPr="00BD7231" w:rsidRDefault="005F025B" w:rsidP="00032C3D">
            <w:pPr>
              <w:jc w:val="both"/>
              <w:rPr>
                <w:rFonts w:ascii="Arial Narrow" w:hAnsi="Arial Narrow"/>
                <w:b/>
                <w:lang w:val="es-MX"/>
              </w:rPr>
            </w:pPr>
            <w:r w:rsidRPr="00BD7231">
              <w:rPr>
                <w:rFonts w:ascii="Arial Narrow" w:hAnsi="Arial Narrow"/>
                <w:b/>
                <w:lang w:val="es-MX"/>
              </w:rPr>
              <w:t>Nutricional:</w:t>
            </w:r>
          </w:p>
          <w:p w:rsidR="005F025B" w:rsidRPr="00BD7231" w:rsidRDefault="005F025B" w:rsidP="00164858">
            <w:pPr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 w:rsidRPr="00BD7231">
              <w:rPr>
                <w:rFonts w:ascii="Arial Narrow" w:hAnsi="Arial Narrow"/>
                <w:lang w:val="es-MX"/>
              </w:rPr>
              <w:t>Los result</w:t>
            </w:r>
            <w:r w:rsidR="0043342B" w:rsidRPr="00BD7231">
              <w:rPr>
                <w:rFonts w:ascii="Arial Narrow" w:hAnsi="Arial Narrow"/>
                <w:lang w:val="es-MX"/>
              </w:rPr>
              <w:t xml:space="preserve">ados de composición para el </w:t>
            </w:r>
            <w:r w:rsidR="00BC7CF0" w:rsidRPr="00BD7231">
              <w:rPr>
                <w:rFonts w:ascii="Arial Narrow" w:hAnsi="Arial Narrow"/>
                <w:lang w:val="es-MX"/>
              </w:rPr>
              <w:t>maíz</w:t>
            </w:r>
            <w:r w:rsidR="00CF3BFF" w:rsidRPr="00BD7231">
              <w:rPr>
                <w:rFonts w:ascii="Arial Narrow" w:hAnsi="Arial Narrow"/>
                <w:lang w:val="es-MX"/>
              </w:rPr>
              <w:t xml:space="preserve"> </w:t>
            </w:r>
            <w:r w:rsidR="00722DC6" w:rsidRPr="00BD7231">
              <w:rPr>
                <w:rFonts w:ascii="Arial Narrow" w:hAnsi="Arial Narrow"/>
                <w:lang w:eastAsia="es-MX"/>
              </w:rPr>
              <w:t>Bt11 x MIR162 x MIR604 x TC1507 x 5307 x GA21</w:t>
            </w:r>
            <w:r w:rsidRPr="00BD7231">
              <w:rPr>
                <w:rFonts w:ascii="Arial Narrow" w:hAnsi="Arial Narrow"/>
                <w:lang w:val="es-MX"/>
              </w:rPr>
              <w:t xml:space="preserve">confirman la </w:t>
            </w:r>
            <w:r w:rsidRPr="00BD7231">
              <w:rPr>
                <w:rFonts w:ascii="Arial Narrow" w:hAnsi="Arial Narrow"/>
                <w:lang w:val="es-MX"/>
              </w:rPr>
              <w:lastRenderedPageBreak/>
              <w:t>equ</w:t>
            </w:r>
            <w:r w:rsidR="00A11D03" w:rsidRPr="00BD7231">
              <w:rPr>
                <w:rFonts w:ascii="Arial Narrow" w:hAnsi="Arial Narrow"/>
                <w:lang w:val="es-MX"/>
              </w:rPr>
              <w:t xml:space="preserve">ivalencia sustancial entre </w:t>
            </w:r>
            <w:r w:rsidR="0043342B" w:rsidRPr="00BD7231">
              <w:rPr>
                <w:rFonts w:ascii="Arial Narrow" w:hAnsi="Arial Narrow"/>
                <w:lang w:val="es-MX"/>
              </w:rPr>
              <w:t xml:space="preserve">el </w:t>
            </w:r>
            <w:r w:rsidR="00164858" w:rsidRPr="00BD7231">
              <w:rPr>
                <w:rFonts w:ascii="Arial Narrow" w:hAnsi="Arial Narrow"/>
                <w:lang w:val="es-MX"/>
              </w:rPr>
              <w:t xml:space="preserve">maíz </w:t>
            </w:r>
            <w:r w:rsidR="0043342B" w:rsidRPr="00BD7231">
              <w:rPr>
                <w:rFonts w:ascii="Arial Narrow" w:hAnsi="Arial Narrow"/>
                <w:lang w:val="es-MX"/>
              </w:rPr>
              <w:t>genét</w:t>
            </w:r>
            <w:r w:rsidR="00164858" w:rsidRPr="00BD7231">
              <w:rPr>
                <w:rFonts w:ascii="Arial Narrow" w:hAnsi="Arial Narrow"/>
                <w:lang w:val="es-MX"/>
              </w:rPr>
              <w:t>icamente modificado y el maíz</w:t>
            </w:r>
            <w:r w:rsidR="0043342B" w:rsidRPr="00BD7231">
              <w:rPr>
                <w:rFonts w:ascii="Arial Narrow" w:hAnsi="Arial Narrow"/>
                <w:lang w:val="es-MX"/>
              </w:rPr>
              <w:t xml:space="preserve"> </w:t>
            </w:r>
            <w:r w:rsidR="00A11D03" w:rsidRPr="00BD7231">
              <w:rPr>
                <w:rFonts w:ascii="Arial Narrow" w:hAnsi="Arial Narrow"/>
                <w:lang w:val="es-MX"/>
              </w:rPr>
              <w:t>convencional</w:t>
            </w:r>
            <w:r w:rsidR="0043342B" w:rsidRPr="00BD7231">
              <w:rPr>
                <w:rFonts w:ascii="Arial Narrow" w:hAnsi="Arial Narrow"/>
                <w:lang w:val="es-MX"/>
              </w:rPr>
              <w:t xml:space="preserve"> utilizado como control</w:t>
            </w:r>
            <w:r w:rsidRPr="00BD7231">
              <w:rPr>
                <w:rFonts w:ascii="Arial Narrow" w:hAnsi="Arial Narrow"/>
                <w:lang w:val="es-MX"/>
              </w:rPr>
              <w:t>.</w:t>
            </w:r>
          </w:p>
        </w:tc>
      </w:tr>
    </w:tbl>
    <w:p w:rsidR="006A4C1F" w:rsidRPr="00BD7231" w:rsidRDefault="006A4C1F" w:rsidP="006A4C1F">
      <w:pPr>
        <w:jc w:val="both"/>
        <w:rPr>
          <w:rFonts w:ascii="Arial Narrow" w:hAnsi="Arial Narrow"/>
          <w:color w:val="FF0000"/>
          <w:lang w:val="es-MX"/>
        </w:rPr>
      </w:pPr>
    </w:p>
    <w:p w:rsidR="006A4C1F" w:rsidRPr="00BD7231" w:rsidRDefault="006A4C1F" w:rsidP="006A4C1F">
      <w:pPr>
        <w:jc w:val="both"/>
        <w:rPr>
          <w:rFonts w:ascii="Arial Narrow" w:hAnsi="Arial Narrow"/>
          <w:lang w:val="es-MX"/>
        </w:rPr>
      </w:pPr>
      <w:r w:rsidRPr="00BD7231">
        <w:rPr>
          <w:rFonts w:ascii="Arial Narrow" w:hAnsi="Arial Narrow"/>
          <w:b/>
          <w:lang w:val="es-MX"/>
        </w:rPr>
        <w:t>Autorizaciones del producto para consumo humano emitidas por otros países: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42"/>
      </w:tblGrid>
      <w:tr w:rsidR="006A4C1F" w:rsidRPr="00BD7231" w:rsidTr="00E702B7">
        <w:tc>
          <w:tcPr>
            <w:tcW w:w="10542" w:type="dxa"/>
          </w:tcPr>
          <w:p w:rsidR="00722DC6" w:rsidRPr="00BD7231" w:rsidRDefault="00722DC6" w:rsidP="00722DC6">
            <w:pPr>
              <w:pStyle w:val="Textoindependiente"/>
              <w:ind w:right="0"/>
              <w:rPr>
                <w:rFonts w:ascii="Arial Narrow" w:hAnsi="Arial Narrow"/>
                <w:color w:val="auto"/>
                <w:sz w:val="24"/>
              </w:rPr>
            </w:pPr>
            <w:r w:rsidRPr="00BD7231">
              <w:rPr>
                <w:rFonts w:ascii="Arial Narrow" w:hAnsi="Arial Narrow"/>
                <w:color w:val="auto"/>
                <w:sz w:val="24"/>
              </w:rPr>
              <w:t xml:space="preserve">Bt11 </w:t>
            </w:r>
          </w:p>
          <w:p w:rsidR="00722DC6" w:rsidRPr="00BD7231" w:rsidRDefault="00722DC6" w:rsidP="00722DC6">
            <w:pPr>
              <w:pStyle w:val="Textoindependiente"/>
              <w:ind w:right="0"/>
              <w:rPr>
                <w:rFonts w:ascii="Arial Narrow" w:hAnsi="Arial Narrow"/>
                <w:b w:val="0"/>
                <w:color w:val="auto"/>
                <w:sz w:val="24"/>
              </w:rPr>
            </w:pPr>
            <w:r w:rsidRPr="00BD7231">
              <w:rPr>
                <w:rFonts w:ascii="Arial Narrow" w:hAnsi="Arial Narrow"/>
                <w:b w:val="0"/>
                <w:color w:val="auto"/>
                <w:sz w:val="24"/>
              </w:rPr>
              <w:t xml:space="preserve">Autorizado para consumo humano en Canadá (1996), Japón (1996), Unión Europea (1998), Suiza (1998), Argentina (2001), Filipinas (2003), Sudáfrica (2002), Uruguay (2004), México (2007); Colombia (2008).  </w:t>
            </w:r>
          </w:p>
          <w:p w:rsidR="00722DC6" w:rsidRPr="00BD7231" w:rsidRDefault="00722DC6" w:rsidP="00722DC6">
            <w:pPr>
              <w:pStyle w:val="Textoindependiente"/>
              <w:ind w:right="0"/>
              <w:rPr>
                <w:rFonts w:ascii="Arial Narrow" w:hAnsi="Arial Narrow"/>
                <w:b w:val="0"/>
                <w:color w:val="auto"/>
                <w:sz w:val="24"/>
              </w:rPr>
            </w:pPr>
          </w:p>
          <w:p w:rsidR="00722DC6" w:rsidRPr="00BD7231" w:rsidRDefault="00722DC6" w:rsidP="00722DC6">
            <w:pPr>
              <w:tabs>
                <w:tab w:val="left" w:pos="7106"/>
                <w:tab w:val="left" w:pos="7480"/>
              </w:tabs>
              <w:jc w:val="both"/>
              <w:rPr>
                <w:rFonts w:ascii="Arial Narrow" w:hAnsi="Arial Narrow" w:cs="Arial"/>
                <w:b/>
                <w:bCs/>
                <w:lang w:val="es-MX"/>
              </w:rPr>
            </w:pPr>
            <w:r w:rsidRPr="00BD7231">
              <w:rPr>
                <w:rFonts w:ascii="Arial Narrow" w:hAnsi="Arial Narrow" w:cs="Arial"/>
                <w:b/>
                <w:bCs/>
                <w:lang w:val="es-MX"/>
              </w:rPr>
              <w:t>MIR-162</w:t>
            </w:r>
          </w:p>
          <w:p w:rsidR="00722DC6" w:rsidRPr="00BD7231" w:rsidRDefault="00722DC6" w:rsidP="00722DC6">
            <w:pPr>
              <w:tabs>
                <w:tab w:val="left" w:pos="7106"/>
                <w:tab w:val="left" w:pos="7480"/>
              </w:tabs>
              <w:jc w:val="both"/>
              <w:rPr>
                <w:rFonts w:ascii="Arial Narrow" w:hAnsi="Arial Narrow" w:cs="Arial"/>
                <w:bCs/>
                <w:lang w:val="es-MX"/>
              </w:rPr>
            </w:pPr>
            <w:r w:rsidRPr="00BD7231">
              <w:rPr>
                <w:rFonts w:ascii="Arial Narrow" w:hAnsi="Arial Narrow" w:cs="Arial"/>
                <w:bCs/>
                <w:lang w:val="es-MX"/>
              </w:rPr>
              <w:t xml:space="preserve">Autorizado para consumo en Argentina (2011), Australia (2009), Brasil (2009), Canadá (2010), Colombia (2012), Japón (2010), Corea (2010), México (2010), Filipinas (2010), </w:t>
            </w:r>
            <w:proofErr w:type="spellStart"/>
            <w:r w:rsidRPr="00BD7231">
              <w:rPr>
                <w:rFonts w:ascii="Arial Narrow" w:hAnsi="Arial Narrow" w:cs="Arial"/>
                <w:bCs/>
                <w:lang w:val="es-MX"/>
              </w:rPr>
              <w:t>Taiwan</w:t>
            </w:r>
            <w:proofErr w:type="spellEnd"/>
            <w:r w:rsidRPr="00BD7231">
              <w:rPr>
                <w:rFonts w:ascii="Arial Narrow" w:hAnsi="Arial Narrow" w:cs="Arial"/>
                <w:bCs/>
                <w:lang w:val="es-MX"/>
              </w:rPr>
              <w:t xml:space="preserve"> (2009), Estados Unidos (2008)</w:t>
            </w:r>
          </w:p>
          <w:p w:rsidR="00722DC6" w:rsidRPr="00BD7231" w:rsidRDefault="00722DC6" w:rsidP="00722DC6">
            <w:pPr>
              <w:tabs>
                <w:tab w:val="left" w:pos="7106"/>
                <w:tab w:val="left" w:pos="7480"/>
              </w:tabs>
              <w:jc w:val="both"/>
              <w:rPr>
                <w:rFonts w:ascii="Arial Narrow" w:hAnsi="Arial Narrow" w:cs="Arial"/>
                <w:b/>
                <w:bCs/>
                <w:lang w:val="es-MX"/>
              </w:rPr>
            </w:pPr>
          </w:p>
          <w:p w:rsidR="00722DC6" w:rsidRPr="00BD7231" w:rsidRDefault="00722DC6" w:rsidP="00722DC6">
            <w:pPr>
              <w:tabs>
                <w:tab w:val="left" w:pos="7106"/>
                <w:tab w:val="left" w:pos="7480"/>
              </w:tabs>
              <w:jc w:val="both"/>
              <w:rPr>
                <w:rFonts w:ascii="Arial Narrow" w:hAnsi="Arial Narrow" w:cs="Arial"/>
                <w:b/>
                <w:bCs/>
                <w:lang w:val="es-MX"/>
              </w:rPr>
            </w:pPr>
            <w:r w:rsidRPr="00BD7231">
              <w:rPr>
                <w:rFonts w:ascii="Arial Narrow" w:hAnsi="Arial Narrow" w:cs="Arial"/>
                <w:b/>
                <w:bCs/>
                <w:lang w:val="es-MX"/>
              </w:rPr>
              <w:t>MIR-604</w:t>
            </w:r>
          </w:p>
          <w:p w:rsidR="00722DC6" w:rsidRPr="00BD7231" w:rsidRDefault="00722DC6" w:rsidP="00722DC6">
            <w:pPr>
              <w:tabs>
                <w:tab w:val="left" w:pos="7106"/>
                <w:tab w:val="left" w:pos="7480"/>
              </w:tabs>
              <w:jc w:val="both"/>
              <w:rPr>
                <w:rFonts w:ascii="Arial Narrow" w:hAnsi="Arial Narrow" w:cs="Arial"/>
                <w:bCs/>
                <w:lang w:val="es-MX"/>
              </w:rPr>
            </w:pPr>
            <w:r w:rsidRPr="00BD7231">
              <w:rPr>
                <w:rFonts w:ascii="Arial Narrow" w:hAnsi="Arial Narrow" w:cs="Arial"/>
                <w:bCs/>
                <w:lang w:val="es-MX"/>
              </w:rPr>
              <w:t xml:space="preserve">Autorizado para consumo en Argentina (2012), Australia (2006), Canadá (2007), China (2008), Colombia (2012), Unión Europea (2009), Japón (2007), Corea (2007), México (2007), Filipinas (2007), Rusia (2007), </w:t>
            </w:r>
            <w:proofErr w:type="spellStart"/>
            <w:r w:rsidRPr="00BD7231">
              <w:rPr>
                <w:rFonts w:ascii="Arial Narrow" w:hAnsi="Arial Narrow" w:cs="Arial"/>
                <w:bCs/>
                <w:lang w:val="es-MX"/>
              </w:rPr>
              <w:t>Taiwan</w:t>
            </w:r>
            <w:proofErr w:type="spellEnd"/>
            <w:r w:rsidRPr="00BD7231">
              <w:rPr>
                <w:rFonts w:ascii="Arial Narrow" w:hAnsi="Arial Narrow" w:cs="Arial"/>
                <w:bCs/>
                <w:lang w:val="es-MX"/>
              </w:rPr>
              <w:t xml:space="preserve"> (2007), Estados Unidos (2007).</w:t>
            </w:r>
          </w:p>
          <w:p w:rsidR="00722DC6" w:rsidRPr="00BD7231" w:rsidRDefault="00722DC6" w:rsidP="00722DC6">
            <w:pPr>
              <w:tabs>
                <w:tab w:val="left" w:pos="7106"/>
                <w:tab w:val="left" w:pos="7480"/>
              </w:tabs>
              <w:jc w:val="both"/>
              <w:rPr>
                <w:rFonts w:ascii="Arial Narrow" w:hAnsi="Arial Narrow" w:cs="Arial"/>
                <w:bCs/>
                <w:lang w:val="es-MX"/>
              </w:rPr>
            </w:pPr>
          </w:p>
          <w:p w:rsidR="00722DC6" w:rsidRPr="00BD7231" w:rsidRDefault="00722DC6" w:rsidP="00722DC6">
            <w:pPr>
              <w:tabs>
                <w:tab w:val="left" w:pos="7106"/>
                <w:tab w:val="left" w:pos="7480"/>
              </w:tabs>
              <w:jc w:val="both"/>
              <w:rPr>
                <w:rFonts w:ascii="Arial Narrow" w:hAnsi="Arial Narrow"/>
                <w:b/>
                <w:lang w:eastAsia="es-MX"/>
              </w:rPr>
            </w:pPr>
            <w:r w:rsidRPr="00BD7231">
              <w:rPr>
                <w:rFonts w:ascii="Arial Narrow" w:hAnsi="Arial Narrow"/>
                <w:b/>
                <w:lang w:eastAsia="es-MX"/>
              </w:rPr>
              <w:t>SYN-53Ø7</w:t>
            </w:r>
          </w:p>
          <w:p w:rsidR="00722DC6" w:rsidRPr="00BD7231" w:rsidRDefault="00722DC6" w:rsidP="00722DC6">
            <w:pPr>
              <w:tabs>
                <w:tab w:val="left" w:pos="7106"/>
                <w:tab w:val="left" w:pos="7480"/>
              </w:tabs>
              <w:jc w:val="both"/>
              <w:rPr>
                <w:rFonts w:ascii="Arial Narrow" w:hAnsi="Arial Narrow" w:cs="Arial"/>
                <w:bCs/>
                <w:lang w:val="es-MX"/>
              </w:rPr>
            </w:pPr>
            <w:r w:rsidRPr="00BD7231">
              <w:rPr>
                <w:rFonts w:ascii="Arial Narrow" w:hAnsi="Arial Narrow"/>
                <w:lang w:eastAsia="es-MX"/>
              </w:rPr>
              <w:t>Autorizado para su consumo en Australia (2012), Nueva Zelanda (2012), Estados Unidos (2012)</w:t>
            </w:r>
          </w:p>
          <w:p w:rsidR="00722DC6" w:rsidRPr="00BD7231" w:rsidRDefault="00722DC6" w:rsidP="00722DC6">
            <w:pPr>
              <w:tabs>
                <w:tab w:val="left" w:pos="7106"/>
                <w:tab w:val="left" w:pos="7480"/>
              </w:tabs>
              <w:jc w:val="both"/>
              <w:rPr>
                <w:rFonts w:ascii="Arial Narrow" w:hAnsi="Arial Narrow" w:cs="Arial"/>
                <w:bCs/>
                <w:lang w:val="es-MX"/>
              </w:rPr>
            </w:pPr>
          </w:p>
          <w:p w:rsidR="00722DC6" w:rsidRPr="00BD7231" w:rsidRDefault="00722DC6" w:rsidP="00722DC6">
            <w:pPr>
              <w:pStyle w:val="Textoindependiente"/>
              <w:ind w:right="0"/>
              <w:rPr>
                <w:rFonts w:ascii="Arial Narrow" w:hAnsi="Arial Narrow"/>
                <w:color w:val="auto"/>
                <w:sz w:val="24"/>
              </w:rPr>
            </w:pPr>
            <w:r w:rsidRPr="00BD7231">
              <w:rPr>
                <w:rFonts w:ascii="Arial Narrow" w:hAnsi="Arial Narrow"/>
                <w:color w:val="auto"/>
                <w:sz w:val="24"/>
              </w:rPr>
              <w:t>GA21</w:t>
            </w:r>
          </w:p>
          <w:p w:rsidR="00722DC6" w:rsidRPr="00BD7231" w:rsidRDefault="00722DC6" w:rsidP="00722DC6">
            <w:pPr>
              <w:pStyle w:val="Textoindependiente"/>
              <w:ind w:right="0"/>
              <w:rPr>
                <w:rFonts w:ascii="Arial Narrow" w:hAnsi="Arial Narrow"/>
                <w:b w:val="0"/>
                <w:color w:val="auto"/>
                <w:sz w:val="24"/>
              </w:rPr>
            </w:pPr>
            <w:r w:rsidRPr="00BD7231">
              <w:rPr>
                <w:rFonts w:ascii="Arial Narrow" w:hAnsi="Arial Narrow"/>
                <w:b w:val="0"/>
                <w:color w:val="auto"/>
                <w:sz w:val="24"/>
              </w:rPr>
              <w:t>Autorizado para consumo humano en Canadá (1998), Argentina (1998), Australia (2000), Japón (1998), Corea (2002), México (2002), Sudáfrica (2002), China (2004), Unión Europea (2006) Brasil (2008), Filipinas (2009).</w:t>
            </w:r>
          </w:p>
          <w:p w:rsidR="00722DC6" w:rsidRPr="00BD7231" w:rsidRDefault="00722DC6" w:rsidP="00722DC6">
            <w:pPr>
              <w:pStyle w:val="Textoindependiente"/>
              <w:ind w:right="0"/>
              <w:rPr>
                <w:rFonts w:ascii="Arial Narrow" w:hAnsi="Arial Narrow"/>
                <w:b w:val="0"/>
                <w:color w:val="auto"/>
                <w:sz w:val="24"/>
              </w:rPr>
            </w:pPr>
          </w:p>
          <w:p w:rsidR="00722DC6" w:rsidRPr="00BD7231" w:rsidRDefault="00722DC6" w:rsidP="00722DC6">
            <w:pPr>
              <w:tabs>
                <w:tab w:val="left" w:pos="7106"/>
                <w:tab w:val="left" w:pos="7480"/>
              </w:tabs>
              <w:jc w:val="both"/>
              <w:rPr>
                <w:rFonts w:ascii="Arial Narrow" w:hAnsi="Arial Narrow"/>
                <w:b/>
              </w:rPr>
            </w:pPr>
            <w:r w:rsidRPr="00BD7231">
              <w:rPr>
                <w:rFonts w:ascii="Arial Narrow" w:hAnsi="Arial Narrow"/>
                <w:b/>
              </w:rPr>
              <w:t>TC1507</w:t>
            </w:r>
          </w:p>
          <w:p w:rsidR="00722DC6" w:rsidRPr="00BD7231" w:rsidRDefault="00722DC6" w:rsidP="00722DC6">
            <w:pPr>
              <w:tabs>
                <w:tab w:val="left" w:pos="7106"/>
                <w:tab w:val="left" w:pos="7480"/>
              </w:tabs>
              <w:jc w:val="both"/>
            </w:pPr>
            <w:r w:rsidRPr="00BD7231">
              <w:rPr>
                <w:rFonts w:ascii="Arial Narrow" w:hAnsi="Arial Narrow"/>
              </w:rPr>
              <w:t>Autorizado para consumo humano y/o animal en Sudáfrica (2002), además de haber sido aprobado en otros países como Canadá (2001), México (2003), China (2004), Argentina (2005) y Brasil (2008)</w:t>
            </w:r>
            <w:r w:rsidRPr="00BD7231">
              <w:t>.</w:t>
            </w:r>
          </w:p>
          <w:p w:rsidR="00722DC6" w:rsidRPr="00BD7231" w:rsidRDefault="00722DC6" w:rsidP="00722DC6">
            <w:pPr>
              <w:pStyle w:val="Textoindependiente"/>
              <w:ind w:right="0"/>
              <w:rPr>
                <w:rFonts w:ascii="Arial Narrow" w:hAnsi="Arial Narrow"/>
                <w:b w:val="0"/>
                <w:color w:val="auto"/>
                <w:sz w:val="24"/>
              </w:rPr>
            </w:pPr>
          </w:p>
          <w:p w:rsidR="00F67AE3" w:rsidRPr="00BD7231" w:rsidRDefault="00F67AE3" w:rsidP="00164858">
            <w:pPr>
              <w:tabs>
                <w:tab w:val="left" w:pos="7106"/>
                <w:tab w:val="left" w:pos="7480"/>
              </w:tabs>
              <w:jc w:val="both"/>
              <w:rPr>
                <w:rFonts w:ascii="Arial Narrow" w:hAnsi="Arial Narrow"/>
              </w:rPr>
            </w:pPr>
          </w:p>
        </w:tc>
      </w:tr>
    </w:tbl>
    <w:p w:rsidR="006A4C1F" w:rsidRPr="00BD7231" w:rsidRDefault="006A4C1F" w:rsidP="006A4C1F">
      <w:pPr>
        <w:jc w:val="both"/>
        <w:rPr>
          <w:rFonts w:ascii="Arial Narrow" w:hAnsi="Arial Narrow"/>
          <w:color w:val="FF0000"/>
          <w:lang w:val="es-MX"/>
        </w:rPr>
      </w:pPr>
    </w:p>
    <w:p w:rsidR="006A4C1F" w:rsidRPr="00BD7231" w:rsidRDefault="006A4C1F" w:rsidP="006A4C1F">
      <w:pPr>
        <w:keepNext/>
        <w:jc w:val="both"/>
        <w:outlineLvl w:val="0"/>
        <w:rPr>
          <w:rFonts w:ascii="Arial Narrow" w:hAnsi="Arial Narrow"/>
          <w:b/>
          <w:bCs/>
          <w:lang w:val="es-MX"/>
        </w:rPr>
      </w:pPr>
      <w:r w:rsidRPr="00BD7231">
        <w:rPr>
          <w:rFonts w:ascii="Arial Narrow" w:hAnsi="Arial Narrow"/>
          <w:b/>
          <w:bCs/>
          <w:lang w:val="es-MX"/>
        </w:rPr>
        <w:t>Conclusión: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42"/>
      </w:tblGrid>
      <w:tr w:rsidR="006A4C1F" w:rsidRPr="003E154D" w:rsidTr="00E702B7">
        <w:tc>
          <w:tcPr>
            <w:tcW w:w="10542" w:type="dxa"/>
          </w:tcPr>
          <w:p w:rsidR="00624616" w:rsidRPr="00164858" w:rsidRDefault="00D647C3" w:rsidP="00164858">
            <w:pPr>
              <w:rPr>
                <w:rFonts w:asciiTheme="minorHAnsi" w:eastAsiaTheme="minorHAnsi" w:hAnsiTheme="minorHAnsi" w:cstheme="minorBidi"/>
                <w:lang w:val="es-MX" w:eastAsia="en-US"/>
              </w:rPr>
            </w:pPr>
            <w:r w:rsidRPr="00BD7231">
              <w:rPr>
                <w:rFonts w:ascii="Arial Narrow" w:hAnsi="Arial Narrow"/>
              </w:rPr>
              <w:t>No se observaron efectos tóxicos, alérgicos o cambios nutrimentales sustanciales en</w:t>
            </w:r>
            <w:r w:rsidR="00724343" w:rsidRPr="00BD7231">
              <w:rPr>
                <w:rFonts w:ascii="Arial Narrow" w:hAnsi="Arial Narrow"/>
              </w:rPr>
              <w:t xml:space="preserve"> </w:t>
            </w:r>
            <w:r w:rsidR="0043342B" w:rsidRPr="00BD7231">
              <w:rPr>
                <w:rFonts w:ascii="Arial Narrow" w:hAnsi="Arial Narrow"/>
              </w:rPr>
              <w:t>e</w:t>
            </w:r>
            <w:r w:rsidR="00724343" w:rsidRPr="00BD7231">
              <w:rPr>
                <w:rFonts w:ascii="Arial Narrow" w:hAnsi="Arial Narrow"/>
              </w:rPr>
              <w:t>l</w:t>
            </w:r>
            <w:r w:rsidR="0043342B" w:rsidRPr="00BD7231">
              <w:rPr>
                <w:rFonts w:ascii="Arial Narrow" w:hAnsi="Arial Narrow"/>
              </w:rPr>
              <w:t xml:space="preserve"> </w:t>
            </w:r>
            <w:r w:rsidR="00164858" w:rsidRPr="00BD7231">
              <w:rPr>
                <w:rFonts w:ascii="Arial Narrow" w:hAnsi="Arial Narrow"/>
              </w:rPr>
              <w:t xml:space="preserve">maíz </w:t>
            </w:r>
            <w:r w:rsidR="0043342B" w:rsidRPr="00BD7231">
              <w:rPr>
                <w:rFonts w:ascii="Arial Narrow" w:hAnsi="Arial Narrow"/>
              </w:rPr>
              <w:t>genéticamente modificado e</w:t>
            </w:r>
            <w:r w:rsidR="001143CD" w:rsidRPr="00BD7231">
              <w:rPr>
                <w:rFonts w:ascii="Arial Narrow" w:hAnsi="Arial Narrow"/>
                <w:bCs/>
              </w:rPr>
              <w:t xml:space="preserve">vento </w:t>
            </w:r>
            <w:r w:rsidR="00722DC6" w:rsidRPr="00BD7231">
              <w:rPr>
                <w:rFonts w:ascii="Arial Narrow" w:hAnsi="Arial Narrow"/>
                <w:lang w:eastAsia="es-MX"/>
              </w:rPr>
              <w:t>Bt11 x MIR162 x MIR604 x TC1507 x 5307 x GA21</w:t>
            </w:r>
            <w:r w:rsidR="00164858" w:rsidRPr="00BD7231">
              <w:rPr>
                <w:rFonts w:ascii="Arial Narrow" w:eastAsiaTheme="minorHAnsi" w:hAnsi="Arial Narrow" w:cs="Calibri"/>
                <w:bCs/>
                <w:lang w:val="es-MX" w:eastAsia="en-US"/>
              </w:rPr>
              <w:t xml:space="preserve">. </w:t>
            </w:r>
            <w:r w:rsidRPr="00BD7231">
              <w:rPr>
                <w:rFonts w:ascii="Arial Narrow" w:hAnsi="Arial Narrow"/>
              </w:rPr>
              <w:t xml:space="preserve">Por lo tanto puede asegurarse que el </w:t>
            </w:r>
            <w:r w:rsidR="00724343" w:rsidRPr="00BD7231">
              <w:rPr>
                <w:rFonts w:ascii="Arial Narrow" w:hAnsi="Arial Narrow"/>
              </w:rPr>
              <w:t xml:space="preserve">evento </w:t>
            </w:r>
            <w:r w:rsidRPr="00BD7231">
              <w:rPr>
                <w:rFonts w:ascii="Arial Narrow" w:hAnsi="Arial Narrow"/>
              </w:rPr>
              <w:t>es, con base en los conocimientos existentes hasta la fecha, tan inocu</w:t>
            </w:r>
            <w:r w:rsidR="001143CD" w:rsidRPr="00BD7231">
              <w:rPr>
                <w:rFonts w:ascii="Arial Narrow" w:hAnsi="Arial Narrow"/>
              </w:rPr>
              <w:t>o como su homólogo convencional</w:t>
            </w:r>
            <w:r w:rsidRPr="00BD7231">
              <w:rPr>
                <w:rFonts w:ascii="Arial Narrow" w:hAnsi="Arial Narrow"/>
              </w:rPr>
              <w:t>.</w:t>
            </w:r>
            <w:bookmarkStart w:id="0" w:name="_GoBack"/>
            <w:bookmarkEnd w:id="0"/>
          </w:p>
        </w:tc>
      </w:tr>
    </w:tbl>
    <w:p w:rsidR="006A4C1F" w:rsidRPr="003E154D" w:rsidRDefault="006A4C1F" w:rsidP="00C772AB">
      <w:pPr>
        <w:ind w:right="-801"/>
        <w:rPr>
          <w:rFonts w:ascii="Arial Narrow" w:hAnsi="Arial Narrow"/>
          <w:lang w:val="es-MX"/>
        </w:rPr>
      </w:pPr>
    </w:p>
    <w:sectPr w:rsidR="006A4C1F" w:rsidRPr="003E154D" w:rsidSect="00250B33">
      <w:headerReference w:type="default" r:id="rId9"/>
      <w:pgSz w:w="12240" w:h="15840"/>
      <w:pgMar w:top="2381" w:right="760" w:bottom="1418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482" w:rsidRDefault="00621482" w:rsidP="00DA7407">
      <w:r>
        <w:separator/>
      </w:r>
    </w:p>
  </w:endnote>
  <w:endnote w:type="continuationSeparator" w:id="0">
    <w:p w:rsidR="00621482" w:rsidRDefault="00621482" w:rsidP="00DA7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arSymbol">
    <w:charset w:val="00"/>
    <w:family w:val="auto"/>
    <w:pitch w:val="variable"/>
    <w:sig w:usb0="00000003" w:usb1="10008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482" w:rsidRDefault="00621482" w:rsidP="00DA7407">
      <w:r>
        <w:separator/>
      </w:r>
    </w:p>
  </w:footnote>
  <w:footnote w:type="continuationSeparator" w:id="0">
    <w:p w:rsidR="00621482" w:rsidRDefault="00621482" w:rsidP="00DA74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407" w:rsidRDefault="00DA7407" w:rsidP="00DA7407">
    <w:pPr>
      <w:pStyle w:val="Encabezado"/>
      <w:tabs>
        <w:tab w:val="clear" w:pos="4419"/>
      </w:tabs>
    </w:pPr>
    <w:r>
      <w:rPr>
        <w:noProof/>
        <w:lang w:val="es-MX" w:eastAsia="es-MX"/>
      </w:rPr>
      <w:drawing>
        <wp:anchor distT="0" distB="0" distL="114300" distR="114300" simplePos="0" relativeHeight="251658240" behindDoc="0" locked="0" layoutInCell="1" allowOverlap="1" wp14:anchorId="08DF0F69" wp14:editId="705ED1E9">
          <wp:simplePos x="0" y="0"/>
          <wp:positionH relativeFrom="column">
            <wp:posOffset>-1080135</wp:posOffset>
          </wp:positionH>
          <wp:positionV relativeFrom="paragraph">
            <wp:posOffset>-449580</wp:posOffset>
          </wp:positionV>
          <wp:extent cx="7786370" cy="10137140"/>
          <wp:effectExtent l="0" t="0" r="508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6370" cy="10137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B0F75"/>
    <w:multiLevelType w:val="hybridMultilevel"/>
    <w:tmpl w:val="434E9A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C33290"/>
    <w:multiLevelType w:val="hybridMultilevel"/>
    <w:tmpl w:val="2780B53C"/>
    <w:lvl w:ilvl="0" w:tplc="BADE5794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-Bold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C85EFA"/>
    <w:multiLevelType w:val="hybridMultilevel"/>
    <w:tmpl w:val="AD96C0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B53355"/>
    <w:multiLevelType w:val="hybridMultilevel"/>
    <w:tmpl w:val="5A222552"/>
    <w:lvl w:ilvl="0" w:tplc="08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407"/>
    <w:rsid w:val="00000F7B"/>
    <w:rsid w:val="00011644"/>
    <w:rsid w:val="00013346"/>
    <w:rsid w:val="00013465"/>
    <w:rsid w:val="00014437"/>
    <w:rsid w:val="000265BB"/>
    <w:rsid w:val="0002669B"/>
    <w:rsid w:val="000658E5"/>
    <w:rsid w:val="00070BD4"/>
    <w:rsid w:val="00072146"/>
    <w:rsid w:val="00083F2A"/>
    <w:rsid w:val="00084143"/>
    <w:rsid w:val="00090BC3"/>
    <w:rsid w:val="00092345"/>
    <w:rsid w:val="00097CD3"/>
    <w:rsid w:val="000A02CE"/>
    <w:rsid w:val="000A25F1"/>
    <w:rsid w:val="000A4AD7"/>
    <w:rsid w:val="000A4C58"/>
    <w:rsid w:val="000B1509"/>
    <w:rsid w:val="000B6E4C"/>
    <w:rsid w:val="000C20A0"/>
    <w:rsid w:val="000C4EAE"/>
    <w:rsid w:val="000C5752"/>
    <w:rsid w:val="000D09B0"/>
    <w:rsid w:val="000D2C65"/>
    <w:rsid w:val="000E3A6A"/>
    <w:rsid w:val="000F1C62"/>
    <w:rsid w:val="000F1E55"/>
    <w:rsid w:val="000F4F5C"/>
    <w:rsid w:val="000F520D"/>
    <w:rsid w:val="00106BFD"/>
    <w:rsid w:val="00107634"/>
    <w:rsid w:val="00110651"/>
    <w:rsid w:val="001143CD"/>
    <w:rsid w:val="00114A68"/>
    <w:rsid w:val="00133067"/>
    <w:rsid w:val="00133176"/>
    <w:rsid w:val="0014564B"/>
    <w:rsid w:val="001503F8"/>
    <w:rsid w:val="00150E17"/>
    <w:rsid w:val="001520D1"/>
    <w:rsid w:val="00156BE3"/>
    <w:rsid w:val="00164858"/>
    <w:rsid w:val="00187D19"/>
    <w:rsid w:val="001934BD"/>
    <w:rsid w:val="001A38AD"/>
    <w:rsid w:val="001A4F96"/>
    <w:rsid w:val="001B50AC"/>
    <w:rsid w:val="001C239D"/>
    <w:rsid w:val="001D2B36"/>
    <w:rsid w:val="001D7471"/>
    <w:rsid w:val="001E08EF"/>
    <w:rsid w:val="001E22B6"/>
    <w:rsid w:val="001F7132"/>
    <w:rsid w:val="00200DD9"/>
    <w:rsid w:val="00213BBA"/>
    <w:rsid w:val="00222003"/>
    <w:rsid w:val="00225511"/>
    <w:rsid w:val="00225C1B"/>
    <w:rsid w:val="002310CA"/>
    <w:rsid w:val="00237F23"/>
    <w:rsid w:val="00241CF8"/>
    <w:rsid w:val="00250B33"/>
    <w:rsid w:val="0025288A"/>
    <w:rsid w:val="002533C9"/>
    <w:rsid w:val="00272E18"/>
    <w:rsid w:val="0029120F"/>
    <w:rsid w:val="002A4829"/>
    <w:rsid w:val="002A6ED3"/>
    <w:rsid w:val="002B4490"/>
    <w:rsid w:val="002B7318"/>
    <w:rsid w:val="002C06E4"/>
    <w:rsid w:val="002C1879"/>
    <w:rsid w:val="002D7F8A"/>
    <w:rsid w:val="002E0FA5"/>
    <w:rsid w:val="002E2915"/>
    <w:rsid w:val="002E7711"/>
    <w:rsid w:val="002F217D"/>
    <w:rsid w:val="002F2E67"/>
    <w:rsid w:val="002F2F92"/>
    <w:rsid w:val="00301912"/>
    <w:rsid w:val="00302A34"/>
    <w:rsid w:val="0030400A"/>
    <w:rsid w:val="003040CA"/>
    <w:rsid w:val="00306730"/>
    <w:rsid w:val="00314E4B"/>
    <w:rsid w:val="0032015F"/>
    <w:rsid w:val="003203EB"/>
    <w:rsid w:val="00321C24"/>
    <w:rsid w:val="00331EA6"/>
    <w:rsid w:val="003320EA"/>
    <w:rsid w:val="0035394F"/>
    <w:rsid w:val="00353B15"/>
    <w:rsid w:val="003542B1"/>
    <w:rsid w:val="003555F8"/>
    <w:rsid w:val="0037239C"/>
    <w:rsid w:val="00373332"/>
    <w:rsid w:val="00384C37"/>
    <w:rsid w:val="0039473A"/>
    <w:rsid w:val="003A0C67"/>
    <w:rsid w:val="003B3253"/>
    <w:rsid w:val="003B5DE6"/>
    <w:rsid w:val="003D3E22"/>
    <w:rsid w:val="003E154D"/>
    <w:rsid w:val="003E3B5D"/>
    <w:rsid w:val="003F1272"/>
    <w:rsid w:val="003F3B8D"/>
    <w:rsid w:val="003F3E5A"/>
    <w:rsid w:val="00403F53"/>
    <w:rsid w:val="00405C5D"/>
    <w:rsid w:val="00410AA8"/>
    <w:rsid w:val="004248F7"/>
    <w:rsid w:val="0043342B"/>
    <w:rsid w:val="00442003"/>
    <w:rsid w:val="0045325F"/>
    <w:rsid w:val="00456168"/>
    <w:rsid w:val="004612F0"/>
    <w:rsid w:val="00462E04"/>
    <w:rsid w:val="00464145"/>
    <w:rsid w:val="0046658D"/>
    <w:rsid w:val="0047170A"/>
    <w:rsid w:val="00486D2B"/>
    <w:rsid w:val="004A7B89"/>
    <w:rsid w:val="004C01CD"/>
    <w:rsid w:val="004C3EC7"/>
    <w:rsid w:val="004D2BB1"/>
    <w:rsid w:val="0050088D"/>
    <w:rsid w:val="005040EC"/>
    <w:rsid w:val="005237C8"/>
    <w:rsid w:val="005237CE"/>
    <w:rsid w:val="00527944"/>
    <w:rsid w:val="005344C5"/>
    <w:rsid w:val="0053510D"/>
    <w:rsid w:val="00540103"/>
    <w:rsid w:val="00540DCE"/>
    <w:rsid w:val="00543EB2"/>
    <w:rsid w:val="00543F57"/>
    <w:rsid w:val="00545BF2"/>
    <w:rsid w:val="00545C66"/>
    <w:rsid w:val="00551742"/>
    <w:rsid w:val="00557921"/>
    <w:rsid w:val="0056481E"/>
    <w:rsid w:val="00576D51"/>
    <w:rsid w:val="00591007"/>
    <w:rsid w:val="0059147F"/>
    <w:rsid w:val="0059593C"/>
    <w:rsid w:val="005A4AEF"/>
    <w:rsid w:val="005A73A8"/>
    <w:rsid w:val="005B6084"/>
    <w:rsid w:val="005B7C45"/>
    <w:rsid w:val="005C2C5C"/>
    <w:rsid w:val="005D6D9D"/>
    <w:rsid w:val="005D7D11"/>
    <w:rsid w:val="005F025B"/>
    <w:rsid w:val="005F39D6"/>
    <w:rsid w:val="00604606"/>
    <w:rsid w:val="0060534D"/>
    <w:rsid w:val="00605E4B"/>
    <w:rsid w:val="00612849"/>
    <w:rsid w:val="00621482"/>
    <w:rsid w:val="00624616"/>
    <w:rsid w:val="0062544F"/>
    <w:rsid w:val="006433C0"/>
    <w:rsid w:val="00646111"/>
    <w:rsid w:val="006622FF"/>
    <w:rsid w:val="0066255C"/>
    <w:rsid w:val="006709B6"/>
    <w:rsid w:val="00670FC6"/>
    <w:rsid w:val="006732A9"/>
    <w:rsid w:val="0067558B"/>
    <w:rsid w:val="006763C4"/>
    <w:rsid w:val="00677137"/>
    <w:rsid w:val="00687183"/>
    <w:rsid w:val="00687C71"/>
    <w:rsid w:val="006A081C"/>
    <w:rsid w:val="006A21D5"/>
    <w:rsid w:val="006A4231"/>
    <w:rsid w:val="006A4C1F"/>
    <w:rsid w:val="006C6ADD"/>
    <w:rsid w:val="006D546F"/>
    <w:rsid w:val="006E09A5"/>
    <w:rsid w:val="006E671E"/>
    <w:rsid w:val="006E67F6"/>
    <w:rsid w:val="006F5099"/>
    <w:rsid w:val="006F5B33"/>
    <w:rsid w:val="0070663E"/>
    <w:rsid w:val="007140D2"/>
    <w:rsid w:val="00715523"/>
    <w:rsid w:val="00717A58"/>
    <w:rsid w:val="00722DC6"/>
    <w:rsid w:val="00724343"/>
    <w:rsid w:val="00726FD5"/>
    <w:rsid w:val="00732A03"/>
    <w:rsid w:val="007375D2"/>
    <w:rsid w:val="00746F2D"/>
    <w:rsid w:val="00761376"/>
    <w:rsid w:val="0076454A"/>
    <w:rsid w:val="00767027"/>
    <w:rsid w:val="00771ACE"/>
    <w:rsid w:val="00775AB2"/>
    <w:rsid w:val="00790350"/>
    <w:rsid w:val="007A1D2D"/>
    <w:rsid w:val="007A5201"/>
    <w:rsid w:val="007A74A6"/>
    <w:rsid w:val="007C1F80"/>
    <w:rsid w:val="007D45FC"/>
    <w:rsid w:val="00800961"/>
    <w:rsid w:val="00800A42"/>
    <w:rsid w:val="008038F8"/>
    <w:rsid w:val="008050D8"/>
    <w:rsid w:val="0081154A"/>
    <w:rsid w:val="00815366"/>
    <w:rsid w:val="00820DB0"/>
    <w:rsid w:val="0083429B"/>
    <w:rsid w:val="00873337"/>
    <w:rsid w:val="00873B25"/>
    <w:rsid w:val="00880C7D"/>
    <w:rsid w:val="0088520E"/>
    <w:rsid w:val="00891E1A"/>
    <w:rsid w:val="008A34A5"/>
    <w:rsid w:val="008A4297"/>
    <w:rsid w:val="008B0EB9"/>
    <w:rsid w:val="008B52BC"/>
    <w:rsid w:val="008C5BD6"/>
    <w:rsid w:val="008D14D8"/>
    <w:rsid w:val="008D76B0"/>
    <w:rsid w:val="008E20E2"/>
    <w:rsid w:val="008E55AE"/>
    <w:rsid w:val="008F2B02"/>
    <w:rsid w:val="00903A52"/>
    <w:rsid w:val="00913903"/>
    <w:rsid w:val="00915691"/>
    <w:rsid w:val="009171BE"/>
    <w:rsid w:val="009242C8"/>
    <w:rsid w:val="0093125C"/>
    <w:rsid w:val="009315BF"/>
    <w:rsid w:val="00934E1E"/>
    <w:rsid w:val="009356A9"/>
    <w:rsid w:val="00941738"/>
    <w:rsid w:val="00961F80"/>
    <w:rsid w:val="0097585D"/>
    <w:rsid w:val="00975C4E"/>
    <w:rsid w:val="00975E5E"/>
    <w:rsid w:val="00980547"/>
    <w:rsid w:val="00981D1B"/>
    <w:rsid w:val="009832D8"/>
    <w:rsid w:val="009951F0"/>
    <w:rsid w:val="00995BAA"/>
    <w:rsid w:val="009A67FB"/>
    <w:rsid w:val="009B0CE6"/>
    <w:rsid w:val="009B3EA2"/>
    <w:rsid w:val="009C0430"/>
    <w:rsid w:val="009C46EE"/>
    <w:rsid w:val="009C492C"/>
    <w:rsid w:val="009C602E"/>
    <w:rsid w:val="009C6BA9"/>
    <w:rsid w:val="009C70E3"/>
    <w:rsid w:val="009D01FD"/>
    <w:rsid w:val="009D2486"/>
    <w:rsid w:val="009D48C8"/>
    <w:rsid w:val="009D4DE0"/>
    <w:rsid w:val="009E007D"/>
    <w:rsid w:val="009E107B"/>
    <w:rsid w:val="009E1234"/>
    <w:rsid w:val="009E3B67"/>
    <w:rsid w:val="009F0328"/>
    <w:rsid w:val="009F228C"/>
    <w:rsid w:val="009F71D4"/>
    <w:rsid w:val="00A11D03"/>
    <w:rsid w:val="00A1365E"/>
    <w:rsid w:val="00A22C1D"/>
    <w:rsid w:val="00A237C1"/>
    <w:rsid w:val="00A23B0C"/>
    <w:rsid w:val="00A265FE"/>
    <w:rsid w:val="00A5475E"/>
    <w:rsid w:val="00A55B82"/>
    <w:rsid w:val="00A57AA4"/>
    <w:rsid w:val="00A604D3"/>
    <w:rsid w:val="00A626F3"/>
    <w:rsid w:val="00A62D6D"/>
    <w:rsid w:val="00A7345F"/>
    <w:rsid w:val="00A738C9"/>
    <w:rsid w:val="00A748F9"/>
    <w:rsid w:val="00A80657"/>
    <w:rsid w:val="00A83F60"/>
    <w:rsid w:val="00AB0ADB"/>
    <w:rsid w:val="00AB3BB0"/>
    <w:rsid w:val="00AC46F2"/>
    <w:rsid w:val="00AC4FB9"/>
    <w:rsid w:val="00AE1750"/>
    <w:rsid w:val="00AE18E8"/>
    <w:rsid w:val="00AE27BA"/>
    <w:rsid w:val="00AF5B45"/>
    <w:rsid w:val="00B06032"/>
    <w:rsid w:val="00B43E89"/>
    <w:rsid w:val="00B449F0"/>
    <w:rsid w:val="00B46EDC"/>
    <w:rsid w:val="00B5075F"/>
    <w:rsid w:val="00B5351C"/>
    <w:rsid w:val="00B573E1"/>
    <w:rsid w:val="00B60775"/>
    <w:rsid w:val="00B77F92"/>
    <w:rsid w:val="00B80C8B"/>
    <w:rsid w:val="00B8712C"/>
    <w:rsid w:val="00BA57BB"/>
    <w:rsid w:val="00BB08E8"/>
    <w:rsid w:val="00BB11F1"/>
    <w:rsid w:val="00BB1D8E"/>
    <w:rsid w:val="00BB4015"/>
    <w:rsid w:val="00BC646A"/>
    <w:rsid w:val="00BC7CF0"/>
    <w:rsid w:val="00BD4017"/>
    <w:rsid w:val="00BD4146"/>
    <w:rsid w:val="00BD7231"/>
    <w:rsid w:val="00BF27E4"/>
    <w:rsid w:val="00BF632E"/>
    <w:rsid w:val="00C03AE9"/>
    <w:rsid w:val="00C05043"/>
    <w:rsid w:val="00C05263"/>
    <w:rsid w:val="00C05DB9"/>
    <w:rsid w:val="00C06BCC"/>
    <w:rsid w:val="00C071CA"/>
    <w:rsid w:val="00C151C4"/>
    <w:rsid w:val="00C3503A"/>
    <w:rsid w:val="00C51F99"/>
    <w:rsid w:val="00C64DC1"/>
    <w:rsid w:val="00C772AB"/>
    <w:rsid w:val="00C83F02"/>
    <w:rsid w:val="00C9587B"/>
    <w:rsid w:val="00CA23AA"/>
    <w:rsid w:val="00CB5FBC"/>
    <w:rsid w:val="00CE19B6"/>
    <w:rsid w:val="00CE2047"/>
    <w:rsid w:val="00CF3BFF"/>
    <w:rsid w:val="00CF6223"/>
    <w:rsid w:val="00D03DA1"/>
    <w:rsid w:val="00D056FF"/>
    <w:rsid w:val="00D05AA6"/>
    <w:rsid w:val="00D07254"/>
    <w:rsid w:val="00D073E0"/>
    <w:rsid w:val="00D136A4"/>
    <w:rsid w:val="00D1503F"/>
    <w:rsid w:val="00D20893"/>
    <w:rsid w:val="00D251DC"/>
    <w:rsid w:val="00D41EE9"/>
    <w:rsid w:val="00D439B3"/>
    <w:rsid w:val="00D54DB2"/>
    <w:rsid w:val="00D57B67"/>
    <w:rsid w:val="00D61F4D"/>
    <w:rsid w:val="00D647C3"/>
    <w:rsid w:val="00D74BA4"/>
    <w:rsid w:val="00D949CD"/>
    <w:rsid w:val="00DA7407"/>
    <w:rsid w:val="00DB1CCC"/>
    <w:rsid w:val="00DB6420"/>
    <w:rsid w:val="00DC34B7"/>
    <w:rsid w:val="00DC6F55"/>
    <w:rsid w:val="00DD5362"/>
    <w:rsid w:val="00DD557D"/>
    <w:rsid w:val="00DE576E"/>
    <w:rsid w:val="00DF6D91"/>
    <w:rsid w:val="00E008C0"/>
    <w:rsid w:val="00E014F1"/>
    <w:rsid w:val="00E01D3A"/>
    <w:rsid w:val="00E024E5"/>
    <w:rsid w:val="00E07C02"/>
    <w:rsid w:val="00E15559"/>
    <w:rsid w:val="00E32C65"/>
    <w:rsid w:val="00E346F7"/>
    <w:rsid w:val="00E40EA9"/>
    <w:rsid w:val="00E45546"/>
    <w:rsid w:val="00E6372E"/>
    <w:rsid w:val="00E667DF"/>
    <w:rsid w:val="00E70328"/>
    <w:rsid w:val="00E7617C"/>
    <w:rsid w:val="00E81C77"/>
    <w:rsid w:val="00E849ED"/>
    <w:rsid w:val="00E85F94"/>
    <w:rsid w:val="00E86305"/>
    <w:rsid w:val="00EA2955"/>
    <w:rsid w:val="00EA646F"/>
    <w:rsid w:val="00EB619A"/>
    <w:rsid w:val="00EB6C08"/>
    <w:rsid w:val="00EC3C6F"/>
    <w:rsid w:val="00ED4180"/>
    <w:rsid w:val="00EE1C67"/>
    <w:rsid w:val="00EF21DB"/>
    <w:rsid w:val="00F007FF"/>
    <w:rsid w:val="00F01D55"/>
    <w:rsid w:val="00F062BD"/>
    <w:rsid w:val="00F24DC2"/>
    <w:rsid w:val="00F27AA3"/>
    <w:rsid w:val="00F36BE0"/>
    <w:rsid w:val="00F42E83"/>
    <w:rsid w:val="00F56F6C"/>
    <w:rsid w:val="00F63B5B"/>
    <w:rsid w:val="00F65124"/>
    <w:rsid w:val="00F67AE3"/>
    <w:rsid w:val="00F72AD6"/>
    <w:rsid w:val="00F75164"/>
    <w:rsid w:val="00F77EBC"/>
    <w:rsid w:val="00F8067A"/>
    <w:rsid w:val="00F87837"/>
    <w:rsid w:val="00FA0F1B"/>
    <w:rsid w:val="00FA2DAE"/>
    <w:rsid w:val="00FA559F"/>
    <w:rsid w:val="00FD2CAB"/>
    <w:rsid w:val="00FE18C3"/>
    <w:rsid w:val="00FE4CEF"/>
    <w:rsid w:val="00FF5E97"/>
    <w:rsid w:val="00FF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A740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A7407"/>
  </w:style>
  <w:style w:type="paragraph" w:styleId="Piedepgina">
    <w:name w:val="footer"/>
    <w:basedOn w:val="Normal"/>
    <w:link w:val="PiedepginaCar"/>
    <w:uiPriority w:val="99"/>
    <w:unhideWhenUsed/>
    <w:rsid w:val="00DA740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A7407"/>
  </w:style>
  <w:style w:type="paragraph" w:styleId="Textodeglobo">
    <w:name w:val="Balloon Text"/>
    <w:basedOn w:val="Normal"/>
    <w:link w:val="TextodegloboCar"/>
    <w:uiPriority w:val="99"/>
    <w:semiHidden/>
    <w:unhideWhenUsed/>
    <w:rsid w:val="00DA740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740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99"/>
    <w:qFormat/>
    <w:rsid w:val="00187D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MX" w:eastAsia="en-US"/>
    </w:rPr>
  </w:style>
  <w:style w:type="paragraph" w:customStyle="1" w:styleId="Default">
    <w:name w:val="Default"/>
    <w:rsid w:val="00FE4C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Vietas">
    <w:name w:val="Viñetas"/>
    <w:rsid w:val="00980547"/>
    <w:rPr>
      <w:rFonts w:ascii="StarSymbol" w:eastAsia="StarSymbol" w:hAnsi="StarSymbol"/>
      <w:sz w:val="18"/>
    </w:rPr>
  </w:style>
  <w:style w:type="paragraph" w:styleId="Textoindependiente">
    <w:name w:val="Body Text"/>
    <w:basedOn w:val="Normal"/>
    <w:link w:val="TextoindependienteCar"/>
    <w:rsid w:val="009315BF"/>
    <w:pPr>
      <w:tabs>
        <w:tab w:val="left" w:pos="7106"/>
        <w:tab w:val="left" w:pos="7480"/>
      </w:tabs>
      <w:ind w:right="-126"/>
      <w:jc w:val="both"/>
    </w:pPr>
    <w:rPr>
      <w:rFonts w:ascii="Arial" w:hAnsi="Arial" w:cs="Arial"/>
      <w:b/>
      <w:bCs/>
      <w:color w:val="003366"/>
      <w:sz w:val="20"/>
    </w:rPr>
  </w:style>
  <w:style w:type="character" w:customStyle="1" w:styleId="TextoindependienteCar">
    <w:name w:val="Texto independiente Car"/>
    <w:basedOn w:val="Fuentedeprrafopredeter"/>
    <w:link w:val="Textoindependiente"/>
    <w:rsid w:val="009315BF"/>
    <w:rPr>
      <w:rFonts w:ascii="Arial" w:eastAsia="Times New Roman" w:hAnsi="Arial" w:cs="Arial"/>
      <w:b/>
      <w:bCs/>
      <w:color w:val="003366"/>
      <w:sz w:val="20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F65124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2A6E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8E20E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A740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A7407"/>
  </w:style>
  <w:style w:type="paragraph" w:styleId="Piedepgina">
    <w:name w:val="footer"/>
    <w:basedOn w:val="Normal"/>
    <w:link w:val="PiedepginaCar"/>
    <w:uiPriority w:val="99"/>
    <w:unhideWhenUsed/>
    <w:rsid w:val="00DA740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A7407"/>
  </w:style>
  <w:style w:type="paragraph" w:styleId="Textodeglobo">
    <w:name w:val="Balloon Text"/>
    <w:basedOn w:val="Normal"/>
    <w:link w:val="TextodegloboCar"/>
    <w:uiPriority w:val="99"/>
    <w:semiHidden/>
    <w:unhideWhenUsed/>
    <w:rsid w:val="00DA740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740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99"/>
    <w:qFormat/>
    <w:rsid w:val="00187D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MX" w:eastAsia="en-US"/>
    </w:rPr>
  </w:style>
  <w:style w:type="paragraph" w:customStyle="1" w:styleId="Default">
    <w:name w:val="Default"/>
    <w:rsid w:val="00FE4C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Vietas">
    <w:name w:val="Viñetas"/>
    <w:rsid w:val="00980547"/>
    <w:rPr>
      <w:rFonts w:ascii="StarSymbol" w:eastAsia="StarSymbol" w:hAnsi="StarSymbol"/>
      <w:sz w:val="18"/>
    </w:rPr>
  </w:style>
  <w:style w:type="paragraph" w:styleId="Textoindependiente">
    <w:name w:val="Body Text"/>
    <w:basedOn w:val="Normal"/>
    <w:link w:val="TextoindependienteCar"/>
    <w:rsid w:val="009315BF"/>
    <w:pPr>
      <w:tabs>
        <w:tab w:val="left" w:pos="7106"/>
        <w:tab w:val="left" w:pos="7480"/>
      </w:tabs>
      <w:ind w:right="-126"/>
      <w:jc w:val="both"/>
    </w:pPr>
    <w:rPr>
      <w:rFonts w:ascii="Arial" w:hAnsi="Arial" w:cs="Arial"/>
      <w:b/>
      <w:bCs/>
      <w:color w:val="003366"/>
      <w:sz w:val="20"/>
    </w:rPr>
  </w:style>
  <w:style w:type="character" w:customStyle="1" w:styleId="TextoindependienteCar">
    <w:name w:val="Texto independiente Car"/>
    <w:basedOn w:val="Fuentedeprrafopredeter"/>
    <w:link w:val="Textoindependiente"/>
    <w:rsid w:val="009315BF"/>
    <w:rPr>
      <w:rFonts w:ascii="Arial" w:eastAsia="Times New Roman" w:hAnsi="Arial" w:cs="Arial"/>
      <w:b/>
      <w:bCs/>
      <w:color w:val="003366"/>
      <w:sz w:val="20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F65124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2A6E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8E20E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88FEA-E878-460E-9C3A-FDC9B9851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1170</Words>
  <Characters>6439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Rodriguez Muñiz</dc:creator>
  <cp:lastModifiedBy>Cristian Vela Hinojosa</cp:lastModifiedBy>
  <cp:revision>4</cp:revision>
  <cp:lastPrinted>2013-12-23T18:36:00Z</cp:lastPrinted>
  <dcterms:created xsi:type="dcterms:W3CDTF">2014-08-25T17:44:00Z</dcterms:created>
  <dcterms:modified xsi:type="dcterms:W3CDTF">2014-08-25T17:54:00Z</dcterms:modified>
</cp:coreProperties>
</file>