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A3042" w14:textId="77777777" w:rsidR="00CB2C08" w:rsidRPr="00C2276F" w:rsidRDefault="00CB2C08" w:rsidP="00CB2C08">
      <w:pPr>
        <w:jc w:val="center"/>
        <w:rPr>
          <w:b/>
        </w:rPr>
      </w:pPr>
      <w:bookmarkStart w:id="0" w:name="_GoBack"/>
      <w:bookmarkEnd w:id="0"/>
      <w:r w:rsidRPr="00C2276F">
        <w:rPr>
          <w:b/>
        </w:rPr>
        <w:t>CONVENTION ON BIOLOGICAL DIVERSITY</w:t>
      </w:r>
    </w:p>
    <w:p w14:paraId="13EA3043" w14:textId="77777777" w:rsidR="00CB2C08" w:rsidRDefault="00CB2C08" w:rsidP="00CB2C08">
      <w:pPr>
        <w:jc w:val="center"/>
        <w:rPr>
          <w:b/>
        </w:rPr>
      </w:pPr>
      <w:r w:rsidRPr="00C2276F">
        <w:rPr>
          <w:b/>
        </w:rPr>
        <w:t>SYNTHETIC BIOLOGY</w:t>
      </w:r>
    </w:p>
    <w:p w14:paraId="13EA3044" w14:textId="77777777" w:rsidR="00CB2C08" w:rsidRPr="00C2276F" w:rsidRDefault="00CB2C08" w:rsidP="00CB2C08">
      <w:pPr>
        <w:jc w:val="center"/>
        <w:rPr>
          <w:b/>
        </w:rPr>
      </w:pPr>
    </w:p>
    <w:p w14:paraId="13EA3045" w14:textId="646A7F23" w:rsidR="00CB2C08" w:rsidRPr="00C2276F" w:rsidRDefault="00CB2C08" w:rsidP="00FB2B86">
      <w:pPr>
        <w:jc w:val="center"/>
        <w:rPr>
          <w:b/>
        </w:rPr>
      </w:pPr>
      <w:r w:rsidRPr="00C2276F">
        <w:rPr>
          <w:b/>
        </w:rPr>
        <w:t>NEW ZEALAND SUBMISSION</w:t>
      </w:r>
    </w:p>
    <w:p w14:paraId="13EA3046" w14:textId="77777777" w:rsidR="00CB2C08" w:rsidRPr="00C2276F" w:rsidRDefault="00CB2C08" w:rsidP="00CB2C08">
      <w:pPr>
        <w:jc w:val="center"/>
        <w:rPr>
          <w:b/>
        </w:rPr>
      </w:pPr>
      <w:r>
        <w:rPr>
          <w:b/>
        </w:rPr>
        <w:t>April</w:t>
      </w:r>
      <w:r w:rsidRPr="00C2276F">
        <w:rPr>
          <w:b/>
        </w:rPr>
        <w:t xml:space="preserve"> 2015</w:t>
      </w:r>
    </w:p>
    <w:p w14:paraId="13EA3047" w14:textId="77777777" w:rsidR="00CB2C08" w:rsidRDefault="00CB2C08" w:rsidP="00CB2C08">
      <w:pPr>
        <w:jc w:val="both"/>
      </w:pPr>
    </w:p>
    <w:p w14:paraId="13EA3048" w14:textId="0BD47BAE" w:rsidR="00CB2C08" w:rsidRDefault="00CB2C08" w:rsidP="00CB2C08">
      <w:pPr>
        <w:jc w:val="both"/>
      </w:pPr>
      <w:r>
        <w:t xml:space="preserve">Please find below New Zealand’s comments and observations regarding the topics raised by the CBD Secretariat in Notification 2015-013. </w:t>
      </w:r>
    </w:p>
    <w:p w14:paraId="13EA3049" w14:textId="77777777" w:rsidR="00CB2C08" w:rsidRDefault="00CB2C08" w:rsidP="00CB2C08">
      <w:pPr>
        <w:jc w:val="both"/>
      </w:pPr>
    </w:p>
    <w:p w14:paraId="13EA304B" w14:textId="77777777" w:rsidR="00CB2C08" w:rsidRPr="00C2276F" w:rsidRDefault="00CB2C08" w:rsidP="00CB2C08">
      <w:pPr>
        <w:jc w:val="both"/>
        <w:rPr>
          <w:i/>
        </w:rPr>
      </w:pPr>
      <w:r>
        <w:rPr>
          <w:i/>
        </w:rPr>
        <w:t>1.</w:t>
      </w:r>
      <w:r w:rsidRPr="00C2276F">
        <w:rPr>
          <w:i/>
        </w:rPr>
        <w:t xml:space="preserve"> How to address the relationship between synthetic bio</w:t>
      </w:r>
      <w:r>
        <w:rPr>
          <w:i/>
        </w:rPr>
        <w:t>logy and biological diversity</w:t>
      </w:r>
    </w:p>
    <w:p w14:paraId="13EA304C" w14:textId="77777777" w:rsidR="00CB2C08" w:rsidRDefault="00CB2C08" w:rsidP="00CB2C08">
      <w:pPr>
        <w:jc w:val="both"/>
      </w:pPr>
    </w:p>
    <w:p w14:paraId="13EA304D" w14:textId="77777777" w:rsidR="00CB2C08" w:rsidRPr="00510485" w:rsidRDefault="00CB2C08" w:rsidP="00CB2C08">
      <w:pPr>
        <w:jc w:val="both"/>
        <w:rPr>
          <w:color w:val="7F7F7F" w:themeColor="text1" w:themeTint="80"/>
        </w:rPr>
      </w:pPr>
      <w:r w:rsidRPr="00510485">
        <w:rPr>
          <w:color w:val="7F7F7F" w:themeColor="text1" w:themeTint="80"/>
        </w:rPr>
        <w:t xml:space="preserve">COMMENT: </w:t>
      </w:r>
    </w:p>
    <w:p w14:paraId="13EA304E" w14:textId="201F3BEE" w:rsidR="00CB2C08" w:rsidRPr="00510485" w:rsidRDefault="00CB2C08" w:rsidP="00CB2C08">
      <w:pPr>
        <w:jc w:val="both"/>
        <w:rPr>
          <w:color w:val="7F7F7F" w:themeColor="text1" w:themeTint="80"/>
        </w:rPr>
      </w:pPr>
      <w:r w:rsidRPr="00510485">
        <w:rPr>
          <w:color w:val="7F7F7F" w:themeColor="text1" w:themeTint="80"/>
        </w:rPr>
        <w:t>-Under the CBD and the C</w:t>
      </w:r>
      <w:r w:rsidR="00E25BD2">
        <w:rPr>
          <w:color w:val="7F7F7F" w:themeColor="text1" w:themeTint="80"/>
        </w:rPr>
        <w:t xml:space="preserve">artagena </w:t>
      </w:r>
      <w:r w:rsidRPr="00510485">
        <w:rPr>
          <w:color w:val="7F7F7F" w:themeColor="text1" w:themeTint="80"/>
        </w:rPr>
        <w:t>P</w:t>
      </w:r>
      <w:r w:rsidR="00E25BD2">
        <w:rPr>
          <w:color w:val="7F7F7F" w:themeColor="text1" w:themeTint="80"/>
        </w:rPr>
        <w:t>rotocol</w:t>
      </w:r>
      <w:r w:rsidRPr="00510485">
        <w:rPr>
          <w:color w:val="7F7F7F" w:themeColor="text1" w:themeTint="80"/>
        </w:rPr>
        <w:t xml:space="preserve">, the focus of the relationship is the impact on the conservation and sustainable use of biological diversity. To be consistent, discussions of synthetic biology should be in the context of potential impacts on the conservation and sustainable use of biological diversity. The table below illustrates the approach taken under the Convention and the Protocol. </w:t>
      </w:r>
    </w:p>
    <w:p w14:paraId="13EA304F" w14:textId="77777777" w:rsidR="00CB2C08" w:rsidRPr="00510485" w:rsidRDefault="00CB2C08" w:rsidP="00CB2C08">
      <w:pPr>
        <w:jc w:val="both"/>
        <w:rPr>
          <w:color w:val="7F7F7F" w:themeColor="text1" w:themeTint="80"/>
        </w:rPr>
      </w:pPr>
      <w:r w:rsidRPr="00510485">
        <w:rPr>
          <w:color w:val="7F7F7F" w:themeColor="text1" w:themeTint="80"/>
        </w:rPr>
        <w:t xml:space="preserve"> </w:t>
      </w:r>
    </w:p>
    <w:p w14:paraId="13EA3050" w14:textId="557C3339" w:rsidR="00CB2C08" w:rsidRPr="00510485" w:rsidRDefault="00CB2C08" w:rsidP="00CB2C08">
      <w:pPr>
        <w:jc w:val="both"/>
        <w:rPr>
          <w:color w:val="7F7F7F" w:themeColor="text1" w:themeTint="80"/>
        </w:rPr>
      </w:pPr>
      <w:r w:rsidRPr="00510485">
        <w:rPr>
          <w:color w:val="7F7F7F" w:themeColor="text1" w:themeTint="80"/>
        </w:rPr>
        <w:t xml:space="preserve">Table 1: Relevant text from CBD and </w:t>
      </w:r>
      <w:r w:rsidR="00E25BD2">
        <w:rPr>
          <w:color w:val="7F7F7F" w:themeColor="text1" w:themeTint="80"/>
        </w:rPr>
        <w:t>the Protocol</w:t>
      </w:r>
    </w:p>
    <w:tbl>
      <w:tblPr>
        <w:tblStyle w:val="TableGrid"/>
        <w:tblW w:w="0" w:type="auto"/>
        <w:tblLook w:val="04A0" w:firstRow="1" w:lastRow="0" w:firstColumn="1" w:lastColumn="0" w:noHBand="0" w:noVBand="1"/>
      </w:tblPr>
      <w:tblGrid>
        <w:gridCol w:w="3075"/>
        <w:gridCol w:w="5646"/>
      </w:tblGrid>
      <w:tr w:rsidR="00510485" w:rsidRPr="00510485" w14:paraId="13EA3054" w14:textId="77777777" w:rsidTr="007B1159">
        <w:tc>
          <w:tcPr>
            <w:tcW w:w="3085" w:type="dxa"/>
          </w:tcPr>
          <w:p w14:paraId="13EA3051" w14:textId="77777777" w:rsidR="00CB2C08" w:rsidRPr="00510485" w:rsidRDefault="00CB2C08" w:rsidP="007B1159">
            <w:pPr>
              <w:rPr>
                <w:color w:val="7F7F7F" w:themeColor="text1" w:themeTint="80"/>
              </w:rPr>
            </w:pPr>
            <w:r w:rsidRPr="00510485">
              <w:rPr>
                <w:color w:val="7F7F7F" w:themeColor="text1" w:themeTint="80"/>
              </w:rPr>
              <w:t>CBD Article 7</w:t>
            </w:r>
          </w:p>
          <w:p w14:paraId="13EA3052" w14:textId="77777777" w:rsidR="00CB2C08" w:rsidRPr="00510485" w:rsidRDefault="00CB2C08" w:rsidP="007B1159">
            <w:pPr>
              <w:rPr>
                <w:color w:val="7F7F7F" w:themeColor="text1" w:themeTint="80"/>
              </w:rPr>
            </w:pPr>
            <w:r w:rsidRPr="00510485">
              <w:rPr>
                <w:color w:val="7F7F7F" w:themeColor="text1" w:themeTint="80"/>
              </w:rPr>
              <w:t>Identification and monitoring</w:t>
            </w:r>
          </w:p>
        </w:tc>
        <w:tc>
          <w:tcPr>
            <w:tcW w:w="5670" w:type="dxa"/>
          </w:tcPr>
          <w:p w14:paraId="13EA3053" w14:textId="77777777" w:rsidR="00CB2C08" w:rsidRPr="00510485" w:rsidRDefault="00CB2C08" w:rsidP="007B1159">
            <w:pPr>
              <w:rPr>
                <w:color w:val="7F7F7F" w:themeColor="text1" w:themeTint="80"/>
              </w:rPr>
            </w:pPr>
            <w:r w:rsidRPr="00510485">
              <w:rPr>
                <w:color w:val="7F7F7F" w:themeColor="text1" w:themeTint="80"/>
              </w:rPr>
              <w:t xml:space="preserve">(c) Each Contracting Party shall, as far as possible and as appropriate… “identify processes and categories of activities which have or are likely to have significant adverse impacts </w:t>
            </w:r>
            <w:r w:rsidRPr="00510485">
              <w:rPr>
                <w:i/>
                <w:color w:val="7F7F7F" w:themeColor="text1" w:themeTint="80"/>
              </w:rPr>
              <w:t>on the conservation and sustainable use of biological diversity</w:t>
            </w:r>
            <w:r w:rsidRPr="00510485">
              <w:rPr>
                <w:color w:val="7F7F7F" w:themeColor="text1" w:themeTint="80"/>
              </w:rPr>
              <w:t xml:space="preserve">…” </w:t>
            </w:r>
          </w:p>
        </w:tc>
      </w:tr>
      <w:tr w:rsidR="00510485" w:rsidRPr="00510485" w14:paraId="13EA3058" w14:textId="77777777" w:rsidTr="007B1159">
        <w:tc>
          <w:tcPr>
            <w:tcW w:w="3085" w:type="dxa"/>
          </w:tcPr>
          <w:p w14:paraId="13EA3055" w14:textId="77777777" w:rsidR="00CB2C08" w:rsidRPr="00510485" w:rsidRDefault="00CB2C08" w:rsidP="007B1159">
            <w:pPr>
              <w:rPr>
                <w:color w:val="7F7F7F" w:themeColor="text1" w:themeTint="80"/>
              </w:rPr>
            </w:pPr>
            <w:r w:rsidRPr="00510485">
              <w:rPr>
                <w:color w:val="7F7F7F" w:themeColor="text1" w:themeTint="80"/>
              </w:rPr>
              <w:t>CBD Article 14</w:t>
            </w:r>
          </w:p>
          <w:p w14:paraId="13EA3056" w14:textId="77777777" w:rsidR="00CB2C08" w:rsidRPr="00510485" w:rsidRDefault="00CB2C08" w:rsidP="007B1159">
            <w:pPr>
              <w:rPr>
                <w:color w:val="7F7F7F" w:themeColor="text1" w:themeTint="80"/>
              </w:rPr>
            </w:pPr>
            <w:r w:rsidRPr="00510485">
              <w:rPr>
                <w:color w:val="7F7F7F" w:themeColor="text1" w:themeTint="80"/>
              </w:rPr>
              <w:t>Impact assessment and minimising adverse impacts</w:t>
            </w:r>
          </w:p>
        </w:tc>
        <w:tc>
          <w:tcPr>
            <w:tcW w:w="5670" w:type="dxa"/>
          </w:tcPr>
          <w:p w14:paraId="13EA3057" w14:textId="77777777" w:rsidR="00CB2C08" w:rsidRPr="00510485" w:rsidRDefault="00CB2C08" w:rsidP="007B1159">
            <w:pPr>
              <w:rPr>
                <w:color w:val="7F7F7F" w:themeColor="text1" w:themeTint="80"/>
              </w:rPr>
            </w:pPr>
            <w:r w:rsidRPr="00510485">
              <w:rPr>
                <w:color w:val="7F7F7F" w:themeColor="text1" w:themeTint="80"/>
              </w:rPr>
              <w:t xml:space="preserve">1(a). Each Contracting Party shall, as far as possible and as appropriate… “introduce appropriate procedures requiring environmental impact assessment of its proposed projects that are likely to </w:t>
            </w:r>
            <w:r w:rsidRPr="00510485">
              <w:rPr>
                <w:i/>
                <w:color w:val="7F7F7F" w:themeColor="text1" w:themeTint="80"/>
              </w:rPr>
              <w:t xml:space="preserve">have significant adverse effects on biological diversity </w:t>
            </w:r>
            <w:r w:rsidRPr="00510485">
              <w:rPr>
                <w:color w:val="7F7F7F" w:themeColor="text1" w:themeTint="80"/>
              </w:rPr>
              <w:t>with a view to avoiding or minimizing such effects…”</w:t>
            </w:r>
          </w:p>
        </w:tc>
      </w:tr>
      <w:tr w:rsidR="00510485" w:rsidRPr="00510485" w14:paraId="13EA305C" w14:textId="77777777" w:rsidTr="007B1159">
        <w:tc>
          <w:tcPr>
            <w:tcW w:w="3085" w:type="dxa"/>
          </w:tcPr>
          <w:p w14:paraId="13EA3059" w14:textId="77777777" w:rsidR="00CB2C08" w:rsidRPr="00510485" w:rsidRDefault="00CB2C08" w:rsidP="007B1159">
            <w:pPr>
              <w:rPr>
                <w:color w:val="7F7F7F" w:themeColor="text1" w:themeTint="80"/>
              </w:rPr>
            </w:pPr>
            <w:r w:rsidRPr="00510485">
              <w:rPr>
                <w:color w:val="7F7F7F" w:themeColor="text1" w:themeTint="80"/>
              </w:rPr>
              <w:t>CBD Article 16</w:t>
            </w:r>
          </w:p>
          <w:p w14:paraId="13EA305A" w14:textId="77777777" w:rsidR="00CB2C08" w:rsidRPr="00510485" w:rsidRDefault="00CB2C08" w:rsidP="007B1159">
            <w:pPr>
              <w:rPr>
                <w:color w:val="7F7F7F" w:themeColor="text1" w:themeTint="80"/>
              </w:rPr>
            </w:pPr>
            <w:r w:rsidRPr="00510485">
              <w:rPr>
                <w:color w:val="7F7F7F" w:themeColor="text1" w:themeTint="80"/>
              </w:rPr>
              <w:t>Access to and transfer of technology</w:t>
            </w:r>
          </w:p>
        </w:tc>
        <w:tc>
          <w:tcPr>
            <w:tcW w:w="5670" w:type="dxa"/>
          </w:tcPr>
          <w:p w14:paraId="13EA305B" w14:textId="77777777" w:rsidR="00CB2C08" w:rsidRPr="00510485" w:rsidRDefault="00CB2C08" w:rsidP="007B1159">
            <w:pPr>
              <w:pStyle w:val="ListParagraph"/>
              <w:tabs>
                <w:tab w:val="clear" w:pos="567"/>
                <w:tab w:val="left" w:pos="-11874"/>
              </w:tabs>
              <w:ind w:left="34"/>
              <w:rPr>
                <w:color w:val="7F7F7F" w:themeColor="text1" w:themeTint="80"/>
              </w:rPr>
            </w:pPr>
            <w:r w:rsidRPr="00510485">
              <w:rPr>
                <w:color w:val="7F7F7F" w:themeColor="text1" w:themeTint="80"/>
              </w:rPr>
              <w:t xml:space="preserve">1. Each Contracting Party… “undertakes subject to the provisions of this Article to provide and/or facilitate access for and transfer to other Contracting Parties of technologies that are </w:t>
            </w:r>
            <w:r w:rsidRPr="00510485">
              <w:rPr>
                <w:i/>
                <w:color w:val="7F7F7F" w:themeColor="text1" w:themeTint="80"/>
              </w:rPr>
              <w:t>relevant to the conservation and sustainable use of biological diversity</w:t>
            </w:r>
            <w:r w:rsidRPr="00510485">
              <w:rPr>
                <w:color w:val="7F7F7F" w:themeColor="text1" w:themeTint="80"/>
              </w:rPr>
              <w:t xml:space="preserve"> or make use of genetic resources and do not cause significant damage to the environment.”</w:t>
            </w:r>
          </w:p>
        </w:tc>
      </w:tr>
      <w:tr w:rsidR="00510485" w:rsidRPr="00510485" w14:paraId="13EA3060" w14:textId="77777777" w:rsidTr="007B1159">
        <w:tc>
          <w:tcPr>
            <w:tcW w:w="3085" w:type="dxa"/>
          </w:tcPr>
          <w:p w14:paraId="13EA305D" w14:textId="77777777" w:rsidR="00CB2C08" w:rsidRPr="00510485" w:rsidRDefault="00CB2C08" w:rsidP="007B1159">
            <w:pPr>
              <w:rPr>
                <w:color w:val="7F7F7F" w:themeColor="text1" w:themeTint="80"/>
              </w:rPr>
            </w:pPr>
            <w:r w:rsidRPr="00510485">
              <w:rPr>
                <w:color w:val="7F7F7F" w:themeColor="text1" w:themeTint="80"/>
              </w:rPr>
              <w:t>CBD Article 19</w:t>
            </w:r>
          </w:p>
          <w:p w14:paraId="13EA305E" w14:textId="77777777" w:rsidR="00CB2C08" w:rsidRPr="00510485" w:rsidRDefault="00CB2C08" w:rsidP="007B1159">
            <w:pPr>
              <w:rPr>
                <w:color w:val="7F7F7F" w:themeColor="text1" w:themeTint="80"/>
              </w:rPr>
            </w:pPr>
            <w:r w:rsidRPr="00510485">
              <w:rPr>
                <w:color w:val="7F7F7F" w:themeColor="text1" w:themeTint="80"/>
              </w:rPr>
              <w:t>Handling of biotechnology and distribution of its benefits</w:t>
            </w:r>
          </w:p>
        </w:tc>
        <w:tc>
          <w:tcPr>
            <w:tcW w:w="5670" w:type="dxa"/>
          </w:tcPr>
          <w:p w14:paraId="13EA305F" w14:textId="77777777" w:rsidR="00CB2C08" w:rsidRPr="00510485" w:rsidRDefault="00CB2C08" w:rsidP="007B1159">
            <w:pPr>
              <w:rPr>
                <w:color w:val="7F7F7F" w:themeColor="text1" w:themeTint="80"/>
              </w:rPr>
            </w:pPr>
            <w:r w:rsidRPr="00510485">
              <w:rPr>
                <w:color w:val="7F7F7F" w:themeColor="text1" w:themeTint="80"/>
              </w:rPr>
              <w:t xml:space="preserve">3. “…biotechnology that </w:t>
            </w:r>
            <w:r w:rsidRPr="00510485">
              <w:rPr>
                <w:i/>
                <w:color w:val="7F7F7F" w:themeColor="text1" w:themeTint="80"/>
              </w:rPr>
              <w:t>may have an adverse effect on the conservation and sustainable use of biological diversity</w:t>
            </w:r>
            <w:r w:rsidRPr="00510485">
              <w:rPr>
                <w:color w:val="7F7F7F" w:themeColor="text1" w:themeTint="80"/>
              </w:rPr>
              <w:t xml:space="preserve">.” </w:t>
            </w:r>
          </w:p>
        </w:tc>
      </w:tr>
      <w:tr w:rsidR="00510485" w:rsidRPr="00510485" w14:paraId="13EA3064" w14:textId="77777777" w:rsidTr="007B1159">
        <w:tc>
          <w:tcPr>
            <w:tcW w:w="3085" w:type="dxa"/>
          </w:tcPr>
          <w:p w14:paraId="13EA3061" w14:textId="77777777" w:rsidR="00CB2C08" w:rsidRPr="00510485" w:rsidRDefault="00CB2C08" w:rsidP="007B1159">
            <w:pPr>
              <w:rPr>
                <w:color w:val="7F7F7F" w:themeColor="text1" w:themeTint="80"/>
              </w:rPr>
            </w:pPr>
            <w:r w:rsidRPr="00510485">
              <w:rPr>
                <w:color w:val="7F7F7F" w:themeColor="text1" w:themeTint="80"/>
              </w:rPr>
              <w:t>CP Article 1</w:t>
            </w:r>
          </w:p>
          <w:p w14:paraId="13EA3062" w14:textId="77777777" w:rsidR="00CB2C08" w:rsidRPr="00510485" w:rsidRDefault="00CB2C08" w:rsidP="007B1159">
            <w:pPr>
              <w:rPr>
                <w:color w:val="7F7F7F" w:themeColor="text1" w:themeTint="80"/>
              </w:rPr>
            </w:pPr>
            <w:r w:rsidRPr="00510485">
              <w:rPr>
                <w:color w:val="7F7F7F" w:themeColor="text1" w:themeTint="80"/>
              </w:rPr>
              <w:t>Objective</w:t>
            </w:r>
          </w:p>
        </w:tc>
        <w:tc>
          <w:tcPr>
            <w:tcW w:w="5670" w:type="dxa"/>
          </w:tcPr>
          <w:p w14:paraId="13EA3063" w14:textId="77777777" w:rsidR="00CB2C08" w:rsidRPr="00510485" w:rsidRDefault="00CB2C08" w:rsidP="007B1159">
            <w:pPr>
              <w:rPr>
                <w:color w:val="7F7F7F" w:themeColor="text1" w:themeTint="80"/>
              </w:rPr>
            </w:pPr>
            <w:r w:rsidRPr="00510485">
              <w:rPr>
                <w:color w:val="7F7F7F" w:themeColor="text1" w:themeTint="80"/>
              </w:rPr>
              <w:t xml:space="preserve">“…LMOs resulting from modern biotechnology that may have </w:t>
            </w:r>
            <w:r w:rsidRPr="00510485">
              <w:rPr>
                <w:i/>
                <w:color w:val="7F7F7F" w:themeColor="text1" w:themeTint="80"/>
              </w:rPr>
              <w:t>adverse effects on the conservation and sustainable use of biological diversity</w:t>
            </w:r>
            <w:r w:rsidRPr="00510485">
              <w:rPr>
                <w:color w:val="7F7F7F" w:themeColor="text1" w:themeTint="80"/>
              </w:rPr>
              <w:t xml:space="preserve">, taking also into account risks to human health, and specifically focusing on transboundary movements.” </w:t>
            </w:r>
          </w:p>
        </w:tc>
      </w:tr>
      <w:tr w:rsidR="00510485" w:rsidRPr="00510485" w14:paraId="13EA3069" w14:textId="77777777" w:rsidTr="007B1159">
        <w:tc>
          <w:tcPr>
            <w:tcW w:w="3085" w:type="dxa"/>
          </w:tcPr>
          <w:p w14:paraId="13EA3065" w14:textId="77777777" w:rsidR="00CB2C08" w:rsidRPr="00510485" w:rsidRDefault="00CB2C08" w:rsidP="007B1159">
            <w:pPr>
              <w:rPr>
                <w:color w:val="7F7F7F" w:themeColor="text1" w:themeTint="80"/>
              </w:rPr>
            </w:pPr>
            <w:r w:rsidRPr="00510485">
              <w:rPr>
                <w:color w:val="7F7F7F" w:themeColor="text1" w:themeTint="80"/>
              </w:rPr>
              <w:lastRenderedPageBreak/>
              <w:t>CP Article 3</w:t>
            </w:r>
          </w:p>
          <w:p w14:paraId="13EA3066" w14:textId="77777777" w:rsidR="00CB2C08" w:rsidRPr="00510485" w:rsidRDefault="00CB2C08" w:rsidP="007B1159">
            <w:pPr>
              <w:rPr>
                <w:color w:val="7F7F7F" w:themeColor="text1" w:themeTint="80"/>
              </w:rPr>
            </w:pPr>
            <w:r w:rsidRPr="00510485">
              <w:rPr>
                <w:color w:val="7F7F7F" w:themeColor="text1" w:themeTint="80"/>
              </w:rPr>
              <w:t>Use of terms</w:t>
            </w:r>
          </w:p>
        </w:tc>
        <w:tc>
          <w:tcPr>
            <w:tcW w:w="5670" w:type="dxa"/>
          </w:tcPr>
          <w:p w14:paraId="13EA3067" w14:textId="77777777" w:rsidR="00CB2C08" w:rsidRPr="00510485" w:rsidRDefault="00CB2C08" w:rsidP="007B1159">
            <w:pPr>
              <w:rPr>
                <w:color w:val="7F7F7F" w:themeColor="text1" w:themeTint="80"/>
              </w:rPr>
            </w:pPr>
            <w:r w:rsidRPr="00510485">
              <w:rPr>
                <w:color w:val="7F7F7F" w:themeColor="text1" w:themeTint="80"/>
              </w:rPr>
              <w:t>LMO: “any living organism that possesses a novel combination of genetic material obtained through use of modern biotechnology.”</w:t>
            </w:r>
          </w:p>
          <w:p w14:paraId="13EA3068" w14:textId="77777777" w:rsidR="00CB2C08" w:rsidRPr="00510485" w:rsidRDefault="00CB2C08" w:rsidP="007B1159">
            <w:pPr>
              <w:rPr>
                <w:color w:val="7F7F7F" w:themeColor="text1" w:themeTint="80"/>
              </w:rPr>
            </w:pPr>
            <w:r w:rsidRPr="00510485">
              <w:rPr>
                <w:color w:val="7F7F7F" w:themeColor="text1" w:themeTint="80"/>
              </w:rPr>
              <w:t>Modern biotechnology: “means the application of: (a)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tc>
      </w:tr>
      <w:tr w:rsidR="00510485" w:rsidRPr="00510485" w14:paraId="13EA306D" w14:textId="77777777" w:rsidTr="007B1159">
        <w:tc>
          <w:tcPr>
            <w:tcW w:w="3085" w:type="dxa"/>
          </w:tcPr>
          <w:p w14:paraId="13EA306A" w14:textId="77777777" w:rsidR="00CB2C08" w:rsidRPr="00510485" w:rsidRDefault="00CB2C08" w:rsidP="007B1159">
            <w:pPr>
              <w:rPr>
                <w:color w:val="7F7F7F" w:themeColor="text1" w:themeTint="80"/>
              </w:rPr>
            </w:pPr>
            <w:r w:rsidRPr="00510485">
              <w:rPr>
                <w:color w:val="7F7F7F" w:themeColor="text1" w:themeTint="80"/>
              </w:rPr>
              <w:t>CP Article 4</w:t>
            </w:r>
          </w:p>
          <w:p w14:paraId="13EA306B" w14:textId="77777777" w:rsidR="00CB2C08" w:rsidRPr="00510485" w:rsidRDefault="00CB2C08" w:rsidP="007B1159">
            <w:pPr>
              <w:rPr>
                <w:color w:val="7F7F7F" w:themeColor="text1" w:themeTint="80"/>
              </w:rPr>
            </w:pPr>
            <w:r w:rsidRPr="00510485">
              <w:rPr>
                <w:color w:val="7F7F7F" w:themeColor="text1" w:themeTint="80"/>
              </w:rPr>
              <w:t>Scope</w:t>
            </w:r>
          </w:p>
        </w:tc>
        <w:tc>
          <w:tcPr>
            <w:tcW w:w="5670" w:type="dxa"/>
          </w:tcPr>
          <w:p w14:paraId="13EA306C" w14:textId="77777777" w:rsidR="00CB2C08" w:rsidRPr="00510485" w:rsidRDefault="00CB2C08" w:rsidP="007B1159">
            <w:pPr>
              <w:rPr>
                <w:color w:val="7F7F7F" w:themeColor="text1" w:themeTint="80"/>
              </w:rPr>
            </w:pPr>
            <w:r w:rsidRPr="00510485">
              <w:rPr>
                <w:color w:val="7F7F7F" w:themeColor="text1" w:themeTint="80"/>
              </w:rPr>
              <w:t xml:space="preserve">“…living modified organisms </w:t>
            </w:r>
            <w:r w:rsidRPr="00510485">
              <w:rPr>
                <w:i/>
                <w:color w:val="7F7F7F" w:themeColor="text1" w:themeTint="80"/>
              </w:rPr>
              <w:t>that may have adverse effects on the conservation and sustainable use of biological diversity</w:t>
            </w:r>
            <w:r w:rsidRPr="00510485">
              <w:rPr>
                <w:color w:val="7F7F7F" w:themeColor="text1" w:themeTint="80"/>
              </w:rPr>
              <w:t xml:space="preserve">, taking also into account risks to human health.” </w:t>
            </w:r>
          </w:p>
        </w:tc>
      </w:tr>
      <w:tr w:rsidR="00510485" w:rsidRPr="00510485" w14:paraId="13EA3071" w14:textId="77777777" w:rsidTr="007B1159">
        <w:tc>
          <w:tcPr>
            <w:tcW w:w="3085" w:type="dxa"/>
          </w:tcPr>
          <w:p w14:paraId="13EA306E" w14:textId="77777777" w:rsidR="00CB2C08" w:rsidRPr="00510485" w:rsidRDefault="00CB2C08" w:rsidP="007B1159">
            <w:pPr>
              <w:rPr>
                <w:color w:val="7F7F7F" w:themeColor="text1" w:themeTint="80"/>
              </w:rPr>
            </w:pPr>
            <w:r w:rsidRPr="00510485">
              <w:rPr>
                <w:color w:val="7F7F7F" w:themeColor="text1" w:themeTint="80"/>
              </w:rPr>
              <w:t>CP Articles 15 and 16</w:t>
            </w:r>
          </w:p>
          <w:p w14:paraId="13EA306F" w14:textId="77777777" w:rsidR="00CB2C08" w:rsidRPr="00510485" w:rsidRDefault="00CB2C08" w:rsidP="007B1159">
            <w:pPr>
              <w:rPr>
                <w:color w:val="7F7F7F" w:themeColor="text1" w:themeTint="80"/>
              </w:rPr>
            </w:pPr>
            <w:r w:rsidRPr="00510485">
              <w:rPr>
                <w:color w:val="7F7F7F" w:themeColor="text1" w:themeTint="80"/>
              </w:rPr>
              <w:t>Risk assessment and risk management</w:t>
            </w:r>
          </w:p>
        </w:tc>
        <w:tc>
          <w:tcPr>
            <w:tcW w:w="5670" w:type="dxa"/>
          </w:tcPr>
          <w:p w14:paraId="13EA3070" w14:textId="77777777" w:rsidR="00CB2C08" w:rsidRPr="00510485" w:rsidRDefault="00CB2C08" w:rsidP="007B1159">
            <w:pPr>
              <w:rPr>
                <w:color w:val="7F7F7F" w:themeColor="text1" w:themeTint="80"/>
              </w:rPr>
            </w:pPr>
            <w:r w:rsidRPr="00510485">
              <w:rPr>
                <w:color w:val="7F7F7F" w:themeColor="text1" w:themeTint="80"/>
              </w:rPr>
              <w:t xml:space="preserve">-effects of LMOs </w:t>
            </w:r>
            <w:r w:rsidRPr="00510485">
              <w:rPr>
                <w:i/>
                <w:color w:val="7F7F7F" w:themeColor="text1" w:themeTint="80"/>
              </w:rPr>
              <w:t>on the conservation and sustainable use of biological diversity</w:t>
            </w:r>
          </w:p>
        </w:tc>
      </w:tr>
    </w:tbl>
    <w:p w14:paraId="13EA3072" w14:textId="77777777" w:rsidR="00CB2C08" w:rsidRDefault="00CB2C08" w:rsidP="00CB2C08">
      <w:pPr>
        <w:jc w:val="both"/>
        <w:rPr>
          <w:color w:val="4F81BD" w:themeColor="accent1"/>
        </w:rPr>
      </w:pPr>
    </w:p>
    <w:p w14:paraId="13EA3073" w14:textId="77777777" w:rsidR="00CB2C08" w:rsidRDefault="00CB2C08" w:rsidP="00CB2C08">
      <w:pPr>
        <w:jc w:val="both"/>
        <w:rPr>
          <w:color w:val="4F81BD" w:themeColor="accent1"/>
        </w:rPr>
      </w:pPr>
    </w:p>
    <w:p w14:paraId="13EA3074" w14:textId="77777777" w:rsidR="00CB2C08" w:rsidRDefault="00CB2C08" w:rsidP="00CB2C08">
      <w:pPr>
        <w:jc w:val="both"/>
        <w:rPr>
          <w:i/>
        </w:rPr>
        <w:sectPr w:rsidR="00CB2C08" w:rsidSect="002B68F9">
          <w:headerReference w:type="even" r:id="rId14"/>
          <w:headerReference w:type="default" r:id="rId15"/>
          <w:footerReference w:type="even" r:id="rId16"/>
          <w:footerReference w:type="default" r:id="rId17"/>
          <w:headerReference w:type="first" r:id="rId18"/>
          <w:footerReference w:type="first" r:id="rId19"/>
          <w:pgSz w:w="11906" w:h="16838"/>
          <w:pgMar w:top="1104" w:right="1983" w:bottom="1701" w:left="1418" w:header="397" w:footer="397" w:gutter="0"/>
          <w:cols w:space="708"/>
          <w:titlePg/>
          <w:docGrid w:linePitch="360"/>
        </w:sectPr>
      </w:pPr>
    </w:p>
    <w:p w14:paraId="13EA3075" w14:textId="77777777" w:rsidR="00CB2C08" w:rsidRPr="00C2276F" w:rsidRDefault="00CB2C08" w:rsidP="00CB2C08">
      <w:pPr>
        <w:jc w:val="both"/>
        <w:rPr>
          <w:i/>
        </w:rPr>
      </w:pPr>
      <w:r>
        <w:rPr>
          <w:i/>
        </w:rPr>
        <w:lastRenderedPageBreak/>
        <w:t>2.</w:t>
      </w:r>
      <w:r w:rsidRPr="00C2276F">
        <w:rPr>
          <w:i/>
        </w:rPr>
        <w:t xml:space="preserve"> The similarities and differences between living modified organisms (as defined in the Cartagena Protocol) and organisms, components and products of synthetic biology techniques;</w:t>
      </w:r>
    </w:p>
    <w:p w14:paraId="13EA3076" w14:textId="77777777" w:rsidR="00CB2C08" w:rsidRDefault="00CB2C08" w:rsidP="00CB2C08">
      <w:pPr>
        <w:jc w:val="both"/>
      </w:pPr>
    </w:p>
    <w:p w14:paraId="13EA3079" w14:textId="739F3B74" w:rsidR="00CB2C08" w:rsidRPr="00CC7ED1" w:rsidRDefault="00CC7ED1" w:rsidP="00CB2C08">
      <w:pPr>
        <w:jc w:val="both"/>
        <w:rPr>
          <w:color w:val="7F7F7F" w:themeColor="text1" w:themeTint="80"/>
        </w:rPr>
      </w:pPr>
      <w:r w:rsidRPr="00CC7ED1">
        <w:rPr>
          <w:color w:val="7F7F7F" w:themeColor="text1" w:themeTint="80"/>
        </w:rPr>
        <w:t>-The Cartagena Protocol</w:t>
      </w:r>
      <w:r w:rsidR="00CB2C08" w:rsidRPr="00CC7ED1">
        <w:rPr>
          <w:color w:val="7F7F7F" w:themeColor="text1" w:themeTint="80"/>
        </w:rPr>
        <w:t xml:space="preserve"> definition of LMO – “</w:t>
      </w:r>
      <w:r w:rsidR="00CB2C08" w:rsidRPr="00CC7ED1">
        <w:rPr>
          <w:color w:val="7F7F7F" w:themeColor="text1" w:themeTint="80"/>
          <w:sz w:val="18"/>
          <w:szCs w:val="18"/>
        </w:rPr>
        <w:t>any living organism that possesses a novel combination of genetic material obtained through the use of modern biotechnology” –</w:t>
      </w:r>
      <w:r w:rsidR="00CB2C08" w:rsidRPr="00CC7ED1">
        <w:rPr>
          <w:color w:val="7F7F7F" w:themeColor="text1" w:themeTint="80"/>
        </w:rPr>
        <w:t xml:space="preserve"> is </w:t>
      </w:r>
      <w:r w:rsidRPr="00CC7ED1">
        <w:rPr>
          <w:color w:val="7F7F7F" w:themeColor="text1" w:themeTint="80"/>
        </w:rPr>
        <w:t xml:space="preserve">based in part on the process on which the organism is modified. </w:t>
      </w:r>
      <w:r w:rsidR="00CB2C08" w:rsidRPr="00CC7ED1">
        <w:rPr>
          <w:color w:val="7F7F7F" w:themeColor="text1" w:themeTint="80"/>
        </w:rPr>
        <w:t>The language “organisms, components and products of synthetic biology techniques” is also process-</w:t>
      </w:r>
      <w:r w:rsidRPr="00CC7ED1">
        <w:rPr>
          <w:color w:val="7F7F7F" w:themeColor="text1" w:themeTint="80"/>
        </w:rPr>
        <w:t xml:space="preserve"> or technique-</w:t>
      </w:r>
      <w:r w:rsidR="00CB2C08" w:rsidRPr="00CC7ED1">
        <w:rPr>
          <w:color w:val="7F7F7F" w:themeColor="text1" w:themeTint="80"/>
        </w:rPr>
        <w:t xml:space="preserve">based. </w:t>
      </w:r>
    </w:p>
    <w:p w14:paraId="13EA307A" w14:textId="77777777" w:rsidR="00CB2C08" w:rsidRPr="00CC7ED1" w:rsidRDefault="00CB2C08" w:rsidP="00CB2C08">
      <w:pPr>
        <w:jc w:val="both"/>
        <w:rPr>
          <w:color w:val="7F7F7F" w:themeColor="text1" w:themeTint="80"/>
        </w:rPr>
      </w:pPr>
      <w:r w:rsidRPr="00CC7ED1">
        <w:rPr>
          <w:color w:val="7F7F7F" w:themeColor="text1" w:themeTint="80"/>
        </w:rPr>
        <w:t xml:space="preserve">-Organisms made via synthetic biology techniques may have similarities to LMOs as defined in the Cartagena Protocol. </w:t>
      </w:r>
    </w:p>
    <w:p w14:paraId="13EA307B" w14:textId="77777777" w:rsidR="00CB2C08" w:rsidRPr="00CC7ED1" w:rsidRDefault="00CB2C08" w:rsidP="00CB2C08">
      <w:pPr>
        <w:jc w:val="both"/>
        <w:rPr>
          <w:color w:val="7F7F7F" w:themeColor="text1" w:themeTint="80"/>
        </w:rPr>
      </w:pPr>
      <w:r w:rsidRPr="00CC7ED1">
        <w:rPr>
          <w:color w:val="7F7F7F" w:themeColor="text1" w:themeTint="80"/>
        </w:rPr>
        <w:t xml:space="preserve">-Components and products made via synthetic biology techniques are different to LMOs, as they are not living organisms. </w:t>
      </w:r>
    </w:p>
    <w:p w14:paraId="13EA307C" w14:textId="77777777" w:rsidR="00CB2C08" w:rsidRPr="00CC7ED1" w:rsidRDefault="00CB2C08" w:rsidP="00CB2C08">
      <w:pPr>
        <w:jc w:val="both"/>
        <w:rPr>
          <w:color w:val="7F7F7F" w:themeColor="text1" w:themeTint="80"/>
        </w:rPr>
      </w:pPr>
      <w:r w:rsidRPr="00CC7ED1">
        <w:rPr>
          <w:color w:val="7F7F7F" w:themeColor="text1" w:themeTint="80"/>
        </w:rPr>
        <w:t>-These components and products may have more in common with chemical substances, given they are not living organisms.</w:t>
      </w:r>
    </w:p>
    <w:p w14:paraId="13EA307D" w14:textId="77777777" w:rsidR="00CB2C08" w:rsidRPr="00CC7ED1" w:rsidRDefault="00CB2C08" w:rsidP="00CB2C08">
      <w:pPr>
        <w:jc w:val="both"/>
        <w:rPr>
          <w:color w:val="7F7F7F" w:themeColor="text1" w:themeTint="80"/>
        </w:rPr>
      </w:pPr>
    </w:p>
    <w:p w14:paraId="3EB8BC97" w14:textId="5E7F37A7" w:rsidR="00CC7ED1" w:rsidRPr="00CC7ED1" w:rsidRDefault="00CC7ED1" w:rsidP="00CB2C08">
      <w:pPr>
        <w:jc w:val="both"/>
        <w:rPr>
          <w:color w:val="7F7F7F" w:themeColor="text1" w:themeTint="80"/>
        </w:rPr>
      </w:pPr>
      <w:r w:rsidRPr="00CC7ED1">
        <w:rPr>
          <w:color w:val="7F7F7F" w:themeColor="text1" w:themeTint="80"/>
        </w:rPr>
        <w:t>Table indicating how Cartagena Protocol definitions vary with those under New Zealand Legislation</w:t>
      </w:r>
    </w:p>
    <w:tbl>
      <w:tblPr>
        <w:tblStyle w:val="TableGrid"/>
        <w:tblW w:w="0" w:type="auto"/>
        <w:tblLook w:val="04A0" w:firstRow="1" w:lastRow="0" w:firstColumn="1" w:lastColumn="0" w:noHBand="0" w:noVBand="1"/>
      </w:tblPr>
      <w:tblGrid>
        <w:gridCol w:w="2376"/>
        <w:gridCol w:w="1985"/>
        <w:gridCol w:w="4536"/>
        <w:gridCol w:w="3260"/>
      </w:tblGrid>
      <w:tr w:rsidR="00CC7ED1" w:rsidRPr="00CC7ED1" w14:paraId="13EA3082" w14:textId="77777777" w:rsidTr="007B1159">
        <w:tc>
          <w:tcPr>
            <w:tcW w:w="2376" w:type="dxa"/>
          </w:tcPr>
          <w:p w14:paraId="13EA307E"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Cartagena Protocol and LMOs</w:t>
            </w:r>
          </w:p>
        </w:tc>
        <w:tc>
          <w:tcPr>
            <w:tcW w:w="1985" w:type="dxa"/>
          </w:tcPr>
          <w:p w14:paraId="13EA307F"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Synthetic biology terminology in CBD</w:t>
            </w:r>
          </w:p>
        </w:tc>
        <w:tc>
          <w:tcPr>
            <w:tcW w:w="4536" w:type="dxa"/>
          </w:tcPr>
          <w:p w14:paraId="13EA3080"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HSNO – genetically modified organisms</w:t>
            </w:r>
          </w:p>
        </w:tc>
        <w:tc>
          <w:tcPr>
            <w:tcW w:w="3260" w:type="dxa"/>
          </w:tcPr>
          <w:p w14:paraId="13EA3081"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HSNO – hazardous substances</w:t>
            </w:r>
          </w:p>
        </w:tc>
      </w:tr>
      <w:tr w:rsidR="00CC7ED1" w:rsidRPr="00CC7ED1" w14:paraId="13EA3094" w14:textId="77777777" w:rsidTr="007B1159">
        <w:tc>
          <w:tcPr>
            <w:tcW w:w="2376" w:type="dxa"/>
          </w:tcPr>
          <w:p w14:paraId="13EA3083"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-any living organism that possesses a novel combination of genetic material obtained through the use of modern biotechnology</w:t>
            </w:r>
          </w:p>
          <w:p w14:paraId="13EA3084"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-definition based on process (use of modern biotechnology)</w:t>
            </w:r>
          </w:p>
        </w:tc>
        <w:tc>
          <w:tcPr>
            <w:tcW w:w="1985" w:type="dxa"/>
          </w:tcPr>
          <w:p w14:paraId="13EA3085"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-organisms, components and products of synthetic biology techniques</w:t>
            </w:r>
          </w:p>
          <w:p w14:paraId="13EA3086"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-focus is on process (“techniques”)</w:t>
            </w:r>
          </w:p>
        </w:tc>
        <w:tc>
          <w:tcPr>
            <w:tcW w:w="4536" w:type="dxa"/>
          </w:tcPr>
          <w:p w14:paraId="13EA3087"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-unless expressly provided otherwise by regulations, any organism in which any of the genes or other genetic material—</w:t>
            </w:r>
          </w:p>
          <w:p w14:paraId="13EA3088"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(a) have been modified by in vitro techniques; or</w:t>
            </w:r>
          </w:p>
          <w:p w14:paraId="13EA3089"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(b) are inherited or otherwise derived, through any number of replications, from any genes or other genetic material which has been modified by in vitro techniques</w:t>
            </w:r>
          </w:p>
          <w:p w14:paraId="13EA308A" w14:textId="62CF94E1" w:rsidR="00CB2C08" w:rsidRPr="00CC7ED1" w:rsidRDefault="00CB2C08" w:rsidP="00FB3C40">
            <w:pPr>
              <w:rPr>
                <w:color w:val="7F7F7F" w:themeColor="text1" w:themeTint="80"/>
                <w:sz w:val="18"/>
                <w:szCs w:val="18"/>
              </w:rPr>
            </w:pPr>
            <w:r w:rsidRPr="00CC7ED1">
              <w:rPr>
                <w:color w:val="7F7F7F" w:themeColor="text1" w:themeTint="80"/>
                <w:sz w:val="18"/>
                <w:szCs w:val="18"/>
              </w:rPr>
              <w:t xml:space="preserve">-focus is on identifying the class of organisms subject to regulation. </w:t>
            </w:r>
            <w:r w:rsidR="00FB3C40">
              <w:rPr>
                <w:color w:val="7F7F7F" w:themeColor="text1" w:themeTint="80"/>
                <w:sz w:val="18"/>
                <w:szCs w:val="18"/>
              </w:rPr>
              <w:t>G</w:t>
            </w:r>
            <w:r w:rsidRPr="00CC7ED1">
              <w:rPr>
                <w:color w:val="7F7F7F" w:themeColor="text1" w:themeTint="80"/>
                <w:sz w:val="18"/>
                <w:szCs w:val="18"/>
              </w:rPr>
              <w:t>enetic modification must be caused by the in vitro technique in order for the organism to be regulated</w:t>
            </w:r>
            <w:r w:rsidR="00FB3C40">
              <w:rPr>
                <w:color w:val="7F7F7F" w:themeColor="text1" w:themeTint="80"/>
                <w:sz w:val="18"/>
                <w:szCs w:val="18"/>
              </w:rPr>
              <w:t xml:space="preserve">. </w:t>
            </w:r>
          </w:p>
        </w:tc>
        <w:tc>
          <w:tcPr>
            <w:tcW w:w="3260" w:type="dxa"/>
          </w:tcPr>
          <w:p w14:paraId="13EA308B"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-unless expressly provided otherwise by regulations, any substance—</w:t>
            </w:r>
          </w:p>
          <w:p w14:paraId="13EA308C"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(a) with 1 or more of the following intrinsic properties:</w:t>
            </w:r>
          </w:p>
          <w:p w14:paraId="13EA308D"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(i) explosiveness:</w:t>
            </w:r>
          </w:p>
          <w:p w14:paraId="13EA308E"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(ii) flammability:</w:t>
            </w:r>
          </w:p>
          <w:p w14:paraId="13EA308F"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(iii) a capacity to oxidise:</w:t>
            </w:r>
          </w:p>
          <w:p w14:paraId="13EA3090"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(iv) corrosiveness:</w:t>
            </w:r>
          </w:p>
          <w:p w14:paraId="13EA3091"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(v) toxicity (including chronic toxicity):</w:t>
            </w:r>
          </w:p>
          <w:p w14:paraId="13EA3092"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(vi) ecotoxicity, with or without bioaccumulation</w:t>
            </w:r>
          </w:p>
          <w:p w14:paraId="13EA3093" w14:textId="77777777" w:rsidR="00CB2C08" w:rsidRPr="00CC7ED1" w:rsidRDefault="00CB2C08" w:rsidP="007B1159">
            <w:pPr>
              <w:rPr>
                <w:color w:val="7F7F7F" w:themeColor="text1" w:themeTint="80"/>
                <w:sz w:val="18"/>
                <w:szCs w:val="18"/>
              </w:rPr>
            </w:pPr>
            <w:r w:rsidRPr="00CC7ED1">
              <w:rPr>
                <w:color w:val="7F7F7F" w:themeColor="text1" w:themeTint="80"/>
                <w:sz w:val="18"/>
                <w:szCs w:val="18"/>
              </w:rPr>
              <w:t>-definition based on properties</w:t>
            </w:r>
          </w:p>
        </w:tc>
      </w:tr>
    </w:tbl>
    <w:p w14:paraId="13EA3095" w14:textId="77777777" w:rsidR="00CB2C08" w:rsidRPr="009D5351" w:rsidRDefault="00CB2C08" w:rsidP="00CB2C08">
      <w:pPr>
        <w:jc w:val="both"/>
        <w:rPr>
          <w:color w:val="4F81BD" w:themeColor="accent1"/>
        </w:rPr>
      </w:pPr>
    </w:p>
    <w:p w14:paraId="13EA3096" w14:textId="77777777" w:rsidR="00CB2C08" w:rsidRPr="009D5351" w:rsidRDefault="00CB2C08" w:rsidP="00CB2C08">
      <w:pPr>
        <w:jc w:val="both"/>
        <w:rPr>
          <w:color w:val="4F81BD" w:themeColor="accent1"/>
        </w:rPr>
      </w:pPr>
    </w:p>
    <w:p w14:paraId="13EA3097" w14:textId="77777777" w:rsidR="00CB2C08" w:rsidRDefault="00CB2C08" w:rsidP="00CB2C08">
      <w:pPr>
        <w:jc w:val="both"/>
        <w:rPr>
          <w:i/>
        </w:rPr>
        <w:sectPr w:rsidR="00CB2C08" w:rsidSect="002B68F9">
          <w:footerReference w:type="first" r:id="rId20"/>
          <w:pgSz w:w="16838" w:h="11906" w:orient="landscape"/>
          <w:pgMar w:top="1125" w:right="1983" w:bottom="1418" w:left="1701" w:header="397" w:footer="397" w:gutter="0"/>
          <w:cols w:space="708"/>
          <w:titlePg/>
          <w:docGrid w:linePitch="360"/>
        </w:sectPr>
      </w:pPr>
    </w:p>
    <w:p w14:paraId="13EA3098" w14:textId="77777777" w:rsidR="00CB2C08" w:rsidRPr="00C2276F" w:rsidRDefault="00CB2C08" w:rsidP="00CB2C08">
      <w:pPr>
        <w:tabs>
          <w:tab w:val="clear" w:pos="567"/>
          <w:tab w:val="left" w:pos="-4820"/>
        </w:tabs>
        <w:ind w:left="142"/>
        <w:jc w:val="both"/>
        <w:rPr>
          <w:i/>
        </w:rPr>
      </w:pPr>
      <w:r>
        <w:rPr>
          <w:i/>
        </w:rPr>
        <w:lastRenderedPageBreak/>
        <w:t xml:space="preserve">3. </w:t>
      </w:r>
      <w:r w:rsidRPr="00C2276F">
        <w:rPr>
          <w:i/>
        </w:rPr>
        <w:t>Adequacy of existing national, regional and/</w:t>
      </w:r>
      <w:r>
        <w:rPr>
          <w:i/>
        </w:rPr>
        <w:t xml:space="preserve">or international instruments to </w:t>
      </w:r>
      <w:r w:rsidRPr="00C2276F">
        <w:rPr>
          <w:i/>
        </w:rPr>
        <w:t>regulate the organisms, components or products</w:t>
      </w:r>
      <w:r>
        <w:rPr>
          <w:i/>
        </w:rPr>
        <w:t xml:space="preserve"> derived from synthetic biology techniques. </w:t>
      </w:r>
    </w:p>
    <w:p w14:paraId="13EA3099" w14:textId="77777777" w:rsidR="00CB2C08" w:rsidRDefault="00CB2C08" w:rsidP="00CB2C08">
      <w:pPr>
        <w:jc w:val="both"/>
      </w:pPr>
    </w:p>
    <w:p w14:paraId="13EA309B" w14:textId="64820723" w:rsidR="00CB2C08" w:rsidRPr="00CC7ED1" w:rsidRDefault="00CB2C08" w:rsidP="00CB2C08">
      <w:pPr>
        <w:jc w:val="both"/>
        <w:rPr>
          <w:color w:val="7F7F7F" w:themeColor="text1" w:themeTint="80"/>
        </w:rPr>
      </w:pPr>
      <w:r w:rsidRPr="00CC7ED1">
        <w:rPr>
          <w:color w:val="7F7F7F" w:themeColor="text1" w:themeTint="80"/>
        </w:rPr>
        <w:t xml:space="preserve">-The adequacy of existing national, regional and/or international instruments will depend to a large extent on what is being regulated. Without a clear definition of synthetic biology – and therefore lack of </w:t>
      </w:r>
      <w:r w:rsidR="00CC7ED1">
        <w:rPr>
          <w:color w:val="7F7F7F" w:themeColor="text1" w:themeTint="80"/>
        </w:rPr>
        <w:t xml:space="preserve">specificity about </w:t>
      </w:r>
      <w:r w:rsidRPr="00CC7ED1">
        <w:rPr>
          <w:color w:val="7F7F7F" w:themeColor="text1" w:themeTint="80"/>
        </w:rPr>
        <w:t xml:space="preserve">relevant instruments – adequacy is difficult to assess. </w:t>
      </w:r>
    </w:p>
    <w:p w14:paraId="13EA309C" w14:textId="01BAFF91" w:rsidR="00CB2C08" w:rsidRPr="00CC7ED1" w:rsidRDefault="00CB2C08" w:rsidP="00CB2C08">
      <w:pPr>
        <w:jc w:val="both"/>
        <w:rPr>
          <w:color w:val="7F7F7F" w:themeColor="text1" w:themeTint="80"/>
        </w:rPr>
      </w:pPr>
      <w:r w:rsidRPr="00CC7ED1">
        <w:rPr>
          <w:color w:val="7F7F7F" w:themeColor="text1" w:themeTint="80"/>
        </w:rPr>
        <w:t>-New Zealand believes that more work is needed to understand how the Globally Harmonised System of Classification and Labelling of Chemicals (GHS) and the Strategic Approach to Integrated Chemicals Management (SAICM) may apply to non-living components and products derived from synthetic biology techniques. It would be useful for the CBD Secretariat to include relevant information from these regimes in furthe</w:t>
      </w:r>
      <w:r w:rsidR="00CC7ED1">
        <w:rPr>
          <w:color w:val="7F7F7F" w:themeColor="text1" w:themeTint="80"/>
        </w:rPr>
        <w:t xml:space="preserve">r analyses of synthetic biology. </w:t>
      </w:r>
    </w:p>
    <w:p w14:paraId="13EA309D" w14:textId="77777777" w:rsidR="00CB2C08" w:rsidRDefault="00CB2C08" w:rsidP="00CB2C08">
      <w:pPr>
        <w:jc w:val="both"/>
        <w:rPr>
          <w:color w:val="4F81BD" w:themeColor="accent1"/>
        </w:rPr>
      </w:pPr>
    </w:p>
    <w:p w14:paraId="13EA309E" w14:textId="77777777" w:rsidR="00CB2C08" w:rsidRPr="00C2276F" w:rsidRDefault="00CB2C08" w:rsidP="00CB2C08">
      <w:pPr>
        <w:jc w:val="both"/>
        <w:rPr>
          <w:i/>
        </w:rPr>
      </w:pPr>
      <w:r>
        <w:rPr>
          <w:i/>
        </w:rPr>
        <w:t>4.</w:t>
      </w:r>
      <w:r w:rsidRPr="00C2276F">
        <w:rPr>
          <w:i/>
        </w:rPr>
        <w:t xml:space="preserve"> An operational definition of synthetic biology, comprising inclusion and exclusion criteria</w:t>
      </w:r>
    </w:p>
    <w:p w14:paraId="13EA309F" w14:textId="77777777" w:rsidR="00CB2C08" w:rsidRDefault="00CB2C08" w:rsidP="00CB2C08">
      <w:pPr>
        <w:jc w:val="both"/>
      </w:pPr>
    </w:p>
    <w:p w14:paraId="13EA30A1" w14:textId="3943A49C" w:rsidR="00CB2C08" w:rsidRPr="00CC7ED1" w:rsidRDefault="00CC7ED1" w:rsidP="00CB2C08">
      <w:pPr>
        <w:jc w:val="both"/>
        <w:rPr>
          <w:color w:val="7F7F7F" w:themeColor="text1" w:themeTint="80"/>
        </w:rPr>
      </w:pPr>
      <w:r>
        <w:rPr>
          <w:i/>
          <w:color w:val="7F7F7F" w:themeColor="text1" w:themeTint="80"/>
        </w:rPr>
        <w:t>-</w:t>
      </w:r>
      <w:r>
        <w:rPr>
          <w:color w:val="7F7F7F" w:themeColor="text1" w:themeTint="80"/>
        </w:rPr>
        <w:t>New Zealand does not have any suggestions for an operational definition of synthetic biology. However, we do note that d</w:t>
      </w:r>
      <w:r w:rsidR="00CB2C08" w:rsidRPr="00CC7ED1">
        <w:rPr>
          <w:color w:val="7F7F7F" w:themeColor="text1" w:themeTint="80"/>
        </w:rPr>
        <w:t xml:space="preserve">ifferent approaches can be taken to developing </w:t>
      </w:r>
      <w:r>
        <w:rPr>
          <w:color w:val="7F7F7F" w:themeColor="text1" w:themeTint="80"/>
        </w:rPr>
        <w:t xml:space="preserve">such a </w:t>
      </w:r>
      <w:r w:rsidR="00CB2C08" w:rsidRPr="00CC7ED1">
        <w:rPr>
          <w:color w:val="7F7F7F" w:themeColor="text1" w:themeTint="80"/>
        </w:rPr>
        <w:t xml:space="preserve">definition. Definitions </w:t>
      </w:r>
      <w:r>
        <w:rPr>
          <w:color w:val="7F7F7F" w:themeColor="text1" w:themeTint="80"/>
        </w:rPr>
        <w:t xml:space="preserve">may </w:t>
      </w:r>
      <w:r w:rsidR="00CB2C08" w:rsidRPr="00CC7ED1">
        <w:rPr>
          <w:color w:val="7F7F7F" w:themeColor="text1" w:themeTint="80"/>
        </w:rPr>
        <w:t xml:space="preserve">be based on the </w:t>
      </w:r>
      <w:r w:rsidR="00FB3C40">
        <w:rPr>
          <w:color w:val="7F7F7F" w:themeColor="text1" w:themeTint="80"/>
        </w:rPr>
        <w:t>process/</w:t>
      </w:r>
      <w:r w:rsidR="00CB2C08" w:rsidRPr="00CC7ED1">
        <w:rPr>
          <w:color w:val="7F7F7F" w:themeColor="text1" w:themeTint="80"/>
        </w:rPr>
        <w:t>technique used (such as with LMO</w:t>
      </w:r>
      <w:r>
        <w:rPr>
          <w:color w:val="7F7F7F" w:themeColor="text1" w:themeTint="80"/>
        </w:rPr>
        <w:t>s under the Cartagena Protocol), they may be</w:t>
      </w:r>
      <w:r w:rsidR="00CB2C08" w:rsidRPr="00CC7ED1">
        <w:rPr>
          <w:color w:val="7F7F7F" w:themeColor="text1" w:themeTint="80"/>
        </w:rPr>
        <w:t xml:space="preserve"> </w:t>
      </w:r>
      <w:r>
        <w:rPr>
          <w:color w:val="7F7F7F" w:themeColor="text1" w:themeTint="80"/>
        </w:rPr>
        <w:t xml:space="preserve">based on </w:t>
      </w:r>
      <w:r w:rsidR="00CB2C08" w:rsidRPr="00CC7ED1">
        <w:rPr>
          <w:color w:val="7F7F7F" w:themeColor="text1" w:themeTint="80"/>
        </w:rPr>
        <w:t>criteria that define organisms, components and pro</w:t>
      </w:r>
      <w:r w:rsidR="00FB3C40">
        <w:rPr>
          <w:color w:val="7F7F7F" w:themeColor="text1" w:themeTint="80"/>
        </w:rPr>
        <w:t xml:space="preserve">ducts of synthetic biology, or a definition could be based on a combination. </w:t>
      </w:r>
    </w:p>
    <w:p w14:paraId="13EA30AC" w14:textId="77777777" w:rsidR="00CB2C08" w:rsidRPr="00CC7ED1" w:rsidRDefault="00CB2C08" w:rsidP="00CB2C08">
      <w:pPr>
        <w:jc w:val="both"/>
        <w:rPr>
          <w:color w:val="7F7F7F" w:themeColor="text1" w:themeTint="80"/>
        </w:rPr>
      </w:pPr>
    </w:p>
    <w:p w14:paraId="13EA30B1" w14:textId="77777777" w:rsidR="00CB2C08" w:rsidRPr="00C2276F" w:rsidRDefault="00CB2C08" w:rsidP="00CB2C08">
      <w:pPr>
        <w:jc w:val="both"/>
        <w:rPr>
          <w:i/>
        </w:rPr>
      </w:pPr>
      <w:r>
        <w:rPr>
          <w:i/>
        </w:rPr>
        <w:t>5.</w:t>
      </w:r>
      <w:r w:rsidRPr="00C2276F">
        <w:rPr>
          <w:i/>
        </w:rPr>
        <w:t xml:space="preserve">  Potential benefits and risks of organisms, components and products arising from synthetic biology techniques to the conservation and sustainable use of biodiversity and related human health and socioeconomic impacts relevant to the mandate of the Convention and its Protocols</w:t>
      </w:r>
    </w:p>
    <w:p w14:paraId="13EA30B2" w14:textId="77777777" w:rsidR="00CB2C08" w:rsidRPr="009D5351" w:rsidRDefault="00CB2C08" w:rsidP="00CB2C08">
      <w:pPr>
        <w:jc w:val="both"/>
        <w:rPr>
          <w:color w:val="4F81BD" w:themeColor="accent1"/>
        </w:rPr>
      </w:pPr>
    </w:p>
    <w:p w14:paraId="13EA30B4" w14:textId="758DDD48" w:rsidR="00662928" w:rsidRDefault="00CC7ED1" w:rsidP="00662928">
      <w:pPr>
        <w:jc w:val="both"/>
        <w:rPr>
          <w:color w:val="7F7F7F" w:themeColor="text1" w:themeTint="80"/>
        </w:rPr>
      </w:pPr>
      <w:r>
        <w:rPr>
          <w:color w:val="7F7F7F" w:themeColor="text1" w:themeTint="80"/>
        </w:rPr>
        <w:t xml:space="preserve">-New Zealand underlines that </w:t>
      </w:r>
      <w:r w:rsidR="00CB2C08" w:rsidRPr="00CC7ED1">
        <w:rPr>
          <w:color w:val="7F7F7F" w:themeColor="text1" w:themeTint="80"/>
        </w:rPr>
        <w:t>robust and effective risk assessment and risk mana</w:t>
      </w:r>
      <w:r>
        <w:rPr>
          <w:color w:val="7F7F7F" w:themeColor="text1" w:themeTint="80"/>
        </w:rPr>
        <w:t>gement procedures are essential to maximise the benefits and redu</w:t>
      </w:r>
      <w:r w:rsidR="00662928">
        <w:rPr>
          <w:color w:val="7F7F7F" w:themeColor="text1" w:themeTint="80"/>
        </w:rPr>
        <w:t xml:space="preserve">ce risks to the conservation and sustainable use of biodiversity. </w:t>
      </w:r>
    </w:p>
    <w:p w14:paraId="13EA30B6" w14:textId="77777777" w:rsidR="00CB2C08" w:rsidRPr="009D5351" w:rsidRDefault="00CB2C08" w:rsidP="00CB2C08">
      <w:pPr>
        <w:jc w:val="both"/>
        <w:rPr>
          <w:color w:val="4F81BD" w:themeColor="accent1"/>
        </w:rPr>
      </w:pPr>
    </w:p>
    <w:p w14:paraId="13EA30B7" w14:textId="77777777" w:rsidR="00CB2C08" w:rsidRPr="00C2276F" w:rsidRDefault="00CB2C08" w:rsidP="00CB2C08">
      <w:pPr>
        <w:jc w:val="both"/>
        <w:rPr>
          <w:i/>
        </w:rPr>
      </w:pPr>
      <w:r>
        <w:rPr>
          <w:i/>
        </w:rPr>
        <w:t>6.</w:t>
      </w:r>
      <w:r w:rsidRPr="00C2276F">
        <w:rPr>
          <w:i/>
        </w:rPr>
        <w:t xml:space="preserve">  Best practices on risk assessment and monitoring regimes currently used by Parties to the Convention and other Governments, including transboundary movement, to inform those who do not have national risk assessment or monitoring regimes, or are in the process of reviewing their current risk assessment or monitoring regimes;</w:t>
      </w:r>
    </w:p>
    <w:p w14:paraId="13EA30B8" w14:textId="77777777" w:rsidR="00CB2C08" w:rsidRPr="009D5351" w:rsidRDefault="00CB2C08" w:rsidP="00CB2C08">
      <w:pPr>
        <w:jc w:val="both"/>
        <w:rPr>
          <w:color w:val="4F81BD" w:themeColor="accent1"/>
        </w:rPr>
      </w:pPr>
    </w:p>
    <w:p w14:paraId="7D8A10CF" w14:textId="77777777" w:rsidR="00C2498E" w:rsidRDefault="0064148A" w:rsidP="00C2498E">
      <w:pPr>
        <w:jc w:val="both"/>
        <w:rPr>
          <w:color w:val="7F7F7F" w:themeColor="text1" w:themeTint="80"/>
        </w:rPr>
      </w:pPr>
      <w:r w:rsidRPr="0064148A">
        <w:rPr>
          <w:color w:val="7F7F7F" w:themeColor="text1" w:themeTint="80"/>
        </w:rPr>
        <w:t>-</w:t>
      </w:r>
      <w:r w:rsidR="00C2498E">
        <w:rPr>
          <w:color w:val="7F7F7F" w:themeColor="text1" w:themeTint="80"/>
        </w:rPr>
        <w:t xml:space="preserve">In New Zealand, new organisms and hazardous substances are regulated under the same statute: the </w:t>
      </w:r>
      <w:r>
        <w:rPr>
          <w:color w:val="7F7F7F" w:themeColor="text1" w:themeTint="80"/>
        </w:rPr>
        <w:t xml:space="preserve">Hazardous Substances and New Organisms </w:t>
      </w:r>
      <w:r w:rsidRPr="0064148A">
        <w:rPr>
          <w:color w:val="7F7F7F" w:themeColor="text1" w:themeTint="80"/>
        </w:rPr>
        <w:t>Act</w:t>
      </w:r>
      <w:r w:rsidR="00644A40">
        <w:rPr>
          <w:color w:val="7F7F7F" w:themeColor="text1" w:themeTint="80"/>
        </w:rPr>
        <w:t xml:space="preserve"> (HSNO Act)</w:t>
      </w:r>
      <w:r w:rsidR="00C2498E">
        <w:rPr>
          <w:color w:val="7F7F7F" w:themeColor="text1" w:themeTint="80"/>
        </w:rPr>
        <w:t>.</w:t>
      </w:r>
      <w:r w:rsidRPr="0064148A">
        <w:rPr>
          <w:color w:val="7F7F7F" w:themeColor="text1" w:themeTint="80"/>
        </w:rPr>
        <w:t xml:space="preserve"> </w:t>
      </w:r>
    </w:p>
    <w:p w14:paraId="68E63F64" w14:textId="693AC55A" w:rsidR="0064148A" w:rsidRPr="0064148A" w:rsidRDefault="00C2498E" w:rsidP="00C2498E">
      <w:pPr>
        <w:jc w:val="both"/>
        <w:rPr>
          <w:color w:val="7F7F7F" w:themeColor="text1" w:themeTint="80"/>
        </w:rPr>
      </w:pPr>
      <w:r>
        <w:rPr>
          <w:color w:val="7F7F7F" w:themeColor="text1" w:themeTint="80"/>
        </w:rPr>
        <w:t>-</w:t>
      </w:r>
      <w:r w:rsidR="0064148A">
        <w:rPr>
          <w:color w:val="7F7F7F" w:themeColor="text1" w:themeTint="80"/>
        </w:rPr>
        <w:t>‘</w:t>
      </w:r>
      <w:r>
        <w:rPr>
          <w:color w:val="7F7F7F" w:themeColor="text1" w:themeTint="80"/>
        </w:rPr>
        <w:t>O</w:t>
      </w:r>
      <w:r w:rsidR="0064148A">
        <w:rPr>
          <w:color w:val="7F7F7F" w:themeColor="text1" w:themeTint="80"/>
        </w:rPr>
        <w:t xml:space="preserve">utputs’ </w:t>
      </w:r>
      <w:r w:rsidR="0064148A" w:rsidRPr="0064148A">
        <w:rPr>
          <w:color w:val="7F7F7F" w:themeColor="text1" w:themeTint="80"/>
        </w:rPr>
        <w:t xml:space="preserve">of synthetic biology techniques </w:t>
      </w:r>
      <w:r>
        <w:rPr>
          <w:color w:val="7F7F7F" w:themeColor="text1" w:themeTint="80"/>
        </w:rPr>
        <w:t xml:space="preserve">may be regulated by the HSNO Act if they </w:t>
      </w:r>
      <w:r w:rsidR="0064148A" w:rsidRPr="0064148A">
        <w:rPr>
          <w:color w:val="7F7F7F" w:themeColor="text1" w:themeTint="80"/>
        </w:rPr>
        <w:t xml:space="preserve">come within the definition of an ‘organism’ and ‘new organism’ in the Act. ‘Organism’ is widely defined in the Act and includes a genetic structure (other than a human cell) that is capable of replicating itself, whether that structure comprises all or part of the entity. The definition of ‘new organism’ includes organisms belonging to species that were not present in NZ prior to July 1998 and GMOs. The definition of a GMO is very broad </w:t>
      </w:r>
      <w:r w:rsidR="0064148A" w:rsidRPr="0064148A">
        <w:rPr>
          <w:color w:val="7F7F7F" w:themeColor="text1" w:themeTint="80"/>
        </w:rPr>
        <w:lastRenderedPageBreak/>
        <w:t xml:space="preserve">(organisms whose genes or genetic material have modified by in vitro techniques). However, regulations may provide that certain organisms are not GMOs. </w:t>
      </w:r>
    </w:p>
    <w:p w14:paraId="29C65418" w14:textId="641ADA6F" w:rsidR="00CC7ED1" w:rsidRPr="00CC7ED1" w:rsidRDefault="0064148A" w:rsidP="0064148A">
      <w:pPr>
        <w:jc w:val="both"/>
        <w:rPr>
          <w:color w:val="7F7F7F" w:themeColor="text1" w:themeTint="80"/>
        </w:rPr>
      </w:pPr>
      <w:r w:rsidRPr="0064148A">
        <w:rPr>
          <w:color w:val="7F7F7F" w:themeColor="text1" w:themeTint="80"/>
        </w:rPr>
        <w:t>-If there is uncertainty about whether an entity is a GMO (or even an organism), there is a formal determination the Environmental Protection Authority can undertake pursuant to the HSNO Act.</w:t>
      </w:r>
    </w:p>
    <w:p w14:paraId="5F35DC17" w14:textId="726F62C3" w:rsidR="00644A40" w:rsidRPr="00644A40" w:rsidRDefault="00644A40" w:rsidP="00644A40">
      <w:pPr>
        <w:jc w:val="both"/>
        <w:rPr>
          <w:color w:val="7F7F7F" w:themeColor="text1" w:themeTint="80"/>
        </w:rPr>
      </w:pPr>
      <w:r w:rsidRPr="00644A40">
        <w:rPr>
          <w:color w:val="7F7F7F" w:themeColor="text1" w:themeTint="80"/>
        </w:rPr>
        <w:t>-</w:t>
      </w:r>
      <w:r w:rsidR="008C4DB4">
        <w:rPr>
          <w:color w:val="7F7F7F" w:themeColor="text1" w:themeTint="80"/>
        </w:rPr>
        <w:t xml:space="preserve">Regarding the regulation of products or components of synthetic biology, </w:t>
      </w:r>
      <w:r w:rsidR="001D7401">
        <w:rPr>
          <w:color w:val="7F7F7F" w:themeColor="text1" w:themeTint="80"/>
        </w:rPr>
        <w:t xml:space="preserve">possible </w:t>
      </w:r>
      <w:r w:rsidR="001D7401" w:rsidRPr="001D7401">
        <w:rPr>
          <w:color w:val="7F7F7F" w:themeColor="text1" w:themeTint="80"/>
        </w:rPr>
        <w:t xml:space="preserve">regulation </w:t>
      </w:r>
      <w:r w:rsidR="001D7401">
        <w:rPr>
          <w:color w:val="7F7F7F" w:themeColor="text1" w:themeTint="80"/>
        </w:rPr>
        <w:t xml:space="preserve">under the HSNO Act </w:t>
      </w:r>
      <w:r w:rsidR="001D7401" w:rsidRPr="001D7401">
        <w:rPr>
          <w:color w:val="7F7F7F" w:themeColor="text1" w:themeTint="80"/>
        </w:rPr>
        <w:t>depends on intended use of the substance</w:t>
      </w:r>
      <w:r w:rsidR="001D7401">
        <w:rPr>
          <w:color w:val="7F7F7F" w:themeColor="text1" w:themeTint="80"/>
        </w:rPr>
        <w:t>.</w:t>
      </w:r>
      <w:r w:rsidR="001D7401" w:rsidRPr="001D7401">
        <w:rPr>
          <w:color w:val="7F7F7F" w:themeColor="text1" w:themeTint="80"/>
        </w:rPr>
        <w:t xml:space="preserve"> </w:t>
      </w:r>
      <w:r w:rsidR="00C2498E">
        <w:rPr>
          <w:color w:val="7F7F7F" w:themeColor="text1" w:themeTint="80"/>
        </w:rPr>
        <w:t>U</w:t>
      </w:r>
      <w:r w:rsidRPr="00644A40">
        <w:rPr>
          <w:color w:val="7F7F7F" w:themeColor="text1" w:themeTint="80"/>
        </w:rPr>
        <w:t xml:space="preserve">nder the HSNO Act, a substance </w:t>
      </w:r>
      <w:r>
        <w:rPr>
          <w:color w:val="7F7F7F" w:themeColor="text1" w:themeTint="80"/>
        </w:rPr>
        <w:t xml:space="preserve">is classified as </w:t>
      </w:r>
      <w:r w:rsidRPr="00644A40">
        <w:rPr>
          <w:color w:val="7F7F7F" w:themeColor="text1" w:themeTint="80"/>
        </w:rPr>
        <w:t xml:space="preserve">a ‘hazardous substance’ if it meets the threshold defined by the ‘hazard classification system’. Whether </w:t>
      </w:r>
      <w:r w:rsidR="008C4DB4">
        <w:rPr>
          <w:color w:val="7F7F7F" w:themeColor="text1" w:themeTint="80"/>
        </w:rPr>
        <w:t xml:space="preserve">or not </w:t>
      </w:r>
      <w:r w:rsidRPr="00644A40">
        <w:rPr>
          <w:color w:val="7F7F7F" w:themeColor="text1" w:themeTint="80"/>
        </w:rPr>
        <w:t xml:space="preserve">the substance comes from a natural source is irrelevant (synthetic chemistry is a well-established field of science), and the threshold relates to the particular compound as well as the concentration. </w:t>
      </w:r>
    </w:p>
    <w:p w14:paraId="04794247" w14:textId="45127FE8" w:rsidR="00644A40" w:rsidRPr="00644A40" w:rsidRDefault="00644A40" w:rsidP="00644A40">
      <w:pPr>
        <w:jc w:val="both"/>
        <w:rPr>
          <w:color w:val="7F7F7F" w:themeColor="text1" w:themeTint="80"/>
        </w:rPr>
      </w:pPr>
      <w:r>
        <w:rPr>
          <w:color w:val="7F7F7F" w:themeColor="text1" w:themeTint="80"/>
        </w:rPr>
        <w:t>-</w:t>
      </w:r>
      <w:r w:rsidR="001D7401">
        <w:rPr>
          <w:color w:val="7F7F7F" w:themeColor="text1" w:themeTint="80"/>
        </w:rPr>
        <w:t xml:space="preserve">Classification of a substance as a ‘hazardous substance’ depends on an assessment </w:t>
      </w:r>
      <w:r w:rsidRPr="00644A40">
        <w:rPr>
          <w:color w:val="7F7F7F" w:themeColor="text1" w:themeTint="80"/>
        </w:rPr>
        <w:t>using the ‘</w:t>
      </w:r>
      <w:r w:rsidR="001D7401">
        <w:rPr>
          <w:color w:val="7F7F7F" w:themeColor="text1" w:themeTint="80"/>
        </w:rPr>
        <w:t>hazard classification system’. S</w:t>
      </w:r>
      <w:r w:rsidRPr="00644A40">
        <w:rPr>
          <w:color w:val="7F7F7F" w:themeColor="text1" w:themeTint="80"/>
        </w:rPr>
        <w:t>pecifically, the associated tox</w:t>
      </w:r>
      <w:r w:rsidR="001D7401">
        <w:rPr>
          <w:color w:val="7F7F7F" w:themeColor="text1" w:themeTint="80"/>
        </w:rPr>
        <w:t xml:space="preserve">icity data package is assessed. The two examples below illustrate the assessment, and how the outcomes vary with different toxicity data packages. </w:t>
      </w:r>
    </w:p>
    <w:p w14:paraId="3AF05F6E" w14:textId="77777777" w:rsidR="00644A40" w:rsidRPr="00644A40" w:rsidRDefault="00644A40" w:rsidP="00644A40">
      <w:pPr>
        <w:rPr>
          <w:color w:val="7F7F7F" w:themeColor="text1" w:themeTint="80"/>
        </w:rPr>
      </w:pPr>
    </w:p>
    <w:tbl>
      <w:tblPr>
        <w:tblW w:w="0" w:type="auto"/>
        <w:tblCellMar>
          <w:left w:w="0" w:type="dxa"/>
          <w:right w:w="0" w:type="dxa"/>
        </w:tblCellMar>
        <w:tblLook w:val="04A0" w:firstRow="1" w:lastRow="0" w:firstColumn="1" w:lastColumn="0" w:noHBand="0" w:noVBand="1"/>
      </w:tblPr>
      <w:tblGrid>
        <w:gridCol w:w="3080"/>
        <w:gridCol w:w="3081"/>
      </w:tblGrid>
      <w:tr w:rsidR="00644A40" w:rsidRPr="00644A40" w14:paraId="6DFB7A62" w14:textId="77777777" w:rsidTr="007B1159">
        <w:tc>
          <w:tcPr>
            <w:tcW w:w="61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9DD4C" w14:textId="77777777" w:rsidR="00644A40" w:rsidRPr="00644A40" w:rsidRDefault="00644A40" w:rsidP="007B1159">
            <w:pPr>
              <w:rPr>
                <w:b/>
                <w:color w:val="7F7F7F" w:themeColor="text1" w:themeTint="80"/>
                <w:lang w:eastAsia="en-NZ"/>
              </w:rPr>
            </w:pPr>
            <w:r w:rsidRPr="00644A40">
              <w:rPr>
                <w:b/>
                <w:color w:val="7F7F7F" w:themeColor="text1" w:themeTint="80"/>
              </w:rPr>
              <w:t>Citric acid</w:t>
            </w:r>
          </w:p>
        </w:tc>
      </w:tr>
      <w:tr w:rsidR="00644A40" w:rsidRPr="00644A40" w14:paraId="1EEE2313"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2F045" w14:textId="77777777" w:rsidR="00644A40" w:rsidRPr="00644A40" w:rsidRDefault="00644A40" w:rsidP="007B1159">
            <w:pPr>
              <w:rPr>
                <w:i/>
                <w:color w:val="7F7F7F" w:themeColor="text1" w:themeTint="80"/>
              </w:rPr>
            </w:pPr>
            <w:r w:rsidRPr="00644A40">
              <w:rPr>
                <w:i/>
                <w:color w:val="7F7F7F" w:themeColor="text1" w:themeTint="80"/>
              </w:rPr>
              <w:t>Concentration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17186BD9" w14:textId="77777777" w:rsidR="00644A40" w:rsidRPr="00644A40" w:rsidRDefault="00644A40" w:rsidP="007B1159">
            <w:pPr>
              <w:rPr>
                <w:i/>
                <w:color w:val="7F7F7F" w:themeColor="text1" w:themeTint="80"/>
                <w:lang w:eastAsia="en-NZ"/>
              </w:rPr>
            </w:pPr>
            <w:r w:rsidRPr="00644A40">
              <w:rPr>
                <w:i/>
                <w:color w:val="7F7F7F" w:themeColor="text1" w:themeTint="80"/>
                <w:lang w:eastAsia="en-NZ"/>
              </w:rPr>
              <w:t>Hazard Classification</w:t>
            </w:r>
          </w:p>
        </w:tc>
      </w:tr>
      <w:tr w:rsidR="00644A40" w:rsidRPr="00644A40" w14:paraId="62F397FA"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44F11" w14:textId="77777777" w:rsidR="00644A40" w:rsidRPr="00644A40" w:rsidRDefault="00644A40" w:rsidP="007B1159">
            <w:pPr>
              <w:rPr>
                <w:color w:val="7F7F7F" w:themeColor="text1" w:themeTint="80"/>
              </w:rPr>
            </w:pPr>
            <w:r w:rsidRPr="00644A40">
              <w:rPr>
                <w:color w:val="7F7F7F" w:themeColor="text1" w:themeTint="80"/>
              </w:rPr>
              <w:t>10%+ concentration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61A1DBB" w14:textId="77777777" w:rsidR="00644A40" w:rsidRPr="00644A40" w:rsidRDefault="00644A40" w:rsidP="007B1159">
            <w:pPr>
              <w:rPr>
                <w:color w:val="7F7F7F" w:themeColor="text1" w:themeTint="80"/>
              </w:rPr>
            </w:pPr>
            <w:r w:rsidRPr="00644A40">
              <w:rPr>
                <w:color w:val="7F7F7F" w:themeColor="text1" w:themeTint="80"/>
                <w:lang w:eastAsia="en-NZ"/>
              </w:rPr>
              <w:t>skin irritant (6.3B)</w:t>
            </w:r>
          </w:p>
        </w:tc>
      </w:tr>
      <w:tr w:rsidR="00644A40" w:rsidRPr="00644A40" w14:paraId="1E0EC11A"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A3434" w14:textId="77777777" w:rsidR="00644A40" w:rsidRPr="00644A40" w:rsidRDefault="00644A40" w:rsidP="007B1159">
            <w:pPr>
              <w:rPr>
                <w:color w:val="7F7F7F" w:themeColor="text1" w:themeTint="80"/>
              </w:rPr>
            </w:pPr>
            <w:r w:rsidRPr="00644A40">
              <w:rPr>
                <w:color w:val="7F7F7F" w:themeColor="text1" w:themeTint="80"/>
                <w:lang w:eastAsia="en-NZ"/>
              </w:rPr>
              <w:t>3%+ conc.</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26517553" w14:textId="77777777" w:rsidR="00644A40" w:rsidRPr="00644A40" w:rsidRDefault="00644A40" w:rsidP="007B1159">
            <w:pPr>
              <w:rPr>
                <w:color w:val="7F7F7F" w:themeColor="text1" w:themeTint="80"/>
              </w:rPr>
            </w:pPr>
            <w:r w:rsidRPr="00644A40">
              <w:rPr>
                <w:color w:val="7F7F7F" w:themeColor="text1" w:themeTint="80"/>
                <w:lang w:eastAsia="en-NZ"/>
              </w:rPr>
              <w:t>eye corrosive (8.3A)</w:t>
            </w:r>
          </w:p>
        </w:tc>
      </w:tr>
      <w:tr w:rsidR="00644A40" w:rsidRPr="00644A40" w14:paraId="7F0E47CB"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2D504" w14:textId="77777777" w:rsidR="00644A40" w:rsidRPr="00644A40" w:rsidRDefault="00644A40" w:rsidP="007B1159">
            <w:pPr>
              <w:rPr>
                <w:color w:val="7F7F7F" w:themeColor="text1" w:themeTint="80"/>
              </w:rPr>
            </w:pPr>
            <w:r w:rsidRPr="00644A40">
              <w:rPr>
                <w:color w:val="7F7F7F" w:themeColor="text1" w:themeTint="80"/>
                <w:lang w:eastAsia="en-NZ"/>
              </w:rPr>
              <w:t>between 1-3% conc.</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6882DABC" w14:textId="77777777" w:rsidR="00644A40" w:rsidRPr="00644A40" w:rsidRDefault="00644A40" w:rsidP="007B1159">
            <w:pPr>
              <w:rPr>
                <w:color w:val="7F7F7F" w:themeColor="text1" w:themeTint="80"/>
              </w:rPr>
            </w:pPr>
            <w:r w:rsidRPr="00644A40">
              <w:rPr>
                <w:color w:val="7F7F7F" w:themeColor="text1" w:themeTint="80"/>
                <w:lang w:eastAsia="en-NZ"/>
              </w:rPr>
              <w:t>eye irritant (6.4A)</w:t>
            </w:r>
          </w:p>
        </w:tc>
      </w:tr>
      <w:tr w:rsidR="00644A40" w:rsidRPr="00644A40" w14:paraId="07790689"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52D5B" w14:textId="77777777" w:rsidR="00644A40" w:rsidRPr="00644A40" w:rsidRDefault="00644A40" w:rsidP="007B1159">
            <w:pPr>
              <w:rPr>
                <w:color w:val="7F7F7F" w:themeColor="text1" w:themeTint="80"/>
                <w:lang w:eastAsia="en-NZ"/>
              </w:rPr>
            </w:pPr>
            <w:r w:rsidRPr="00644A40">
              <w:rPr>
                <w:color w:val="7F7F7F" w:themeColor="text1" w:themeTint="80"/>
                <w:lang w:eastAsia="en-NZ"/>
              </w:rPr>
              <w:t>&lt; 1% conc.</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3009EA94" w14:textId="77777777" w:rsidR="00644A40" w:rsidRPr="00644A40" w:rsidRDefault="00644A40" w:rsidP="007B1159">
            <w:pPr>
              <w:rPr>
                <w:color w:val="7F7F7F" w:themeColor="text1" w:themeTint="80"/>
                <w:lang w:eastAsia="en-NZ"/>
              </w:rPr>
            </w:pPr>
            <w:r w:rsidRPr="00644A40">
              <w:rPr>
                <w:color w:val="7F7F7F" w:themeColor="text1" w:themeTint="80"/>
                <w:lang w:eastAsia="en-NZ"/>
              </w:rPr>
              <w:t>Non-hazardous</w:t>
            </w:r>
          </w:p>
        </w:tc>
      </w:tr>
    </w:tbl>
    <w:p w14:paraId="1852910F" w14:textId="77777777" w:rsidR="00644A40" w:rsidRPr="00644A40" w:rsidRDefault="00644A40" w:rsidP="00644A40">
      <w:pPr>
        <w:rPr>
          <w:color w:val="7F7F7F" w:themeColor="text1" w:themeTint="80"/>
        </w:rPr>
      </w:pPr>
    </w:p>
    <w:tbl>
      <w:tblPr>
        <w:tblW w:w="0" w:type="auto"/>
        <w:tblCellMar>
          <w:left w:w="0" w:type="dxa"/>
          <w:right w:w="0" w:type="dxa"/>
        </w:tblCellMar>
        <w:tblLook w:val="04A0" w:firstRow="1" w:lastRow="0" w:firstColumn="1" w:lastColumn="0" w:noHBand="0" w:noVBand="1"/>
      </w:tblPr>
      <w:tblGrid>
        <w:gridCol w:w="3080"/>
        <w:gridCol w:w="3081"/>
      </w:tblGrid>
      <w:tr w:rsidR="00644A40" w:rsidRPr="00644A40" w14:paraId="6620051C" w14:textId="77777777" w:rsidTr="007B1159">
        <w:tc>
          <w:tcPr>
            <w:tcW w:w="61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93AB51" w14:textId="77777777" w:rsidR="00644A40" w:rsidRPr="00644A40" w:rsidRDefault="00644A40" w:rsidP="007B1159">
            <w:pPr>
              <w:rPr>
                <w:b/>
                <w:color w:val="7F7F7F" w:themeColor="text1" w:themeTint="80"/>
                <w:lang w:eastAsia="en-NZ"/>
              </w:rPr>
            </w:pPr>
            <w:r w:rsidRPr="00644A40">
              <w:rPr>
                <w:b/>
                <w:color w:val="7F7F7F" w:themeColor="text1" w:themeTint="80"/>
              </w:rPr>
              <w:t>Sodium chloride (table salt)</w:t>
            </w:r>
          </w:p>
        </w:tc>
      </w:tr>
      <w:tr w:rsidR="00644A40" w:rsidRPr="00644A40" w14:paraId="6BD21A45"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0F655" w14:textId="77777777" w:rsidR="00644A40" w:rsidRPr="00644A40" w:rsidRDefault="00644A40" w:rsidP="007B1159">
            <w:pPr>
              <w:rPr>
                <w:i/>
                <w:color w:val="7F7F7F" w:themeColor="text1" w:themeTint="80"/>
              </w:rPr>
            </w:pPr>
            <w:r w:rsidRPr="00644A40">
              <w:rPr>
                <w:i/>
                <w:color w:val="7F7F7F" w:themeColor="text1" w:themeTint="80"/>
              </w:rPr>
              <w:t>Concentration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09A7220E" w14:textId="77777777" w:rsidR="00644A40" w:rsidRPr="00644A40" w:rsidRDefault="00644A40" w:rsidP="007B1159">
            <w:pPr>
              <w:rPr>
                <w:i/>
                <w:color w:val="7F7F7F" w:themeColor="text1" w:themeTint="80"/>
                <w:lang w:eastAsia="en-NZ"/>
              </w:rPr>
            </w:pPr>
            <w:r w:rsidRPr="00644A40">
              <w:rPr>
                <w:i/>
                <w:color w:val="7F7F7F" w:themeColor="text1" w:themeTint="80"/>
                <w:lang w:eastAsia="en-NZ"/>
              </w:rPr>
              <w:t>Hazard Classification</w:t>
            </w:r>
          </w:p>
        </w:tc>
      </w:tr>
      <w:tr w:rsidR="00644A40" w:rsidRPr="00644A40" w14:paraId="0B3ADAFB"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6C931" w14:textId="77777777" w:rsidR="00644A40" w:rsidRPr="00644A40" w:rsidRDefault="00644A40" w:rsidP="007B1159">
            <w:pPr>
              <w:rPr>
                <w:color w:val="7F7F7F" w:themeColor="text1" w:themeTint="80"/>
              </w:rPr>
            </w:pPr>
            <w:r w:rsidRPr="00644A40">
              <w:rPr>
                <w:color w:val="7F7F7F" w:themeColor="text1" w:themeTint="80"/>
                <w:lang w:eastAsia="en-NZ"/>
              </w:rPr>
              <w:t>16.7%+ concentration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14A14E05" w14:textId="77777777" w:rsidR="00644A40" w:rsidRPr="00644A40" w:rsidRDefault="00644A40" w:rsidP="007B1159">
            <w:pPr>
              <w:rPr>
                <w:color w:val="7F7F7F" w:themeColor="text1" w:themeTint="80"/>
              </w:rPr>
            </w:pPr>
            <w:r w:rsidRPr="00644A40">
              <w:rPr>
                <w:color w:val="7F7F7F" w:themeColor="text1" w:themeTint="80"/>
                <w:lang w:eastAsia="en-NZ"/>
              </w:rPr>
              <w:t>oral toxicity (6.1E oral)</w:t>
            </w:r>
          </w:p>
        </w:tc>
      </w:tr>
      <w:tr w:rsidR="00644A40" w:rsidRPr="00644A40" w14:paraId="72C0B1FD"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F7565" w14:textId="77777777" w:rsidR="00644A40" w:rsidRPr="00644A40" w:rsidRDefault="00644A40" w:rsidP="007B1159">
            <w:pPr>
              <w:rPr>
                <w:color w:val="7F7F7F" w:themeColor="text1" w:themeTint="80"/>
              </w:rPr>
            </w:pPr>
            <w:r w:rsidRPr="00644A40">
              <w:rPr>
                <w:color w:val="7F7F7F" w:themeColor="text1" w:themeTint="80"/>
                <w:lang w:eastAsia="en-NZ"/>
              </w:rPr>
              <w:t>10%+ concentration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C7795F5" w14:textId="77777777" w:rsidR="00644A40" w:rsidRPr="00644A40" w:rsidRDefault="00644A40" w:rsidP="007B1159">
            <w:pPr>
              <w:rPr>
                <w:color w:val="7F7F7F" w:themeColor="text1" w:themeTint="80"/>
              </w:rPr>
            </w:pPr>
            <w:r w:rsidRPr="00644A40">
              <w:rPr>
                <w:color w:val="7F7F7F" w:themeColor="text1" w:themeTint="80"/>
                <w:lang w:eastAsia="en-NZ"/>
              </w:rPr>
              <w:t>eye irritant (6.4A)</w:t>
            </w:r>
          </w:p>
        </w:tc>
      </w:tr>
      <w:tr w:rsidR="00644A40" w:rsidRPr="00644A40" w14:paraId="5A821539" w14:textId="77777777" w:rsidTr="007B115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3CE1" w14:textId="77777777" w:rsidR="00644A40" w:rsidRPr="00644A40" w:rsidRDefault="00644A40" w:rsidP="007B1159">
            <w:pPr>
              <w:rPr>
                <w:color w:val="7F7F7F" w:themeColor="text1" w:themeTint="80"/>
                <w:lang w:eastAsia="en-NZ"/>
              </w:rPr>
            </w:pPr>
            <w:r w:rsidRPr="00644A40">
              <w:rPr>
                <w:color w:val="7F7F7F" w:themeColor="text1" w:themeTint="80"/>
                <w:lang w:eastAsia="en-NZ"/>
              </w:rPr>
              <w:t>&lt; 10% conc.</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7217B3F" w14:textId="77777777" w:rsidR="00644A40" w:rsidRPr="00644A40" w:rsidRDefault="00644A40" w:rsidP="007B1159">
            <w:pPr>
              <w:rPr>
                <w:color w:val="7F7F7F" w:themeColor="text1" w:themeTint="80"/>
                <w:lang w:eastAsia="en-NZ"/>
              </w:rPr>
            </w:pPr>
            <w:r w:rsidRPr="00644A40">
              <w:rPr>
                <w:color w:val="7F7F7F" w:themeColor="text1" w:themeTint="80"/>
                <w:lang w:eastAsia="en-NZ"/>
              </w:rPr>
              <w:t>Non-hazardous</w:t>
            </w:r>
          </w:p>
        </w:tc>
      </w:tr>
    </w:tbl>
    <w:p w14:paraId="2242F280" w14:textId="77777777" w:rsidR="00644A40" w:rsidRPr="00CC7ED1" w:rsidRDefault="00644A40" w:rsidP="00CC7ED1">
      <w:pPr>
        <w:jc w:val="both"/>
        <w:rPr>
          <w:i/>
          <w:color w:val="7F7F7F" w:themeColor="text1" w:themeTint="80"/>
        </w:rPr>
      </w:pPr>
    </w:p>
    <w:p w14:paraId="13EA30BD" w14:textId="77777777" w:rsidR="00CB2C08" w:rsidRPr="00C2276F" w:rsidRDefault="00CB2C08" w:rsidP="00CB2C08">
      <w:pPr>
        <w:jc w:val="both"/>
        <w:rPr>
          <w:i/>
        </w:rPr>
      </w:pPr>
      <w:r>
        <w:rPr>
          <w:i/>
        </w:rPr>
        <w:t>7.</w:t>
      </w:r>
      <w:r w:rsidRPr="00C2276F">
        <w:rPr>
          <w:i/>
        </w:rPr>
        <w:t xml:space="preserve"> The degree to which the existing arrangements constitute a comprehensive framework in order to address impacts of organisms, components and products resulting from synthetic biology relevant to the objectives of the Convention on Biological Diversity and its Protocols, in particular threats of significant reduction or loss of biological diversity;</w:t>
      </w:r>
    </w:p>
    <w:p w14:paraId="13EA30BE" w14:textId="77777777" w:rsidR="00CB2C08" w:rsidRPr="009D5351" w:rsidRDefault="00CB2C08" w:rsidP="00CB2C08">
      <w:pPr>
        <w:jc w:val="both"/>
        <w:rPr>
          <w:color w:val="4F81BD" w:themeColor="accent1"/>
        </w:rPr>
      </w:pPr>
    </w:p>
    <w:p w14:paraId="13EA30C0" w14:textId="3D6CB6E2" w:rsidR="00CB2C08" w:rsidRPr="00CC7ED1" w:rsidRDefault="00510485" w:rsidP="00CB2C08">
      <w:pPr>
        <w:jc w:val="both"/>
        <w:rPr>
          <w:color w:val="7F7F7F" w:themeColor="text1" w:themeTint="80"/>
        </w:rPr>
      </w:pPr>
      <w:r>
        <w:rPr>
          <w:color w:val="7F7F7F" w:themeColor="text1" w:themeTint="80"/>
        </w:rPr>
        <w:t xml:space="preserve">Please see response to </w:t>
      </w:r>
      <w:r w:rsidR="00CB2C08" w:rsidRPr="00CC7ED1">
        <w:rPr>
          <w:color w:val="7F7F7F" w:themeColor="text1" w:themeTint="80"/>
        </w:rPr>
        <w:t xml:space="preserve">#3 above. </w:t>
      </w:r>
    </w:p>
    <w:p w14:paraId="13EA30C1" w14:textId="77777777" w:rsidR="00CB2C08" w:rsidRPr="009D5351" w:rsidRDefault="00CB2C08" w:rsidP="00CB2C08">
      <w:pPr>
        <w:jc w:val="both"/>
        <w:rPr>
          <w:color w:val="4F81BD" w:themeColor="accent1"/>
        </w:rPr>
      </w:pPr>
    </w:p>
    <w:p w14:paraId="13EA30C3" w14:textId="77777777" w:rsidR="00CB2C08" w:rsidRPr="00C2276F" w:rsidRDefault="00CB2C08" w:rsidP="00CB2C08">
      <w:pPr>
        <w:jc w:val="both"/>
        <w:rPr>
          <w:i/>
        </w:rPr>
      </w:pPr>
      <w:r>
        <w:rPr>
          <w:i/>
        </w:rPr>
        <w:t>9.</w:t>
      </w:r>
      <w:r w:rsidRPr="00C2276F">
        <w:rPr>
          <w:i/>
        </w:rPr>
        <w:t xml:space="preserve"> Information on measures undertaken in accordance with paragraph 3 of the decision, including the identification of needs for guidance; and </w:t>
      </w:r>
    </w:p>
    <w:p w14:paraId="13EA30C4" w14:textId="77777777" w:rsidR="00CB2C08" w:rsidRPr="009D5351" w:rsidRDefault="00CB2C08" w:rsidP="00CB2C08">
      <w:pPr>
        <w:jc w:val="both"/>
        <w:rPr>
          <w:color w:val="4F81BD" w:themeColor="accent1"/>
        </w:rPr>
      </w:pPr>
    </w:p>
    <w:p w14:paraId="13EA30C6" w14:textId="4EB79966" w:rsidR="00CB2C08" w:rsidRPr="00CC7ED1" w:rsidRDefault="00510485" w:rsidP="00CB2C08">
      <w:pPr>
        <w:jc w:val="both"/>
        <w:rPr>
          <w:color w:val="7F7F7F" w:themeColor="text1" w:themeTint="80"/>
        </w:rPr>
      </w:pPr>
      <w:r>
        <w:rPr>
          <w:color w:val="7F7F7F" w:themeColor="text1" w:themeTint="80"/>
        </w:rPr>
        <w:t xml:space="preserve">Please see response to </w:t>
      </w:r>
      <w:r w:rsidR="00CB2C08" w:rsidRPr="00CC7ED1">
        <w:rPr>
          <w:color w:val="7F7F7F" w:themeColor="text1" w:themeTint="80"/>
        </w:rPr>
        <w:t xml:space="preserve">#6 above. </w:t>
      </w:r>
    </w:p>
    <w:p w14:paraId="13EA30C7" w14:textId="77777777" w:rsidR="00CB2C08" w:rsidRPr="009D5351" w:rsidRDefault="00CB2C08" w:rsidP="00CB2C08">
      <w:pPr>
        <w:jc w:val="both"/>
        <w:rPr>
          <w:color w:val="4F81BD" w:themeColor="accent1"/>
        </w:rPr>
      </w:pPr>
    </w:p>
    <w:p w14:paraId="27B54966" w14:textId="70CDA558" w:rsidR="00FB2B86" w:rsidRPr="00FB2B86" w:rsidRDefault="00CB2C08" w:rsidP="00FB2B86">
      <w:pPr>
        <w:jc w:val="both"/>
        <w:rPr>
          <w:i/>
        </w:rPr>
      </w:pPr>
      <w:r>
        <w:rPr>
          <w:i/>
        </w:rPr>
        <w:t xml:space="preserve">10. </w:t>
      </w:r>
      <w:r w:rsidRPr="00C2276F">
        <w:rPr>
          <w:i/>
        </w:rPr>
        <w:t>Further information on the components, organisms and products resulting from synthetic biology techniques that may have impacts on the conservation and sustainable use of biological diversity and associated social, economic and cultural considerations.</w:t>
      </w:r>
    </w:p>
    <w:p w14:paraId="5E7D21F7" w14:textId="77777777" w:rsidR="004902A0" w:rsidRDefault="004902A0" w:rsidP="00BE5ECB">
      <w:pPr>
        <w:jc w:val="both"/>
        <w:rPr>
          <w:color w:val="7F7F7F" w:themeColor="text1" w:themeTint="80"/>
        </w:rPr>
      </w:pPr>
    </w:p>
    <w:p w14:paraId="43AF2D86" w14:textId="1C4D1243" w:rsidR="00FB2B86" w:rsidRPr="00FB2B86" w:rsidRDefault="00FB2B86" w:rsidP="00BE5ECB">
      <w:pPr>
        <w:jc w:val="both"/>
      </w:pPr>
      <w:r>
        <w:rPr>
          <w:color w:val="7F7F7F" w:themeColor="text1" w:themeTint="80"/>
        </w:rPr>
        <w:t>No comment</w:t>
      </w:r>
      <w:r w:rsidRPr="00CC7ED1">
        <w:rPr>
          <w:color w:val="7F7F7F" w:themeColor="text1" w:themeTint="80"/>
        </w:rPr>
        <w:t xml:space="preserve">. </w:t>
      </w:r>
    </w:p>
    <w:sectPr w:rsidR="00FB2B86" w:rsidRPr="00FB2B86" w:rsidSect="002B68F9">
      <w:footerReference w:type="default" r:id="rId21"/>
      <w:headerReference w:type="first" r:id="rId22"/>
      <w:footerReference w:type="first" r:id="rId23"/>
      <w:pgSz w:w="11906" w:h="16838"/>
      <w:pgMar w:top="125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A30CD" w14:textId="77777777" w:rsidR="00CB2C08" w:rsidRDefault="00CB2C08" w:rsidP="00023335">
      <w:pPr>
        <w:spacing w:line="240" w:lineRule="auto"/>
      </w:pPr>
      <w:r>
        <w:separator/>
      </w:r>
    </w:p>
  </w:endnote>
  <w:endnote w:type="continuationSeparator" w:id="0">
    <w:p w14:paraId="13EA30CE" w14:textId="77777777" w:rsidR="00CB2C08" w:rsidRDefault="00CB2C08"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909C" w14:textId="77777777" w:rsidR="005E57C0" w:rsidRDefault="005E5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30D3" w14:textId="77777777" w:rsidR="00CB2C08" w:rsidRPr="00CE1AA0" w:rsidRDefault="00CB2C08" w:rsidP="00CE1AA0">
    <w:pPr>
      <w:pStyle w:val="DocumentID"/>
    </w:pPr>
    <w:r>
      <w:t>POLI-58-682</w:t>
    </w:r>
  </w:p>
  <w:p w14:paraId="13EA30D4" w14:textId="77777777" w:rsidR="00CB2C08" w:rsidRPr="00D175FF" w:rsidRDefault="00CB2C08" w:rsidP="00CE1AA0">
    <w:pPr>
      <w:pStyle w:val="Footer"/>
      <w:tabs>
        <w:tab w:val="left" w:pos="2565"/>
      </w:tabs>
      <w:jc w:val="center"/>
      <w:rPr>
        <w:sz w:val="20"/>
        <w:szCs w:val="20"/>
      </w:rPr>
    </w:pPr>
  </w:p>
  <w:p w14:paraId="13EA30D5" w14:textId="77777777" w:rsidR="00CB2C08" w:rsidRDefault="00CB2C08" w:rsidP="00CE1AA0">
    <w:pPr>
      <w:pStyle w:val="SecurityClassification"/>
    </w:pPr>
    <w:r>
      <w:t>UNCLASSIFIED</w:t>
    </w:r>
    <w:r w:rsidRPr="00F452A0">
      <w:t xml:space="preserve"> </w:t>
    </w:r>
  </w:p>
  <w:p w14:paraId="13EA30D6" w14:textId="77777777" w:rsidR="00CB2C08" w:rsidRDefault="00CB2C08" w:rsidP="00CE1AA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30DB" w14:textId="77777777" w:rsidR="00CB2C08" w:rsidRDefault="00CB2C08" w:rsidP="00CE1AA0">
    <w:pPr>
      <w:pStyle w:val="DocumentID"/>
    </w:pPr>
    <w:r>
      <w:t>POLI-58-682</w:t>
    </w:r>
  </w:p>
  <w:p w14:paraId="13EA30DC" w14:textId="77777777" w:rsidR="00CB2C08" w:rsidRPr="00D175FF" w:rsidRDefault="00CB2C08" w:rsidP="00CE1AA0">
    <w:pPr>
      <w:pStyle w:val="Footer"/>
      <w:rPr>
        <w:sz w:val="20"/>
      </w:rPr>
    </w:pPr>
  </w:p>
  <w:p w14:paraId="13EA30DD" w14:textId="77777777" w:rsidR="00CB2C08" w:rsidRDefault="00CB2C08" w:rsidP="00CE1AA0">
    <w:pPr>
      <w:pStyle w:val="SecurityClassification"/>
    </w:pPr>
    <w:r>
      <w:t xml:space="preserve">UNCLASSIFIED </w:t>
    </w:r>
  </w:p>
  <w:p w14:paraId="13EA30DE" w14:textId="77777777" w:rsidR="00CB2C08" w:rsidRDefault="00CB2C08" w:rsidP="00CE1AA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9BEB" w14:textId="77777777" w:rsidR="005E57C0" w:rsidRDefault="005E57C0" w:rsidP="00CE1AA0">
    <w:pPr>
      <w:pStyle w:val="DocumentID"/>
    </w:pPr>
    <w:r>
      <w:t>POLI-58-682</w:t>
    </w:r>
  </w:p>
  <w:p w14:paraId="12E285FA" w14:textId="77777777" w:rsidR="005E57C0" w:rsidRPr="00D175FF" w:rsidRDefault="005E57C0" w:rsidP="00CE1AA0">
    <w:pPr>
      <w:pStyle w:val="Footer"/>
      <w:rPr>
        <w:sz w:val="20"/>
      </w:rPr>
    </w:pPr>
  </w:p>
  <w:p w14:paraId="173A8830" w14:textId="77777777" w:rsidR="005E57C0" w:rsidRDefault="005E57C0" w:rsidP="00CE1AA0">
    <w:pPr>
      <w:pStyle w:val="SecurityClassification"/>
    </w:pPr>
    <w:r>
      <w:t xml:space="preserve">UNCLASSIFIED </w:t>
    </w:r>
  </w:p>
  <w:p w14:paraId="3B874E0A" w14:textId="77777777" w:rsidR="005E57C0" w:rsidRDefault="005E57C0" w:rsidP="00CE1AA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30E4" w14:textId="7510EBFB" w:rsidR="00CE1AA0" w:rsidRPr="00CE1AA0" w:rsidRDefault="00DE6B05" w:rsidP="00CE1AA0">
    <w:pPr>
      <w:pStyle w:val="DocumentID"/>
    </w:pPr>
    <w:bookmarkStart w:id="1" w:name="document_id2"/>
    <w:r>
      <w:t>POLI-58-704</w:t>
    </w:r>
    <w:bookmarkEnd w:id="1"/>
  </w:p>
  <w:p w14:paraId="13EA30E5" w14:textId="77777777" w:rsidR="00CE1AA0" w:rsidRPr="00D175FF" w:rsidRDefault="00CE1AA0" w:rsidP="00CE1AA0">
    <w:pPr>
      <w:pStyle w:val="Footer"/>
      <w:tabs>
        <w:tab w:val="left" w:pos="2565"/>
      </w:tabs>
      <w:jc w:val="center"/>
      <w:rPr>
        <w:sz w:val="20"/>
        <w:szCs w:val="20"/>
      </w:rPr>
    </w:pPr>
  </w:p>
  <w:p w14:paraId="13EA30E7" w14:textId="77777777" w:rsidR="00023335" w:rsidRDefault="00023335" w:rsidP="00FB2B86">
    <w:pPr>
      <w:pStyle w:val="Footer"/>
    </w:pPr>
    <w:bookmarkStart w:id="2" w:name="covering_classification_footer2"/>
    <w:bookmarkEnd w:id="2"/>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30EA" w14:textId="5FC70BEA" w:rsidR="00CE1AA0" w:rsidRDefault="00DE6B05" w:rsidP="00CE1AA0">
    <w:pPr>
      <w:pStyle w:val="DocumentID"/>
    </w:pPr>
    <w:bookmarkStart w:id="3" w:name="document_id"/>
    <w:r>
      <w:t>POLI-58-704</w:t>
    </w:r>
    <w:bookmarkEnd w:id="3"/>
  </w:p>
  <w:p w14:paraId="13EA30EB" w14:textId="77777777" w:rsidR="00CE1AA0" w:rsidRPr="00D175FF" w:rsidRDefault="00CE1AA0" w:rsidP="00CE1AA0">
    <w:pPr>
      <w:pStyle w:val="Footer"/>
      <w:rPr>
        <w:sz w:val="20"/>
      </w:rPr>
    </w:pPr>
  </w:p>
  <w:p w14:paraId="13EA30EC" w14:textId="20B039BD" w:rsidR="00CE1AA0" w:rsidRDefault="00DE6B05" w:rsidP="00CE1AA0">
    <w:pPr>
      <w:pStyle w:val="SecurityClassification"/>
    </w:pPr>
    <w:bookmarkStart w:id="4" w:name="security_classification_footer"/>
    <w:r>
      <w:t>UNCLASSIFIED</w:t>
    </w:r>
    <w:bookmarkEnd w:id="4"/>
    <w:r w:rsidR="00CE1AA0">
      <w:t xml:space="preserve"> </w:t>
    </w:r>
    <w:bookmarkStart w:id="5" w:name="security_caveat_footer"/>
    <w:bookmarkEnd w:id="5"/>
  </w:p>
  <w:p w14:paraId="13EA30ED" w14:textId="77777777" w:rsidR="00023335" w:rsidRDefault="00023335" w:rsidP="00CE1AA0">
    <w:pPr>
      <w:pStyle w:val="Footer"/>
      <w:jc w:val="center"/>
    </w:pPr>
    <w:bookmarkStart w:id="6" w:name="covering_classification_foote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30CB" w14:textId="77777777" w:rsidR="00CB2C08" w:rsidRDefault="00CB2C08" w:rsidP="00023335">
      <w:pPr>
        <w:spacing w:line="240" w:lineRule="auto"/>
      </w:pPr>
      <w:r>
        <w:separator/>
      </w:r>
    </w:p>
  </w:footnote>
  <w:footnote w:type="continuationSeparator" w:id="0">
    <w:p w14:paraId="13EA30CC" w14:textId="77777777" w:rsidR="00CB2C08" w:rsidRDefault="00CB2C08"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20A5" w14:textId="77777777" w:rsidR="005E57C0" w:rsidRDefault="005E5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4AE2E" w14:textId="77777777" w:rsidR="002B68F9" w:rsidRPr="00F452A0" w:rsidRDefault="002B68F9" w:rsidP="002B68F9">
    <w:pPr>
      <w:pStyle w:val="PageNumbers"/>
      <w:framePr w:w="1727" w:wrap="around" w:x="4678"/>
      <w:tabs>
        <w:tab w:val="clear" w:pos="567"/>
      </w:tabs>
      <w:ind w:left="142"/>
      <w:jc w:val="left"/>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DE6B05">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DE6B05">
      <w:rPr>
        <w:rStyle w:val="PageNumber"/>
        <w:noProof/>
      </w:rPr>
      <w:t>5</w:t>
    </w:r>
    <w:r w:rsidRPr="00F452A0">
      <w:rPr>
        <w:rStyle w:val="PageNumber"/>
      </w:rPr>
      <w:fldChar w:fldCharType="end"/>
    </w:r>
  </w:p>
  <w:p w14:paraId="13EA30D1" w14:textId="77777777" w:rsidR="00CB2C08" w:rsidRPr="00023335" w:rsidRDefault="00CB2C08" w:rsidP="00023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30D8" w14:textId="77777777" w:rsidR="00CB2C08" w:rsidRPr="00F452A0" w:rsidRDefault="00CB2C08" w:rsidP="002B68F9">
    <w:pPr>
      <w:pStyle w:val="PageNumbers"/>
      <w:framePr w:w="1727" w:wrap="around" w:x="4678" w:y="17"/>
      <w:tabs>
        <w:tab w:val="clear" w:pos="567"/>
      </w:tabs>
      <w:ind w:left="142"/>
      <w:jc w:val="left"/>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DE6B05">
      <w:rPr>
        <w:rStyle w:val="PageNumber"/>
        <w:noProof/>
      </w:rPr>
      <w:t>1</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DE6B05">
      <w:rPr>
        <w:rStyle w:val="PageNumber"/>
        <w:noProof/>
      </w:rPr>
      <w:t>5</w:t>
    </w:r>
    <w:r w:rsidRPr="00F452A0">
      <w:rPr>
        <w:rStyle w:val="PageNumber"/>
      </w:rPr>
      <w:fldChar w:fldCharType="end"/>
    </w:r>
  </w:p>
  <w:p w14:paraId="13EA30D9" w14:textId="77777777" w:rsidR="00CB2C08" w:rsidRPr="00064882" w:rsidRDefault="00CB2C08" w:rsidP="00064882">
    <w:pPr>
      <w:framePr w:wrap="auto" w:hAnchor="text" w:y="17"/>
    </w:pPr>
  </w:p>
  <w:p w14:paraId="13EA30DA" w14:textId="77777777" w:rsidR="00CB2C08" w:rsidRDefault="00CB2C08" w:rsidP="00CE1AA0">
    <w:pPr>
      <w:pStyle w:val="SecurityClassificati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ED3C" w14:textId="77777777" w:rsidR="005E57C0" w:rsidRPr="00F452A0" w:rsidRDefault="005E57C0" w:rsidP="002B68F9">
    <w:pPr>
      <w:pStyle w:val="PageNumbers"/>
      <w:framePr w:w="1727" w:wrap="around" w:x="4678" w:y="17"/>
      <w:tabs>
        <w:tab w:val="clear" w:pos="567"/>
      </w:tabs>
      <w:ind w:left="142"/>
      <w:jc w:val="left"/>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DE6B05">
      <w:rPr>
        <w:rStyle w:val="PageNumber"/>
        <w:noProof/>
      </w:rPr>
      <w:t>4</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DE6B05">
      <w:rPr>
        <w:rStyle w:val="PageNumber"/>
        <w:noProof/>
      </w:rPr>
      <w:t>5</w:t>
    </w:r>
    <w:r w:rsidRPr="00F452A0">
      <w:rPr>
        <w:rStyle w:val="PageNumber"/>
      </w:rPr>
      <w:fldChar w:fldCharType="end"/>
    </w:r>
  </w:p>
  <w:p w14:paraId="0E50ED6B" w14:textId="77777777" w:rsidR="005E57C0" w:rsidRPr="00064882" w:rsidRDefault="005E57C0" w:rsidP="00064882">
    <w:pPr>
      <w:framePr w:wrap="auto" w:hAnchor="text" w:y="17"/>
    </w:pPr>
  </w:p>
  <w:p w14:paraId="51B0D472" w14:textId="77777777" w:rsidR="005E57C0" w:rsidRDefault="005E57C0" w:rsidP="00CE1AA0">
    <w:pPr>
      <w:pStyle w:val="SecurityClassifica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08"/>
    <w:rsid w:val="00023335"/>
    <w:rsid w:val="00071F86"/>
    <w:rsid w:val="000A3B90"/>
    <w:rsid w:val="001D7401"/>
    <w:rsid w:val="002173C7"/>
    <w:rsid w:val="00236A09"/>
    <w:rsid w:val="00255554"/>
    <w:rsid w:val="00291F8E"/>
    <w:rsid w:val="002B6045"/>
    <w:rsid w:val="002B68F9"/>
    <w:rsid w:val="00303A38"/>
    <w:rsid w:val="003E5F24"/>
    <w:rsid w:val="003F4A6D"/>
    <w:rsid w:val="004902A0"/>
    <w:rsid w:val="00510485"/>
    <w:rsid w:val="00515590"/>
    <w:rsid w:val="005432D8"/>
    <w:rsid w:val="005E28FD"/>
    <w:rsid w:val="005E57C0"/>
    <w:rsid w:val="005F099A"/>
    <w:rsid w:val="005F1313"/>
    <w:rsid w:val="00631640"/>
    <w:rsid w:val="0064148A"/>
    <w:rsid w:val="00644A40"/>
    <w:rsid w:val="00662928"/>
    <w:rsid w:val="006A699C"/>
    <w:rsid w:val="00803EF1"/>
    <w:rsid w:val="00832846"/>
    <w:rsid w:val="008A31F0"/>
    <w:rsid w:val="008C4DB4"/>
    <w:rsid w:val="008D17C5"/>
    <w:rsid w:val="008D2C23"/>
    <w:rsid w:val="00903FA2"/>
    <w:rsid w:val="009602EC"/>
    <w:rsid w:val="009D261D"/>
    <w:rsid w:val="009D40EF"/>
    <w:rsid w:val="009F5D27"/>
    <w:rsid w:val="00AE0B06"/>
    <w:rsid w:val="00B37FF1"/>
    <w:rsid w:val="00B72B22"/>
    <w:rsid w:val="00BE5ECB"/>
    <w:rsid w:val="00C2498E"/>
    <w:rsid w:val="00CB2C08"/>
    <w:rsid w:val="00CC7ED1"/>
    <w:rsid w:val="00CE1AA0"/>
    <w:rsid w:val="00D96C65"/>
    <w:rsid w:val="00DB5226"/>
    <w:rsid w:val="00DE6B05"/>
    <w:rsid w:val="00E25BD2"/>
    <w:rsid w:val="00EA04C8"/>
    <w:rsid w:val="00F06D90"/>
    <w:rsid w:val="00FB2B86"/>
    <w:rsid w:val="00FB3C40"/>
    <w:rsid w:val="00FC04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A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49"/>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Hyperlink" w:uiPriority="0"/>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CB2C08"/>
    <w:pPr>
      <w:tabs>
        <w:tab w:val="left" w:pos="567"/>
      </w:tabs>
      <w:spacing w:line="288" w:lineRule="auto"/>
    </w:pPr>
    <w:rPr>
      <w:rFonts w:ascii="Verdana" w:eastAsia="Times New Roman" w:hAnsi="Verdana"/>
      <w:szCs w:val="24"/>
      <w:lang w:eastAsia="en-US"/>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eastAsiaTheme="minorEastAsia" w:cs="Arial"/>
      <w:sz w:val="28"/>
      <w:szCs w:val="20"/>
      <w:lang w:eastAsia="ja-JP"/>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eastAsiaTheme="minorEastAsia" w:cs="Arial"/>
      <w:sz w:val="24"/>
      <w:szCs w:val="22"/>
      <w:lang w:eastAsia="ja-JP"/>
    </w:rPr>
  </w:style>
  <w:style w:type="paragraph" w:styleId="Heading3">
    <w:name w:val="heading 3"/>
    <w:aliases w:val="Heading 3 MFAT"/>
    <w:basedOn w:val="Normal"/>
    <w:next w:val="Normal"/>
    <w:link w:val="Heading3Char"/>
    <w:uiPriority w:val="5"/>
    <w:qFormat/>
    <w:rsid w:val="00B37FF1"/>
    <w:pPr>
      <w:keepNext/>
      <w:spacing w:before="240"/>
      <w:outlineLvl w:val="2"/>
    </w:pPr>
    <w:rPr>
      <w:rFonts w:eastAsiaTheme="minorEastAsia" w:cs="Arial"/>
      <w:b/>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eastAsiaTheme="minorEastAsia" w:cs="Arial"/>
      <w:sz w:val="14"/>
      <w:lang w:eastAsia="ja-JP"/>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rFonts w:eastAsiaTheme="minorEastAsia"/>
      <w:sz w:val="18"/>
      <w:lang w:eastAsia="ja-JP"/>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eastAsiaTheme="minorEastAsia" w:cs="Arial"/>
      <w:bCs/>
      <w:caps/>
      <w:szCs w:val="20"/>
      <w:lang w:eastAsia="ja-JP"/>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rFonts w:eastAsiaTheme="minorEastAsia"/>
      <w:szCs w:val="20"/>
      <w:lang w:eastAsia="ja-JP"/>
    </w:rPr>
  </w:style>
  <w:style w:type="paragraph" w:styleId="Header">
    <w:name w:val="header"/>
    <w:aliases w:val="Header MFAT"/>
    <w:basedOn w:val="Normal"/>
    <w:link w:val="HeaderChar"/>
    <w:uiPriority w:val="24"/>
    <w:qFormat/>
    <w:rsid w:val="00B37FF1"/>
    <w:rPr>
      <w:rFonts w:eastAsiaTheme="minorEastAsia"/>
      <w:sz w:val="18"/>
      <w:lang w:eastAsia="ja-JP"/>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eastAsiaTheme="minorEastAsia" w:cs="Arial"/>
      <w:sz w:val="18"/>
      <w:szCs w:val="12"/>
      <w:lang w:eastAsia="ja-JP"/>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rFonts w:eastAsiaTheme="minorEastAsia"/>
      <w:b/>
      <w:bCs/>
      <w:sz w:val="16"/>
      <w:szCs w:val="18"/>
      <w:lang w:eastAsia="ja-JP"/>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rFonts w:eastAsiaTheme="minorEastAsia"/>
      <w:szCs w:val="20"/>
      <w:lang w:eastAsia="ja-JP"/>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rPr>
      <w:rFonts w:eastAsiaTheme="minorEastAsia"/>
      <w:lang w:eastAsia="ja-JP"/>
    </w:rPr>
  </w:style>
  <w:style w:type="paragraph" w:styleId="Title">
    <w:name w:val="Title"/>
    <w:aliases w:val="Title MFAT"/>
    <w:basedOn w:val="Normal"/>
    <w:link w:val="TitleChar"/>
    <w:uiPriority w:val="2"/>
    <w:qFormat/>
    <w:rsid w:val="00B37FF1"/>
    <w:pPr>
      <w:spacing w:line="240" w:lineRule="auto"/>
    </w:pPr>
    <w:rPr>
      <w:rFonts w:eastAsiaTheme="minorEastAsia" w:cs="Arial"/>
      <w:bCs/>
      <w:noProof/>
      <w:sz w:val="32"/>
      <w:szCs w:val="32"/>
      <w:lang w:eastAsia="ja-JP"/>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rPr>
      <w:rFonts w:eastAsiaTheme="minorEastAsia"/>
      <w:lang w:eastAsia="ja-JP"/>
    </w:r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rPr>
      <w:rFonts w:eastAsiaTheme="minorEastAsia"/>
      <w:lang w:eastAsia="ja-JP"/>
    </w:r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rPr>
      <w:rFonts w:eastAsiaTheme="minorEastAsia"/>
      <w:lang w:eastAsia="ja-JP"/>
    </w:r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rFonts w:eastAsiaTheme="minorEastAsia"/>
      <w:szCs w:val="20"/>
      <w:lang w:eastAsia="ja-JP"/>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eastAsiaTheme="minorEastAsia" w:cs="Arial"/>
      <w:sz w:val="14"/>
      <w:lang w:eastAsia="ja-JP"/>
    </w:rPr>
  </w:style>
  <w:style w:type="paragraph" w:customStyle="1" w:styleId="BulletPoints2MFAT">
    <w:name w:val="Bullet Points 2 MFAT"/>
    <w:basedOn w:val="Normal"/>
    <w:uiPriority w:val="8"/>
    <w:qFormat/>
    <w:rsid w:val="00B37FF1"/>
    <w:pPr>
      <w:numPr>
        <w:numId w:val="5"/>
      </w:numPr>
      <w:spacing w:before="60"/>
    </w:pPr>
    <w:rPr>
      <w:rFonts w:eastAsiaTheme="minorEastAsia"/>
      <w:lang w:eastAsia="ja-JP"/>
    </w:rPr>
  </w:style>
  <w:style w:type="paragraph" w:customStyle="1" w:styleId="TableheadingMFAT">
    <w:name w:val="Table heading MFAT"/>
    <w:basedOn w:val="Normal"/>
    <w:next w:val="Normal"/>
    <w:uiPriority w:val="15"/>
    <w:qFormat/>
    <w:rsid w:val="00B37FF1"/>
    <w:pPr>
      <w:spacing w:line="240" w:lineRule="auto"/>
    </w:pPr>
    <w:rPr>
      <w:rFonts w:eastAsiaTheme="minorEastAsia"/>
      <w:caps/>
      <w:sz w:val="16"/>
      <w:lang w:eastAsia="ja-JP"/>
    </w:rPr>
  </w:style>
  <w:style w:type="paragraph" w:customStyle="1" w:styleId="TabletextMFAT">
    <w:name w:val="Table text MFAT"/>
    <w:basedOn w:val="Normal"/>
    <w:uiPriority w:val="16"/>
    <w:qFormat/>
    <w:rsid w:val="00B37FF1"/>
    <w:pPr>
      <w:spacing w:line="240" w:lineRule="auto"/>
    </w:pPr>
    <w:rPr>
      <w:rFonts w:eastAsiaTheme="minorEastAsia"/>
      <w:sz w:val="18"/>
      <w:lang w:eastAsia="ja-JP"/>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rFonts w:eastAsiaTheme="minorEastAsia"/>
      <w:sz w:val="18"/>
      <w:lang w:eastAsia="ja-JP"/>
    </w:rPr>
  </w:style>
  <w:style w:type="paragraph" w:customStyle="1" w:styleId="TOC1MFAT">
    <w:name w:val="TOC1 MFAT"/>
    <w:basedOn w:val="Normal"/>
    <w:uiPriority w:val="17"/>
    <w:qFormat/>
    <w:rsid w:val="00B37FF1"/>
    <w:pPr>
      <w:spacing w:before="180" w:line="240" w:lineRule="auto"/>
    </w:pPr>
    <w:rPr>
      <w:rFonts w:eastAsiaTheme="minorEastAsia"/>
      <w:lang w:eastAsia="ja-JP"/>
    </w:rPr>
  </w:style>
  <w:style w:type="paragraph" w:customStyle="1" w:styleId="TOC2MFAT">
    <w:name w:val="TOC2 MFAT"/>
    <w:basedOn w:val="Normal"/>
    <w:uiPriority w:val="18"/>
    <w:qFormat/>
    <w:rsid w:val="00B37FF1"/>
    <w:pPr>
      <w:spacing w:before="120" w:line="240" w:lineRule="auto"/>
      <w:ind w:left="284"/>
    </w:pPr>
    <w:rPr>
      <w:rFonts w:eastAsiaTheme="minorEastAsia"/>
      <w:sz w:val="18"/>
      <w:lang w:eastAsia="ja-JP"/>
    </w:rPr>
  </w:style>
  <w:style w:type="paragraph" w:customStyle="1" w:styleId="TOC3MFAT">
    <w:name w:val="TOC3 MFAT"/>
    <w:basedOn w:val="Normal"/>
    <w:uiPriority w:val="19"/>
    <w:qFormat/>
    <w:rsid w:val="00B37FF1"/>
    <w:pPr>
      <w:spacing w:before="60" w:line="240" w:lineRule="auto"/>
      <w:ind w:left="567"/>
    </w:pPr>
    <w:rPr>
      <w:rFonts w:eastAsiaTheme="minorEastAsia"/>
      <w:sz w:val="18"/>
      <w:lang w:eastAsia="ja-JP"/>
    </w:rPr>
  </w:style>
  <w:style w:type="paragraph" w:customStyle="1" w:styleId="FootnoteMFAT">
    <w:name w:val="Footnote MFAT"/>
    <w:basedOn w:val="Normal"/>
    <w:uiPriority w:val="23"/>
    <w:qFormat/>
    <w:rsid w:val="00B37FF1"/>
    <w:pPr>
      <w:spacing w:before="120"/>
    </w:pPr>
    <w:rPr>
      <w:rFonts w:eastAsiaTheme="minorEastAsia"/>
      <w:sz w:val="16"/>
      <w:lang w:eastAsia="ja-JP"/>
    </w:rPr>
  </w:style>
  <w:style w:type="paragraph" w:customStyle="1" w:styleId="SecurityClassificationMFAT">
    <w:name w:val="Security Classification MFAT"/>
    <w:basedOn w:val="Normal"/>
    <w:next w:val="Normal"/>
    <w:uiPriority w:val="27"/>
    <w:qFormat/>
    <w:rsid w:val="00B37FF1"/>
    <w:pPr>
      <w:jc w:val="center"/>
    </w:pPr>
    <w:rPr>
      <w:rFonts w:eastAsiaTheme="minorEastAsia" w:cs="Arial"/>
      <w:bCs/>
      <w:caps/>
      <w:szCs w:val="20"/>
      <w:lang w:eastAsia="ja-JP"/>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Hyperlink">
    <w:name w:val="Hyperlink"/>
    <w:basedOn w:val="DefaultParagraphFont"/>
    <w:rsid w:val="00CB2C08"/>
    <w:rPr>
      <w:color w:val="0000FF" w:themeColor="hyperlink"/>
      <w:u w:val="single"/>
    </w:rPr>
  </w:style>
  <w:style w:type="paragraph" w:styleId="ListParagraph">
    <w:name w:val="List Paragraph"/>
    <w:basedOn w:val="Normal"/>
    <w:uiPriority w:val="34"/>
    <w:qFormat/>
    <w:rsid w:val="00CB2C08"/>
    <w:pPr>
      <w:ind w:left="720"/>
      <w:contextualSpacing/>
    </w:pPr>
  </w:style>
  <w:style w:type="character" w:styleId="FollowedHyperlink">
    <w:name w:val="FollowedHyperlink"/>
    <w:basedOn w:val="DefaultParagraphFont"/>
    <w:uiPriority w:val="99"/>
    <w:semiHidden/>
    <w:unhideWhenUsed/>
    <w:rsid w:val="00CC7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49"/>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Hyperlink" w:uiPriority="0"/>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CB2C08"/>
    <w:pPr>
      <w:tabs>
        <w:tab w:val="left" w:pos="567"/>
      </w:tabs>
      <w:spacing w:line="288" w:lineRule="auto"/>
    </w:pPr>
    <w:rPr>
      <w:rFonts w:ascii="Verdana" w:eastAsia="Times New Roman" w:hAnsi="Verdana"/>
      <w:szCs w:val="24"/>
      <w:lang w:eastAsia="en-US"/>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eastAsiaTheme="minorEastAsia" w:cs="Arial"/>
      <w:sz w:val="28"/>
      <w:szCs w:val="20"/>
      <w:lang w:eastAsia="ja-JP"/>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eastAsiaTheme="minorEastAsia" w:cs="Arial"/>
      <w:sz w:val="24"/>
      <w:szCs w:val="22"/>
      <w:lang w:eastAsia="ja-JP"/>
    </w:rPr>
  </w:style>
  <w:style w:type="paragraph" w:styleId="Heading3">
    <w:name w:val="heading 3"/>
    <w:aliases w:val="Heading 3 MFAT"/>
    <w:basedOn w:val="Normal"/>
    <w:next w:val="Normal"/>
    <w:link w:val="Heading3Char"/>
    <w:uiPriority w:val="5"/>
    <w:qFormat/>
    <w:rsid w:val="00B37FF1"/>
    <w:pPr>
      <w:keepNext/>
      <w:spacing w:before="240"/>
      <w:outlineLvl w:val="2"/>
    </w:pPr>
    <w:rPr>
      <w:rFonts w:eastAsiaTheme="minorEastAsia" w:cs="Arial"/>
      <w:b/>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eastAsiaTheme="minorEastAsia" w:cs="Arial"/>
      <w:sz w:val="14"/>
      <w:lang w:eastAsia="ja-JP"/>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rFonts w:eastAsiaTheme="minorEastAsia"/>
      <w:sz w:val="18"/>
      <w:lang w:eastAsia="ja-JP"/>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eastAsiaTheme="minorEastAsia" w:cs="Arial"/>
      <w:bCs/>
      <w:caps/>
      <w:szCs w:val="20"/>
      <w:lang w:eastAsia="ja-JP"/>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rFonts w:eastAsiaTheme="minorEastAsia"/>
      <w:szCs w:val="20"/>
      <w:lang w:eastAsia="ja-JP"/>
    </w:rPr>
  </w:style>
  <w:style w:type="paragraph" w:styleId="Header">
    <w:name w:val="header"/>
    <w:aliases w:val="Header MFAT"/>
    <w:basedOn w:val="Normal"/>
    <w:link w:val="HeaderChar"/>
    <w:uiPriority w:val="24"/>
    <w:qFormat/>
    <w:rsid w:val="00B37FF1"/>
    <w:rPr>
      <w:rFonts w:eastAsiaTheme="minorEastAsia"/>
      <w:sz w:val="18"/>
      <w:lang w:eastAsia="ja-JP"/>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eastAsiaTheme="minorEastAsia" w:cs="Arial"/>
      <w:sz w:val="18"/>
      <w:szCs w:val="12"/>
      <w:lang w:eastAsia="ja-JP"/>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rFonts w:eastAsiaTheme="minorEastAsia"/>
      <w:b/>
      <w:bCs/>
      <w:sz w:val="16"/>
      <w:szCs w:val="18"/>
      <w:lang w:eastAsia="ja-JP"/>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rFonts w:eastAsiaTheme="minorEastAsia"/>
      <w:szCs w:val="20"/>
      <w:lang w:eastAsia="ja-JP"/>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rPr>
      <w:rFonts w:eastAsiaTheme="minorEastAsia"/>
      <w:lang w:eastAsia="ja-JP"/>
    </w:rPr>
  </w:style>
  <w:style w:type="paragraph" w:styleId="Title">
    <w:name w:val="Title"/>
    <w:aliases w:val="Title MFAT"/>
    <w:basedOn w:val="Normal"/>
    <w:link w:val="TitleChar"/>
    <w:uiPriority w:val="2"/>
    <w:qFormat/>
    <w:rsid w:val="00B37FF1"/>
    <w:pPr>
      <w:spacing w:line="240" w:lineRule="auto"/>
    </w:pPr>
    <w:rPr>
      <w:rFonts w:eastAsiaTheme="minorEastAsia" w:cs="Arial"/>
      <w:bCs/>
      <w:noProof/>
      <w:sz w:val="32"/>
      <w:szCs w:val="32"/>
      <w:lang w:eastAsia="ja-JP"/>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rPr>
      <w:rFonts w:eastAsiaTheme="minorEastAsia"/>
      <w:lang w:eastAsia="ja-JP"/>
    </w:r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rPr>
      <w:rFonts w:eastAsiaTheme="minorEastAsia"/>
      <w:lang w:eastAsia="ja-JP"/>
    </w:r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rPr>
      <w:rFonts w:eastAsiaTheme="minorEastAsia"/>
      <w:lang w:eastAsia="ja-JP"/>
    </w:r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rFonts w:eastAsiaTheme="minorEastAsia"/>
      <w:szCs w:val="20"/>
      <w:lang w:eastAsia="ja-JP"/>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eastAsiaTheme="minorEastAsia" w:cs="Arial"/>
      <w:sz w:val="14"/>
      <w:lang w:eastAsia="ja-JP"/>
    </w:rPr>
  </w:style>
  <w:style w:type="paragraph" w:customStyle="1" w:styleId="BulletPoints2MFAT">
    <w:name w:val="Bullet Points 2 MFAT"/>
    <w:basedOn w:val="Normal"/>
    <w:uiPriority w:val="8"/>
    <w:qFormat/>
    <w:rsid w:val="00B37FF1"/>
    <w:pPr>
      <w:numPr>
        <w:numId w:val="5"/>
      </w:numPr>
      <w:spacing w:before="60"/>
    </w:pPr>
    <w:rPr>
      <w:rFonts w:eastAsiaTheme="minorEastAsia"/>
      <w:lang w:eastAsia="ja-JP"/>
    </w:rPr>
  </w:style>
  <w:style w:type="paragraph" w:customStyle="1" w:styleId="TableheadingMFAT">
    <w:name w:val="Table heading MFAT"/>
    <w:basedOn w:val="Normal"/>
    <w:next w:val="Normal"/>
    <w:uiPriority w:val="15"/>
    <w:qFormat/>
    <w:rsid w:val="00B37FF1"/>
    <w:pPr>
      <w:spacing w:line="240" w:lineRule="auto"/>
    </w:pPr>
    <w:rPr>
      <w:rFonts w:eastAsiaTheme="minorEastAsia"/>
      <w:caps/>
      <w:sz w:val="16"/>
      <w:lang w:eastAsia="ja-JP"/>
    </w:rPr>
  </w:style>
  <w:style w:type="paragraph" w:customStyle="1" w:styleId="TabletextMFAT">
    <w:name w:val="Table text MFAT"/>
    <w:basedOn w:val="Normal"/>
    <w:uiPriority w:val="16"/>
    <w:qFormat/>
    <w:rsid w:val="00B37FF1"/>
    <w:pPr>
      <w:spacing w:line="240" w:lineRule="auto"/>
    </w:pPr>
    <w:rPr>
      <w:rFonts w:eastAsiaTheme="minorEastAsia"/>
      <w:sz w:val="18"/>
      <w:lang w:eastAsia="ja-JP"/>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rFonts w:eastAsiaTheme="minorEastAsia"/>
      <w:sz w:val="18"/>
      <w:lang w:eastAsia="ja-JP"/>
    </w:rPr>
  </w:style>
  <w:style w:type="paragraph" w:customStyle="1" w:styleId="TOC1MFAT">
    <w:name w:val="TOC1 MFAT"/>
    <w:basedOn w:val="Normal"/>
    <w:uiPriority w:val="17"/>
    <w:qFormat/>
    <w:rsid w:val="00B37FF1"/>
    <w:pPr>
      <w:spacing w:before="180" w:line="240" w:lineRule="auto"/>
    </w:pPr>
    <w:rPr>
      <w:rFonts w:eastAsiaTheme="minorEastAsia"/>
      <w:lang w:eastAsia="ja-JP"/>
    </w:rPr>
  </w:style>
  <w:style w:type="paragraph" w:customStyle="1" w:styleId="TOC2MFAT">
    <w:name w:val="TOC2 MFAT"/>
    <w:basedOn w:val="Normal"/>
    <w:uiPriority w:val="18"/>
    <w:qFormat/>
    <w:rsid w:val="00B37FF1"/>
    <w:pPr>
      <w:spacing w:before="120" w:line="240" w:lineRule="auto"/>
      <w:ind w:left="284"/>
    </w:pPr>
    <w:rPr>
      <w:rFonts w:eastAsiaTheme="minorEastAsia"/>
      <w:sz w:val="18"/>
      <w:lang w:eastAsia="ja-JP"/>
    </w:rPr>
  </w:style>
  <w:style w:type="paragraph" w:customStyle="1" w:styleId="TOC3MFAT">
    <w:name w:val="TOC3 MFAT"/>
    <w:basedOn w:val="Normal"/>
    <w:uiPriority w:val="19"/>
    <w:qFormat/>
    <w:rsid w:val="00B37FF1"/>
    <w:pPr>
      <w:spacing w:before="60" w:line="240" w:lineRule="auto"/>
      <w:ind w:left="567"/>
    </w:pPr>
    <w:rPr>
      <w:rFonts w:eastAsiaTheme="minorEastAsia"/>
      <w:sz w:val="18"/>
      <w:lang w:eastAsia="ja-JP"/>
    </w:rPr>
  </w:style>
  <w:style w:type="paragraph" w:customStyle="1" w:styleId="FootnoteMFAT">
    <w:name w:val="Footnote MFAT"/>
    <w:basedOn w:val="Normal"/>
    <w:uiPriority w:val="23"/>
    <w:qFormat/>
    <w:rsid w:val="00B37FF1"/>
    <w:pPr>
      <w:spacing w:before="120"/>
    </w:pPr>
    <w:rPr>
      <w:rFonts w:eastAsiaTheme="minorEastAsia"/>
      <w:sz w:val="16"/>
      <w:lang w:eastAsia="ja-JP"/>
    </w:rPr>
  </w:style>
  <w:style w:type="paragraph" w:customStyle="1" w:styleId="SecurityClassificationMFAT">
    <w:name w:val="Security Classification MFAT"/>
    <w:basedOn w:val="Normal"/>
    <w:next w:val="Normal"/>
    <w:uiPriority w:val="27"/>
    <w:qFormat/>
    <w:rsid w:val="00B37FF1"/>
    <w:pPr>
      <w:jc w:val="center"/>
    </w:pPr>
    <w:rPr>
      <w:rFonts w:eastAsiaTheme="minorEastAsia" w:cs="Arial"/>
      <w:bCs/>
      <w:caps/>
      <w:szCs w:val="20"/>
      <w:lang w:eastAsia="ja-JP"/>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Hyperlink">
    <w:name w:val="Hyperlink"/>
    <w:basedOn w:val="DefaultParagraphFont"/>
    <w:rsid w:val="00CB2C08"/>
    <w:rPr>
      <w:color w:val="0000FF" w:themeColor="hyperlink"/>
      <w:u w:val="single"/>
    </w:rPr>
  </w:style>
  <w:style w:type="paragraph" w:styleId="ListParagraph">
    <w:name w:val="List Paragraph"/>
    <w:basedOn w:val="Normal"/>
    <w:uiPriority w:val="34"/>
    <w:qFormat/>
    <w:rsid w:val="00CB2C08"/>
    <w:pPr>
      <w:ind w:left="720"/>
      <w:contextualSpacing/>
    </w:pPr>
  </w:style>
  <w:style w:type="character" w:styleId="FollowedHyperlink">
    <w:name w:val="FollowedHyperlink"/>
    <w:basedOn w:val="DefaultParagraphFont"/>
    <w:uiPriority w:val="99"/>
    <w:semiHidden/>
    <w:unhideWhenUsed/>
    <w:rsid w:val="00CC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Convention on Biological Diversity</TermName>
          <TermId xmlns="http://schemas.microsoft.com/office/infopath/2007/PartnerControls">26d6a2bb-f290-429c-996a-d55beddb3a97</TermId>
        </TermInfo>
      </Terms>
    </l5baa22ceebd46ea8e3732e81be971e4>
    <TaxCatchAll xmlns="3530594a-bd7c-48c9-91f8-7517fdc1c0cb">
      <Value>273</Value>
      <Value>226</Value>
    </TaxCatchAll>
    <_dlc_ExpireDateSaved xmlns="http://schemas.microsoft.com/sharepoint/v3" xsi:nil="true"/>
    <_dlc_ExpireDate xmlns="http://schemas.microsoft.com/sharepoint/v3">2016-11-01T12:06:53+00:00</_dlc_ExpireDate>
    <_dlc_DocId xmlns="3530594a-bd7c-48c9-91f8-7517fdc1c0cb">POLI-58-704</_dlc_DocId>
    <_dlc_DocIdUrl xmlns="3530594a-bd7c-48c9-91f8-7517fdc1c0cb">
      <Url>http://o-wln-gdm/Functions/PoliticalRelations/Environment/_layouts/DocIdRedir.aspx?ID=POLI-58-704</Url>
      <Description>POLI-58-704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0E0B-3FDE-4EB9-B259-61A8A534B601}"/>
</file>

<file path=customXml/itemProps2.xml><?xml version="1.0" encoding="utf-8"?>
<ds:datastoreItem xmlns:ds="http://schemas.openxmlformats.org/officeDocument/2006/customXml" ds:itemID="{7C188059-C0F7-44DD-B442-30463197E552}"/>
</file>

<file path=customXml/itemProps3.xml><?xml version="1.0" encoding="utf-8"?>
<ds:datastoreItem xmlns:ds="http://schemas.openxmlformats.org/officeDocument/2006/customXml" ds:itemID="{A2C4383B-AEFC-440C-962A-C23FA3A407F9}"/>
</file>

<file path=customXml/itemProps4.xml><?xml version="1.0" encoding="utf-8"?>
<ds:datastoreItem xmlns:ds="http://schemas.openxmlformats.org/officeDocument/2006/customXml" ds:itemID="{9807528F-334A-41F1-803B-7F1D2A64EA72}"/>
</file>

<file path=customXml/itemProps5.xml><?xml version="1.0" encoding="utf-8"?>
<ds:datastoreItem xmlns:ds="http://schemas.openxmlformats.org/officeDocument/2006/customXml" ds:itemID="{C5AEB027-A4AC-44A4-8573-28C056CE3D34}"/>
</file>

<file path=customXml/itemProps6.xml><?xml version="1.0" encoding="utf-8"?>
<ds:datastoreItem xmlns:ds="http://schemas.openxmlformats.org/officeDocument/2006/customXml" ds:itemID="{69F9BB5E-92B7-49B6-B619-6242D946F7D9}"/>
</file>

<file path=docProps/app.xml><?xml version="1.0" encoding="utf-8"?>
<Properties xmlns="http://schemas.openxmlformats.org/officeDocument/2006/extended-properties" xmlns:vt="http://schemas.openxmlformats.org/officeDocument/2006/docPropsVTypes">
  <Template>Normal</Template>
  <TotalTime>51</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CBD - Syn bio - NZ submission - April 2015</vt:lpstr>
    </vt:vector>
  </TitlesOfParts>
  <Company>Ministry of Foreign Affairs and Trade</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 Syn bio - NZ submission - April 2015</dc:title>
  <dc:subject/>
  <dc:creator>JACKSON, Wendy (ENV)</dc:creator>
  <cp:keywords/>
  <dc:description/>
  <cp:lastModifiedBy>JACKSON, Wendy (ENV)</cp:lastModifiedBy>
  <cp:revision>15</cp:revision>
  <dcterms:created xsi:type="dcterms:W3CDTF">2015-04-24T01:36:00Z</dcterms:created>
  <dcterms:modified xsi:type="dcterms:W3CDTF">2015-05-01T13:06:00Z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0x01010077AA9D1CFFA240DC80DAD99CA5F5CD00002DAE8431F8B6400CAA222602BDDA92B80012E84B5F2B01E84A81982F7CED99A7E8</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376a0e84-747d-490a-a801-107f1fcd9011</vt:lpwstr>
  </property>
  <property fmtid="{D5CDD505-2E9C-101B-9397-08002B2CF9AE}" pid="6" name="Order">
    <vt:r8>70400</vt:r8>
  </property>
  <property fmtid="{D5CDD505-2E9C-101B-9397-08002B2CF9AE}" pid="7" name="Topic">
    <vt:lpwstr>273;#Convention on Biological Diversity|26d6a2bb-f290-429c-996a-d55beddb3a97</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SecurityCaveat">
    <vt:lpwstr/>
  </property>
</Properties>
</file>