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4" w:rsidRPr="00CC0AC3" w:rsidRDefault="00AD73E4" w:rsidP="00AD73E4">
      <w:pPr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C0AC3">
        <w:rPr>
          <w:rFonts w:ascii="Times New Roman" w:eastAsiaTheme="majorEastAsia" w:hAnsi="Times New Roman" w:cs="Times New Roman"/>
          <w:bCs/>
          <w:sz w:val="24"/>
          <w:szCs w:val="24"/>
        </w:rPr>
        <w:t>ATENCIÓN A LA NOTIFICACIÓN (2015-138) SCBD/BS/MPM/DA/85215, REFERENTE A LA SOLICITUD DE INFORMACIÓN SOBRE EVALUACIÓN Y GESTIÓN DE RIESGOS, QUE INDICA LA DECISIÓN TOMADA POR LAS PARTES BS-VII/12 EN LA PASADA COP-MOP.</w:t>
      </w:r>
    </w:p>
    <w:p w:rsidR="000A3960" w:rsidRDefault="000A3960" w:rsidP="000A3960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D73E4" w:rsidRDefault="00AD73E4" w:rsidP="000A3960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D73E4" w:rsidRPr="00AD73E4" w:rsidRDefault="00AD73E4" w:rsidP="00AD73E4">
      <w:pPr>
        <w:pStyle w:val="Default"/>
        <w:numPr>
          <w:ilvl w:val="0"/>
          <w:numId w:val="11"/>
        </w:numPr>
        <w:rPr>
          <w:rFonts w:ascii="Soberana Sans Light" w:hAnsi="Soberana Sans Light"/>
          <w:color w:val="auto"/>
          <w:sz w:val="22"/>
          <w:szCs w:val="22"/>
        </w:rPr>
      </w:pPr>
      <w:r w:rsidRPr="00AD73E4">
        <w:rPr>
          <w:rFonts w:ascii="Soberana Sans Light" w:hAnsi="Soberana Sans Light"/>
          <w:b/>
          <w:color w:val="auto"/>
          <w:sz w:val="22"/>
          <w:szCs w:val="22"/>
        </w:rPr>
        <w:t>Información respecto a necesidades y prioridades sobre tópicos específicos de evaluación de riesgo de OGMs</w:t>
      </w:r>
      <w:r w:rsidR="00D221A0">
        <w:rPr>
          <w:rFonts w:ascii="Soberana Sans Light" w:hAnsi="Soberana Sans Light"/>
          <w:b/>
          <w:color w:val="auto"/>
          <w:sz w:val="22"/>
          <w:szCs w:val="22"/>
        </w:rPr>
        <w:t xml:space="preserve"> para la elaboración de guías.</w:t>
      </w:r>
      <w:r w:rsidRPr="00AD73E4">
        <w:rPr>
          <w:rFonts w:ascii="Soberana Sans Light" w:hAnsi="Soberana Sans Light"/>
          <w:color w:val="auto"/>
          <w:sz w:val="22"/>
          <w:szCs w:val="22"/>
        </w:rPr>
        <w:t xml:space="preserve"> </w:t>
      </w:r>
    </w:p>
    <w:p w:rsidR="00AD73E4" w:rsidRDefault="00AD73E4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334613" w:rsidRDefault="00D221A0" w:rsidP="00334613">
      <w:pPr>
        <w:pStyle w:val="Default"/>
        <w:jc w:val="both"/>
        <w:rPr>
          <w:rFonts w:ascii="Soberana Sans Light" w:hAnsi="Soberana Sans Light"/>
          <w:color w:val="auto"/>
          <w:sz w:val="22"/>
          <w:szCs w:val="22"/>
        </w:rPr>
      </w:pPr>
      <w:r w:rsidRPr="00D221A0">
        <w:rPr>
          <w:rFonts w:ascii="Soberana Sans Light" w:hAnsi="Soberana Sans Light"/>
          <w:color w:val="auto"/>
          <w:sz w:val="22"/>
          <w:szCs w:val="22"/>
        </w:rPr>
        <w:t>El nivel de conocimiento</w:t>
      </w:r>
      <w:r>
        <w:rPr>
          <w:rFonts w:ascii="Soberana Sans Light" w:hAnsi="Soberana Sans Light"/>
          <w:color w:val="auto"/>
          <w:sz w:val="22"/>
          <w:szCs w:val="22"/>
        </w:rPr>
        <w:t xml:space="preserve"> sobre la evaluación de riesgo</w:t>
      </w:r>
      <w:r w:rsidRPr="00D221A0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de </w:t>
      </w:r>
      <w:proofErr w:type="spellStart"/>
      <w:r w:rsidR="00F02ADA">
        <w:rPr>
          <w:rFonts w:ascii="Soberana Sans Light" w:hAnsi="Soberana Sans Light"/>
          <w:color w:val="auto"/>
          <w:sz w:val="22"/>
          <w:szCs w:val="22"/>
        </w:rPr>
        <w:t>O</w:t>
      </w:r>
      <w:r w:rsidR="009E4DCD">
        <w:rPr>
          <w:rFonts w:ascii="Soberana Sans Light" w:hAnsi="Soberana Sans Light"/>
          <w:color w:val="auto"/>
          <w:sz w:val="22"/>
          <w:szCs w:val="22"/>
        </w:rPr>
        <w:t>V</w:t>
      </w:r>
      <w:r w:rsidR="00F02ADA">
        <w:rPr>
          <w:rFonts w:ascii="Soberana Sans Light" w:hAnsi="Soberana Sans Light"/>
          <w:color w:val="auto"/>
          <w:sz w:val="22"/>
          <w:szCs w:val="22"/>
        </w:rPr>
        <w:t>Ms</w:t>
      </w:r>
      <w:proofErr w:type="spellEnd"/>
      <w:r w:rsidR="00967A12">
        <w:rPr>
          <w:rFonts w:ascii="Soberana Sans Light" w:hAnsi="Soberana Sans Light"/>
          <w:color w:val="auto"/>
          <w:sz w:val="22"/>
          <w:szCs w:val="22"/>
        </w:rPr>
        <w:t xml:space="preserve"> </w:t>
      </w:r>
      <w:r>
        <w:rPr>
          <w:rFonts w:ascii="Soberana Sans Light" w:hAnsi="Soberana Sans Light"/>
          <w:color w:val="auto"/>
          <w:sz w:val="22"/>
          <w:szCs w:val="22"/>
        </w:rPr>
        <w:t>a nivel internacional es bastante heterogéneo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 y dependiente de caso, por lo que las guías informativas disponibles si bien son útiles, deben actualizarse con elementos técnico</w:t>
      </w:r>
      <w:r w:rsidR="009E4DCD">
        <w:rPr>
          <w:rFonts w:ascii="Soberana Sans Light" w:hAnsi="Soberana Sans Light"/>
          <w:color w:val="auto"/>
          <w:sz w:val="22"/>
          <w:szCs w:val="22"/>
        </w:rPr>
        <w:t>s</w:t>
      </w:r>
      <w:r w:rsidR="00F2759D">
        <w:rPr>
          <w:rFonts w:ascii="Soberana Sans Light" w:hAnsi="Soberana Sans Light"/>
          <w:color w:val="auto"/>
          <w:sz w:val="22"/>
          <w:szCs w:val="22"/>
        </w:rPr>
        <w:t xml:space="preserve"> y de calidad </w:t>
      </w:r>
      <w:r w:rsidR="00334613">
        <w:rPr>
          <w:rFonts w:ascii="Soberana Sans Light" w:hAnsi="Soberana Sans Light"/>
          <w:color w:val="auto"/>
          <w:sz w:val="22"/>
          <w:szCs w:val="22"/>
        </w:rPr>
        <w:t>científic</w:t>
      </w:r>
      <w:r w:rsidR="00F2759D">
        <w:rPr>
          <w:rFonts w:ascii="Soberana Sans Light" w:hAnsi="Soberana Sans Light"/>
          <w:color w:val="auto"/>
          <w:sz w:val="22"/>
          <w:szCs w:val="22"/>
        </w:rPr>
        <w:t>a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 que </w:t>
      </w:r>
      <w:r w:rsidR="00967A12">
        <w:rPr>
          <w:rFonts w:ascii="Soberana Sans Light" w:hAnsi="Soberana Sans Light"/>
          <w:color w:val="auto"/>
          <w:sz w:val="22"/>
          <w:szCs w:val="22"/>
        </w:rPr>
        <w:t xml:space="preserve">respondan a las necesidades de </w:t>
      </w:r>
      <w:r w:rsidR="00334613">
        <w:rPr>
          <w:rFonts w:ascii="Soberana Sans Light" w:hAnsi="Soberana Sans Light"/>
          <w:color w:val="auto"/>
          <w:sz w:val="22"/>
          <w:szCs w:val="22"/>
        </w:rPr>
        <w:t>los reguladores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334613">
        <w:rPr>
          <w:rFonts w:ascii="Soberana Sans Light" w:hAnsi="Soberana Sans Light"/>
          <w:color w:val="auto"/>
          <w:sz w:val="22"/>
          <w:szCs w:val="22"/>
        </w:rPr>
        <w:t>para proveer metodologías sólidas y consistentes</w:t>
      </w:r>
      <w:r w:rsidR="007579FC">
        <w:rPr>
          <w:rFonts w:ascii="Soberana Sans Light" w:hAnsi="Soberana Sans Light"/>
          <w:color w:val="auto"/>
          <w:sz w:val="22"/>
          <w:szCs w:val="22"/>
        </w:rPr>
        <w:t>,</w:t>
      </w:r>
      <w:r w:rsidR="00F02ADA" w:rsidRPr="00F02ADA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F2759D">
        <w:rPr>
          <w:rFonts w:ascii="Soberana Sans Light" w:hAnsi="Soberana Sans Light"/>
          <w:color w:val="auto"/>
          <w:sz w:val="22"/>
          <w:szCs w:val="22"/>
        </w:rPr>
        <w:t>que en función de los avances biotecnológicos podrán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revisarse </w:t>
      </w:r>
      <w:r w:rsidR="00F02ADA">
        <w:rPr>
          <w:rFonts w:ascii="Soberana Sans Light" w:hAnsi="Soberana Sans Light"/>
          <w:color w:val="auto"/>
          <w:sz w:val="22"/>
          <w:szCs w:val="22"/>
        </w:rPr>
        <w:t>periódicamente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. 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Uno de los principales 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retos </w:t>
      </w:r>
      <w:r w:rsidR="00F02ADA">
        <w:rPr>
          <w:rFonts w:ascii="Soberana Sans Light" w:hAnsi="Soberana Sans Light"/>
          <w:color w:val="auto"/>
          <w:sz w:val="22"/>
          <w:szCs w:val="22"/>
        </w:rPr>
        <w:t>es que l</w:t>
      </w:r>
      <w:r w:rsidR="00334613">
        <w:rPr>
          <w:rFonts w:ascii="Soberana Sans Light" w:hAnsi="Soberana Sans Light"/>
          <w:color w:val="auto"/>
          <w:sz w:val="22"/>
          <w:szCs w:val="22"/>
        </w:rPr>
        <w:t>as consideraciones para la evalua</w:t>
      </w:r>
      <w:bookmarkStart w:id="0" w:name="_GoBack"/>
      <w:bookmarkEnd w:id="0"/>
      <w:r w:rsidR="00334613">
        <w:rPr>
          <w:rFonts w:ascii="Soberana Sans Light" w:hAnsi="Soberana Sans Light"/>
          <w:color w:val="auto"/>
          <w:sz w:val="22"/>
          <w:szCs w:val="22"/>
        </w:rPr>
        <w:t>ción de riesgo se particularizan en función del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334613">
        <w:rPr>
          <w:rFonts w:ascii="Soberana Sans Light" w:hAnsi="Soberana Sans Light"/>
          <w:color w:val="auto"/>
          <w:sz w:val="22"/>
          <w:szCs w:val="22"/>
        </w:rPr>
        <w:t>tipo de O</w:t>
      </w:r>
      <w:r w:rsidR="009E4DCD">
        <w:rPr>
          <w:rFonts w:ascii="Soberana Sans Light" w:hAnsi="Soberana Sans Light"/>
          <w:color w:val="auto"/>
          <w:sz w:val="22"/>
          <w:szCs w:val="22"/>
        </w:rPr>
        <w:t>V</w:t>
      </w:r>
      <w:r w:rsidR="00334613">
        <w:rPr>
          <w:rFonts w:ascii="Soberana Sans Light" w:hAnsi="Soberana Sans Light"/>
          <w:color w:val="auto"/>
          <w:sz w:val="22"/>
          <w:szCs w:val="22"/>
        </w:rPr>
        <w:t>M</w:t>
      </w:r>
      <w:r w:rsidR="009E4DCD">
        <w:rPr>
          <w:rFonts w:ascii="Soberana Sans Light" w:hAnsi="Soberana Sans Light"/>
          <w:color w:val="auto"/>
          <w:sz w:val="22"/>
          <w:szCs w:val="22"/>
        </w:rPr>
        <w:t>, su uso previsto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 y 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el 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ambiente receptor. </w:t>
      </w:r>
      <w:r w:rsidR="009E4DCD">
        <w:rPr>
          <w:rFonts w:ascii="Soberana Sans Light" w:hAnsi="Soberana Sans Light"/>
          <w:color w:val="auto"/>
          <w:sz w:val="22"/>
          <w:szCs w:val="22"/>
        </w:rPr>
        <w:t>El Anexo III del Protocolo de Cartagena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 identifica </w:t>
      </w:r>
      <w:r w:rsidR="00F2759D">
        <w:rPr>
          <w:rFonts w:ascii="Soberana Sans Light" w:hAnsi="Soberana Sans Light"/>
          <w:color w:val="auto"/>
          <w:sz w:val="22"/>
          <w:szCs w:val="22"/>
        </w:rPr>
        <w:t>aquel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los pasos </w:t>
      </w:r>
      <w:r w:rsidR="00F2759D">
        <w:rPr>
          <w:rFonts w:ascii="Soberana Sans Light" w:hAnsi="Soberana Sans Light"/>
          <w:color w:val="auto"/>
          <w:sz w:val="22"/>
          <w:szCs w:val="22"/>
        </w:rPr>
        <w:t xml:space="preserve">que 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son 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centrales en los procedimientos de evaluación de riesgo </w:t>
      </w:r>
      <w:r w:rsidR="00F2759D">
        <w:rPr>
          <w:rFonts w:ascii="Soberana Sans Light" w:hAnsi="Soberana Sans Light"/>
          <w:color w:val="auto"/>
          <w:sz w:val="22"/>
          <w:szCs w:val="22"/>
        </w:rPr>
        <w:t xml:space="preserve">de manera 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que 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hace el papel de </w:t>
      </w:r>
      <w:r w:rsidR="00F2759D">
        <w:rPr>
          <w:rFonts w:ascii="Soberana Sans Light" w:hAnsi="Soberana Sans Light"/>
          <w:color w:val="auto"/>
          <w:sz w:val="22"/>
          <w:szCs w:val="22"/>
        </w:rPr>
        <w:t xml:space="preserve">una guía genérica 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que </w:t>
      </w:r>
      <w:r w:rsidR="00F2759D">
        <w:rPr>
          <w:rFonts w:ascii="Soberana Sans Light" w:hAnsi="Soberana Sans Light"/>
          <w:color w:val="auto"/>
          <w:sz w:val="22"/>
          <w:szCs w:val="22"/>
        </w:rPr>
        <w:t>permit</w:t>
      </w:r>
      <w:r w:rsidR="009E4DCD">
        <w:rPr>
          <w:rFonts w:ascii="Soberana Sans Light" w:hAnsi="Soberana Sans Light"/>
          <w:color w:val="auto"/>
          <w:sz w:val="22"/>
          <w:szCs w:val="22"/>
        </w:rPr>
        <w:t>e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a cualquier regulador (con poca o amplia experiencia) 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contar con un esqueleto 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básico 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de </w:t>
      </w:r>
      <w:r w:rsidR="00F02ADA">
        <w:rPr>
          <w:rFonts w:ascii="Soberana Sans Light" w:hAnsi="Soberana Sans Light"/>
          <w:color w:val="auto"/>
          <w:sz w:val="22"/>
          <w:szCs w:val="22"/>
        </w:rPr>
        <w:t>actu</w:t>
      </w:r>
      <w:r w:rsidR="00334613">
        <w:rPr>
          <w:rFonts w:ascii="Soberana Sans Light" w:hAnsi="Soberana Sans Light"/>
          <w:color w:val="auto"/>
          <w:sz w:val="22"/>
          <w:szCs w:val="22"/>
        </w:rPr>
        <w:t>ación</w:t>
      </w:r>
      <w:r w:rsidR="009E4DCD">
        <w:rPr>
          <w:rFonts w:ascii="Soberana Sans Light" w:hAnsi="Soberana Sans Light"/>
          <w:color w:val="auto"/>
          <w:sz w:val="22"/>
          <w:szCs w:val="22"/>
        </w:rPr>
        <w:t>,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 independiente de</w:t>
      </w:r>
      <w:r w:rsidR="00F2759D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334613">
        <w:rPr>
          <w:rFonts w:ascii="Soberana Sans Light" w:hAnsi="Soberana Sans Light"/>
          <w:color w:val="auto"/>
          <w:sz w:val="22"/>
          <w:szCs w:val="22"/>
        </w:rPr>
        <w:t>l</w:t>
      </w:r>
      <w:r w:rsidR="00F2759D">
        <w:rPr>
          <w:rFonts w:ascii="Soberana Sans Light" w:hAnsi="Soberana Sans Light"/>
          <w:color w:val="auto"/>
          <w:sz w:val="22"/>
          <w:szCs w:val="22"/>
        </w:rPr>
        <w:t>a aplicación biotecnológica de la que se trate</w:t>
      </w:r>
      <w:r w:rsidR="00FE2FC7">
        <w:rPr>
          <w:rFonts w:ascii="Soberana Sans Light" w:hAnsi="Soberana Sans Light"/>
          <w:color w:val="auto"/>
          <w:sz w:val="22"/>
          <w:szCs w:val="22"/>
        </w:rPr>
        <w:t xml:space="preserve">, y subsecuentemente </w:t>
      </w:r>
      <w:r w:rsidR="009E4DCD">
        <w:rPr>
          <w:rFonts w:ascii="Soberana Sans Light" w:hAnsi="Soberana Sans Light"/>
          <w:color w:val="auto"/>
          <w:sz w:val="22"/>
          <w:szCs w:val="22"/>
        </w:rPr>
        <w:t>le posibilita ajustar el proceso a casos</w:t>
      </w:r>
      <w:r w:rsidR="00FE2FC7">
        <w:rPr>
          <w:rFonts w:ascii="Soberana Sans Light" w:hAnsi="Soberana Sans Light"/>
          <w:color w:val="auto"/>
          <w:sz w:val="22"/>
          <w:szCs w:val="22"/>
        </w:rPr>
        <w:t xml:space="preserve"> particulares</w:t>
      </w:r>
      <w:r w:rsidR="009E4DCD">
        <w:rPr>
          <w:rFonts w:ascii="Soberana Sans Light" w:hAnsi="Soberana Sans Light"/>
          <w:color w:val="auto"/>
          <w:sz w:val="22"/>
          <w:szCs w:val="22"/>
        </w:rPr>
        <w:t xml:space="preserve">. </w:t>
      </w:r>
      <w:r w:rsidR="007579FC">
        <w:rPr>
          <w:rFonts w:ascii="Soberana Sans Light" w:hAnsi="Soberana Sans Light"/>
          <w:color w:val="auto"/>
          <w:sz w:val="22"/>
          <w:szCs w:val="22"/>
        </w:rPr>
        <w:t xml:space="preserve">Por tanto, la experiencia práctica </w:t>
      </w:r>
      <w:r w:rsidR="00680E21">
        <w:rPr>
          <w:rFonts w:ascii="Soberana Sans Light" w:hAnsi="Soberana Sans Light"/>
          <w:color w:val="auto"/>
          <w:sz w:val="22"/>
          <w:szCs w:val="22"/>
        </w:rPr>
        <w:t>con</w:t>
      </w:r>
      <w:r w:rsidR="00680E21">
        <w:rPr>
          <w:rFonts w:ascii="Soberana Sans Light" w:hAnsi="Soberana Sans Light"/>
          <w:color w:val="auto"/>
          <w:sz w:val="22"/>
          <w:szCs w:val="22"/>
        </w:rPr>
        <w:t xml:space="preserve"> casos reales </w:t>
      </w:r>
      <w:r w:rsidR="007579FC">
        <w:rPr>
          <w:rFonts w:ascii="Soberana Sans Light" w:hAnsi="Soberana Sans Light"/>
          <w:color w:val="auto"/>
          <w:sz w:val="22"/>
          <w:szCs w:val="22"/>
        </w:rPr>
        <w:t>es esencial.</w:t>
      </w:r>
    </w:p>
    <w:p w:rsidR="00334613" w:rsidRDefault="00334613" w:rsidP="00334613">
      <w:pPr>
        <w:pStyle w:val="Default"/>
        <w:jc w:val="both"/>
        <w:rPr>
          <w:rFonts w:ascii="Soberana Sans Light" w:hAnsi="Soberana Sans Light"/>
          <w:color w:val="auto"/>
          <w:sz w:val="22"/>
          <w:szCs w:val="22"/>
        </w:rPr>
      </w:pPr>
    </w:p>
    <w:p w:rsidR="00D221A0" w:rsidRDefault="009E4DCD" w:rsidP="00F02ADA">
      <w:pPr>
        <w:pStyle w:val="Default"/>
        <w:jc w:val="both"/>
        <w:rPr>
          <w:rFonts w:ascii="Soberana Sans Light" w:hAnsi="Soberana Sans Light"/>
          <w:color w:val="auto"/>
          <w:sz w:val="22"/>
          <w:szCs w:val="22"/>
        </w:rPr>
      </w:pPr>
      <w:r>
        <w:rPr>
          <w:rFonts w:ascii="Soberana Sans Light" w:hAnsi="Soberana Sans Light"/>
          <w:color w:val="auto"/>
          <w:sz w:val="22"/>
          <w:szCs w:val="22"/>
        </w:rPr>
        <w:t>L</w:t>
      </w:r>
      <w:r w:rsidR="00334613">
        <w:rPr>
          <w:rFonts w:ascii="Soberana Sans Light" w:hAnsi="Soberana Sans Light"/>
          <w:color w:val="auto"/>
          <w:sz w:val="22"/>
          <w:szCs w:val="22"/>
        </w:rPr>
        <w:t>a evaluación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 de riesgo de </w:t>
      </w:r>
      <w:proofErr w:type="spellStart"/>
      <w:r w:rsidR="00D221A0">
        <w:rPr>
          <w:rFonts w:ascii="Soberana Sans Light" w:hAnsi="Soberana Sans Light"/>
          <w:color w:val="auto"/>
          <w:sz w:val="22"/>
          <w:szCs w:val="22"/>
        </w:rPr>
        <w:t>O</w:t>
      </w:r>
      <w:r>
        <w:rPr>
          <w:rFonts w:ascii="Soberana Sans Light" w:hAnsi="Soberana Sans Light"/>
          <w:color w:val="auto"/>
          <w:sz w:val="22"/>
          <w:szCs w:val="22"/>
        </w:rPr>
        <w:t>V</w:t>
      </w:r>
      <w:r w:rsidR="00D221A0">
        <w:rPr>
          <w:rFonts w:ascii="Soberana Sans Light" w:hAnsi="Soberana Sans Light"/>
          <w:color w:val="auto"/>
          <w:sz w:val="22"/>
          <w:szCs w:val="22"/>
        </w:rPr>
        <w:t>Ms</w:t>
      </w:r>
      <w:proofErr w:type="spellEnd"/>
      <w:r>
        <w:rPr>
          <w:rFonts w:ascii="Soberana Sans Light" w:hAnsi="Soberana Sans Light"/>
          <w:color w:val="auto"/>
          <w:sz w:val="22"/>
          <w:szCs w:val="22"/>
        </w:rPr>
        <w:t xml:space="preserve"> es un proceso que se beneficia enormemente de un grupo multidisciplinario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, </w:t>
      </w:r>
      <w:r>
        <w:rPr>
          <w:rFonts w:ascii="Soberana Sans Light" w:hAnsi="Soberana Sans Light"/>
          <w:color w:val="auto"/>
          <w:sz w:val="22"/>
          <w:szCs w:val="22"/>
        </w:rPr>
        <w:t xml:space="preserve">ya que 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el intercambio de información y experiencias entre reguladores y expertos </w:t>
      </w:r>
      <w:r w:rsidR="00F02ADA">
        <w:rPr>
          <w:rFonts w:ascii="Soberana Sans Light" w:hAnsi="Soberana Sans Light"/>
          <w:color w:val="auto"/>
          <w:sz w:val="22"/>
          <w:szCs w:val="22"/>
        </w:rPr>
        <w:t>es vital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D221A0" w:rsidRPr="00D221A0">
        <w:rPr>
          <w:rFonts w:ascii="Soberana Sans Light" w:hAnsi="Soberana Sans Light"/>
          <w:color w:val="auto"/>
          <w:sz w:val="22"/>
          <w:szCs w:val="22"/>
        </w:rPr>
        <w:t xml:space="preserve">para </w:t>
      </w:r>
      <w:r w:rsidR="00D221A0">
        <w:rPr>
          <w:rFonts w:ascii="Soberana Sans Light" w:hAnsi="Soberana Sans Light"/>
          <w:color w:val="auto"/>
          <w:sz w:val="22"/>
          <w:szCs w:val="22"/>
        </w:rPr>
        <w:t>asegurar una</w:t>
      </w:r>
      <w:r w:rsidR="00D221A0" w:rsidRPr="00D221A0">
        <w:rPr>
          <w:rFonts w:ascii="Soberana Sans Light" w:hAnsi="Soberana Sans Light"/>
          <w:color w:val="auto"/>
          <w:sz w:val="22"/>
          <w:szCs w:val="22"/>
        </w:rPr>
        <w:t xml:space="preserve"> implementación 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adecuada </w:t>
      </w:r>
      <w:r w:rsidR="00D221A0" w:rsidRPr="00D221A0">
        <w:rPr>
          <w:rFonts w:ascii="Soberana Sans Light" w:hAnsi="Soberana Sans Light"/>
          <w:color w:val="auto"/>
          <w:sz w:val="22"/>
          <w:szCs w:val="22"/>
        </w:rPr>
        <w:t>del Protocolo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. </w:t>
      </w:r>
      <w:r w:rsidR="00F02ADA">
        <w:rPr>
          <w:rFonts w:ascii="Soberana Sans Light" w:hAnsi="Soberana Sans Light"/>
          <w:color w:val="auto"/>
          <w:sz w:val="22"/>
          <w:szCs w:val="22"/>
        </w:rPr>
        <w:t>Para e</w:t>
      </w:r>
      <w:r w:rsidR="00FE2FC7">
        <w:rPr>
          <w:rFonts w:ascii="Soberana Sans Light" w:hAnsi="Soberana Sans Light"/>
          <w:color w:val="auto"/>
          <w:sz w:val="22"/>
          <w:szCs w:val="22"/>
        </w:rPr>
        <w:t>st</w:t>
      </w:r>
      <w:r w:rsidR="00F02ADA">
        <w:rPr>
          <w:rFonts w:ascii="Soberana Sans Light" w:hAnsi="Soberana Sans Light"/>
          <w:color w:val="auto"/>
          <w:sz w:val="22"/>
          <w:szCs w:val="22"/>
        </w:rPr>
        <w:t>o, e</w:t>
      </w:r>
      <w:r w:rsidR="00D221A0">
        <w:rPr>
          <w:rFonts w:ascii="Soberana Sans Light" w:hAnsi="Soberana Sans Light"/>
          <w:color w:val="auto"/>
          <w:sz w:val="22"/>
          <w:szCs w:val="22"/>
        </w:rPr>
        <w:t>n México se gener</w:t>
      </w:r>
      <w:r w:rsidR="00334613">
        <w:rPr>
          <w:rFonts w:ascii="Soberana Sans Light" w:hAnsi="Soberana Sans Light"/>
          <w:color w:val="auto"/>
          <w:sz w:val="22"/>
          <w:szCs w:val="22"/>
        </w:rPr>
        <w:t>ó un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 grupo intersectorial </w:t>
      </w:r>
      <w:r w:rsidR="00F02ADA">
        <w:rPr>
          <w:rFonts w:ascii="Soberana Sans Light" w:hAnsi="Soberana Sans Light"/>
          <w:color w:val="auto"/>
          <w:sz w:val="22"/>
          <w:szCs w:val="22"/>
        </w:rPr>
        <w:t>dedicado a la revisión de los elementos científicos materia de evaluación de riesgo, que involucra a las áreas técnicas de las Autoridades Nacionales Competentes</w:t>
      </w:r>
      <w:r w:rsidR="00FE2FC7">
        <w:rPr>
          <w:rFonts w:ascii="Soberana Sans Light" w:hAnsi="Soberana Sans Light"/>
          <w:color w:val="auto"/>
          <w:sz w:val="22"/>
          <w:szCs w:val="22"/>
        </w:rPr>
        <w:t>. Este grupo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 se </w:t>
      </w:r>
      <w:r w:rsidR="00FE2FC7">
        <w:rPr>
          <w:rFonts w:ascii="Soberana Sans Light" w:hAnsi="Soberana Sans Light"/>
          <w:color w:val="auto"/>
          <w:sz w:val="22"/>
          <w:szCs w:val="22"/>
        </w:rPr>
        <w:t>dio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 a la tarea de identificar y priorizar las necesidades en el ámbito</w:t>
      </w:r>
      <w:r>
        <w:rPr>
          <w:rFonts w:ascii="Soberana Sans Light" w:hAnsi="Soberana Sans Light"/>
          <w:color w:val="auto"/>
          <w:sz w:val="22"/>
          <w:szCs w:val="22"/>
        </w:rPr>
        <w:t xml:space="preserve"> de la evaluación y gestión de riesgos</w:t>
      </w:r>
      <w:r w:rsidR="00F02ADA">
        <w:rPr>
          <w:rFonts w:ascii="Soberana Sans Light" w:hAnsi="Soberana Sans Light"/>
          <w:color w:val="auto"/>
          <w:sz w:val="22"/>
          <w:szCs w:val="22"/>
        </w:rPr>
        <w:t>.</w:t>
      </w:r>
      <w:r w:rsidR="00334613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F02ADA">
        <w:rPr>
          <w:rFonts w:ascii="Soberana Sans Light" w:hAnsi="Soberana Sans Light"/>
          <w:color w:val="auto"/>
          <w:sz w:val="22"/>
          <w:szCs w:val="22"/>
        </w:rPr>
        <w:t>De manera general l</w:t>
      </w:r>
      <w:r w:rsidR="00F02ADA" w:rsidRPr="00D221A0">
        <w:rPr>
          <w:rFonts w:ascii="Soberana Sans Light" w:hAnsi="Soberana Sans Light"/>
          <w:color w:val="auto"/>
          <w:sz w:val="22"/>
          <w:szCs w:val="22"/>
        </w:rPr>
        <w:t xml:space="preserve">a mayoría de los participantes expresan la necesidad de establecer programas de </w:t>
      </w:r>
      <w:r w:rsidR="00F02ADA">
        <w:rPr>
          <w:rFonts w:ascii="Soberana Sans Light" w:hAnsi="Soberana Sans Light"/>
          <w:color w:val="auto"/>
          <w:sz w:val="22"/>
          <w:szCs w:val="22"/>
        </w:rPr>
        <w:t>entrenamiento</w:t>
      </w:r>
      <w:r w:rsidR="00F02ADA" w:rsidRPr="00D221A0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F02ADA">
        <w:rPr>
          <w:rFonts w:ascii="Soberana Sans Light" w:hAnsi="Soberana Sans Light"/>
          <w:color w:val="auto"/>
          <w:sz w:val="22"/>
          <w:szCs w:val="22"/>
        </w:rPr>
        <w:t>frecuente</w:t>
      </w:r>
      <w:r w:rsidR="007579FC">
        <w:rPr>
          <w:rFonts w:ascii="Soberana Sans Light" w:hAnsi="Soberana Sans Light"/>
          <w:color w:val="auto"/>
          <w:sz w:val="22"/>
          <w:szCs w:val="22"/>
        </w:rPr>
        <w:t>,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F02ADA" w:rsidRPr="00D221A0">
        <w:rPr>
          <w:rFonts w:ascii="Soberana Sans Light" w:hAnsi="Soberana Sans Light"/>
          <w:color w:val="auto"/>
          <w:sz w:val="22"/>
          <w:szCs w:val="22"/>
        </w:rPr>
        <w:t xml:space="preserve">para homologar capacidades en la aplicación del marco regulatorio 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orientados hacia </w:t>
      </w:r>
      <w:r w:rsidR="00F02ADA" w:rsidRPr="00D221A0">
        <w:rPr>
          <w:rFonts w:ascii="Soberana Sans Light" w:hAnsi="Soberana Sans Light"/>
          <w:color w:val="auto"/>
          <w:sz w:val="22"/>
          <w:szCs w:val="22"/>
        </w:rPr>
        <w:t>la evaluación de riesgo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. </w:t>
      </w:r>
      <w:r w:rsidR="00A5023F">
        <w:rPr>
          <w:rFonts w:ascii="Soberana Sans Light" w:hAnsi="Soberana Sans Light"/>
          <w:color w:val="auto"/>
          <w:sz w:val="22"/>
          <w:szCs w:val="22"/>
        </w:rPr>
        <w:t xml:space="preserve">Entre los tópicos que </w:t>
      </w:r>
      <w:r w:rsidR="00F02ADA">
        <w:rPr>
          <w:rFonts w:ascii="Soberana Sans Light" w:hAnsi="Soberana Sans Light"/>
          <w:color w:val="auto"/>
          <w:sz w:val="22"/>
          <w:szCs w:val="22"/>
        </w:rPr>
        <w:t>e</w:t>
      </w:r>
      <w:r w:rsidR="00FE2FC7">
        <w:rPr>
          <w:rFonts w:ascii="Soberana Sans Light" w:hAnsi="Soberana Sans Light"/>
          <w:color w:val="auto"/>
          <w:sz w:val="22"/>
          <w:szCs w:val="22"/>
        </w:rPr>
        <w:t>l grupo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 consider</w:t>
      </w:r>
      <w:r w:rsidR="00FE2FC7">
        <w:rPr>
          <w:rFonts w:ascii="Soberana Sans Light" w:hAnsi="Soberana Sans Light"/>
          <w:color w:val="auto"/>
          <w:sz w:val="22"/>
          <w:szCs w:val="22"/>
        </w:rPr>
        <w:t>ó</w:t>
      </w:r>
      <w:r w:rsidR="00F02ADA">
        <w:rPr>
          <w:rFonts w:ascii="Soberana Sans Light" w:hAnsi="Soberana Sans Light"/>
          <w:color w:val="auto"/>
          <w:sz w:val="22"/>
          <w:szCs w:val="22"/>
        </w:rPr>
        <w:t xml:space="preserve"> relevante</w:t>
      </w:r>
      <w:r w:rsidR="00A5023F">
        <w:rPr>
          <w:rFonts w:ascii="Soberana Sans Light" w:hAnsi="Soberana Sans Light"/>
          <w:color w:val="auto"/>
          <w:sz w:val="22"/>
          <w:szCs w:val="22"/>
        </w:rPr>
        <w:t>s están:</w:t>
      </w:r>
      <w:r w:rsidR="00D221A0">
        <w:rPr>
          <w:rFonts w:ascii="Soberana Sans Light" w:hAnsi="Soberana Sans Light"/>
          <w:color w:val="auto"/>
          <w:sz w:val="22"/>
          <w:szCs w:val="22"/>
        </w:rPr>
        <w:t xml:space="preserve"> </w:t>
      </w:r>
    </w:p>
    <w:p w:rsidR="00AD73E4" w:rsidRPr="00AD73E4" w:rsidRDefault="00AD73E4" w:rsidP="00AD73E4">
      <w:pPr>
        <w:pStyle w:val="Default"/>
        <w:ind w:left="1068" w:hanging="360"/>
        <w:rPr>
          <w:rFonts w:ascii="Soberana Sans Light" w:hAnsi="Soberana Sans Light"/>
          <w:color w:val="auto"/>
          <w:sz w:val="22"/>
          <w:szCs w:val="22"/>
        </w:rPr>
      </w:pPr>
    </w:p>
    <w:p w:rsidR="00AC5EE2" w:rsidRDefault="00AC5EE2" w:rsidP="00B175E2">
      <w:pPr>
        <w:pStyle w:val="Default"/>
        <w:numPr>
          <w:ilvl w:val="0"/>
          <w:numId w:val="18"/>
        </w:numPr>
        <w:ind w:left="1068"/>
        <w:jc w:val="both"/>
        <w:rPr>
          <w:rFonts w:ascii="Soberana Sans Light" w:hAnsi="Soberana Sans Light"/>
          <w:color w:val="auto"/>
          <w:sz w:val="22"/>
          <w:szCs w:val="22"/>
        </w:rPr>
      </w:pPr>
      <w:r>
        <w:rPr>
          <w:rFonts w:ascii="Soberana Sans Light" w:hAnsi="Soberana Sans Light"/>
          <w:color w:val="auto"/>
          <w:sz w:val="22"/>
          <w:szCs w:val="22"/>
        </w:rPr>
        <w:t xml:space="preserve">Se requiere </w:t>
      </w:r>
      <w:r w:rsidR="00967A12">
        <w:rPr>
          <w:rFonts w:ascii="Soberana Sans Light" w:hAnsi="Soberana Sans Light"/>
          <w:color w:val="auto"/>
          <w:sz w:val="22"/>
          <w:szCs w:val="22"/>
        </w:rPr>
        <w:t xml:space="preserve">primero </w:t>
      </w:r>
      <w:r>
        <w:rPr>
          <w:rFonts w:ascii="Soberana Sans Light" w:hAnsi="Soberana Sans Light"/>
          <w:color w:val="auto"/>
          <w:sz w:val="22"/>
          <w:szCs w:val="22"/>
        </w:rPr>
        <w:t xml:space="preserve">conocer </w:t>
      </w:r>
      <w:r w:rsidR="00AD2228">
        <w:rPr>
          <w:rFonts w:ascii="Soberana Sans Light" w:hAnsi="Soberana Sans Light"/>
          <w:color w:val="auto"/>
          <w:sz w:val="22"/>
          <w:szCs w:val="22"/>
        </w:rPr>
        <w:t xml:space="preserve">sobre </w:t>
      </w:r>
      <w:r>
        <w:rPr>
          <w:rFonts w:ascii="Soberana Sans Light" w:hAnsi="Soberana Sans Light"/>
          <w:color w:val="auto"/>
          <w:sz w:val="22"/>
          <w:szCs w:val="22"/>
        </w:rPr>
        <w:t>los avances y disponibilidad de</w:t>
      </w:r>
      <w:r w:rsidRPr="00AD73E4">
        <w:rPr>
          <w:rFonts w:ascii="Soberana Sans Light" w:hAnsi="Soberana Sans Light"/>
          <w:color w:val="auto"/>
          <w:sz w:val="22"/>
          <w:szCs w:val="22"/>
        </w:rPr>
        <w:t xml:space="preserve"> la guía</w:t>
      </w:r>
      <w:r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625614">
        <w:rPr>
          <w:rFonts w:ascii="Soberana Sans Light" w:hAnsi="Soberana Sans Light"/>
          <w:color w:val="auto"/>
          <w:sz w:val="22"/>
          <w:szCs w:val="22"/>
        </w:rPr>
        <w:t xml:space="preserve">que está </w:t>
      </w:r>
      <w:r>
        <w:rPr>
          <w:rFonts w:ascii="Soberana Sans Light" w:hAnsi="Soberana Sans Light"/>
          <w:color w:val="auto"/>
          <w:sz w:val="22"/>
          <w:szCs w:val="22"/>
        </w:rPr>
        <w:t>actualmente en elaboración</w:t>
      </w:r>
      <w:r w:rsidRPr="00AD73E4">
        <w:rPr>
          <w:rFonts w:ascii="Soberana Sans Light" w:hAnsi="Soberana Sans Light"/>
          <w:color w:val="auto"/>
          <w:sz w:val="22"/>
          <w:szCs w:val="22"/>
        </w:rPr>
        <w:t>.</w:t>
      </w:r>
      <w:r w:rsidR="00625614">
        <w:rPr>
          <w:rFonts w:ascii="Soberana Sans Light" w:hAnsi="Soberana Sans Light"/>
          <w:color w:val="auto"/>
          <w:sz w:val="22"/>
          <w:szCs w:val="22"/>
        </w:rPr>
        <w:t xml:space="preserve"> Partiendo de los temas que s</w:t>
      </w:r>
      <w:r w:rsidR="00B175E2">
        <w:rPr>
          <w:rFonts w:ascii="Soberana Sans Light" w:hAnsi="Soberana Sans Light"/>
          <w:color w:val="auto"/>
          <w:sz w:val="22"/>
          <w:szCs w:val="22"/>
        </w:rPr>
        <w:t>e</w:t>
      </w:r>
      <w:r w:rsidR="00625614">
        <w:rPr>
          <w:rFonts w:ascii="Soberana Sans Light" w:hAnsi="Soberana Sans Light"/>
          <w:color w:val="auto"/>
          <w:sz w:val="22"/>
          <w:szCs w:val="22"/>
        </w:rPr>
        <w:t xml:space="preserve"> incorpore</w:t>
      </w:r>
      <w:r w:rsidR="00B175E2">
        <w:rPr>
          <w:rFonts w:ascii="Soberana Sans Light" w:hAnsi="Soberana Sans Light"/>
          <w:color w:val="auto"/>
          <w:sz w:val="22"/>
          <w:szCs w:val="22"/>
        </w:rPr>
        <w:t>n en el</w:t>
      </w:r>
      <w:r w:rsidR="00AD2228">
        <w:rPr>
          <w:rFonts w:ascii="Soberana Sans Light" w:hAnsi="Soberana Sans Light"/>
          <w:color w:val="auto"/>
          <w:sz w:val="22"/>
          <w:szCs w:val="22"/>
        </w:rPr>
        <w:t xml:space="preserve"> documento</w:t>
      </w:r>
      <w:r w:rsidR="00625614">
        <w:rPr>
          <w:rFonts w:ascii="Soberana Sans Light" w:hAnsi="Soberana Sans Light"/>
          <w:color w:val="auto"/>
          <w:sz w:val="22"/>
          <w:szCs w:val="22"/>
        </w:rPr>
        <w:t xml:space="preserve">, será posible identificar </w:t>
      </w:r>
      <w:r w:rsidR="00B175E2">
        <w:rPr>
          <w:rFonts w:ascii="Soberana Sans Light" w:hAnsi="Soberana Sans Light"/>
          <w:color w:val="auto"/>
          <w:sz w:val="22"/>
          <w:szCs w:val="22"/>
        </w:rPr>
        <w:t xml:space="preserve">su aplicabilidad como marco </w:t>
      </w:r>
      <w:r w:rsidR="00AD2228">
        <w:rPr>
          <w:rFonts w:ascii="Soberana Sans Light" w:hAnsi="Soberana Sans Light"/>
          <w:color w:val="auto"/>
          <w:sz w:val="22"/>
          <w:szCs w:val="22"/>
        </w:rPr>
        <w:t>teór</w:t>
      </w:r>
      <w:r w:rsidR="00B175E2">
        <w:rPr>
          <w:rFonts w:ascii="Soberana Sans Light" w:hAnsi="Soberana Sans Light"/>
          <w:color w:val="auto"/>
          <w:sz w:val="22"/>
          <w:szCs w:val="22"/>
        </w:rPr>
        <w:t xml:space="preserve">ico para la evaluación </w:t>
      </w:r>
      <w:r w:rsidR="00AD2228">
        <w:rPr>
          <w:rFonts w:ascii="Soberana Sans Light" w:hAnsi="Soberana Sans Light"/>
          <w:color w:val="auto"/>
          <w:sz w:val="22"/>
          <w:szCs w:val="22"/>
        </w:rPr>
        <w:t xml:space="preserve">de riesgo, </w:t>
      </w:r>
      <w:r w:rsidR="00B175E2">
        <w:rPr>
          <w:rFonts w:ascii="Soberana Sans Light" w:hAnsi="Soberana Sans Light"/>
          <w:color w:val="auto"/>
          <w:sz w:val="22"/>
          <w:szCs w:val="22"/>
        </w:rPr>
        <w:t xml:space="preserve">y </w:t>
      </w:r>
      <w:r w:rsidR="00AD2228">
        <w:rPr>
          <w:rFonts w:ascii="Soberana Sans Light" w:hAnsi="Soberana Sans Light"/>
          <w:color w:val="auto"/>
          <w:sz w:val="22"/>
          <w:szCs w:val="22"/>
        </w:rPr>
        <w:t xml:space="preserve">posteriormente </w:t>
      </w:r>
      <w:r w:rsidR="00B175E2">
        <w:rPr>
          <w:rFonts w:ascii="Soberana Sans Light" w:hAnsi="Soberana Sans Light"/>
          <w:color w:val="auto"/>
          <w:sz w:val="22"/>
          <w:szCs w:val="22"/>
        </w:rPr>
        <w:t>desarrollar elementos complementarios según sea necesario.</w:t>
      </w:r>
    </w:p>
    <w:p w:rsidR="00AC5EE2" w:rsidRDefault="00AC5EE2" w:rsidP="00B175E2">
      <w:pPr>
        <w:pStyle w:val="Default"/>
        <w:ind w:left="1068"/>
        <w:jc w:val="both"/>
        <w:rPr>
          <w:rFonts w:ascii="Soberana Sans Light" w:hAnsi="Soberana Sans Light"/>
          <w:color w:val="auto"/>
          <w:sz w:val="22"/>
          <w:szCs w:val="22"/>
        </w:rPr>
      </w:pPr>
    </w:p>
    <w:p w:rsidR="00AD73E4" w:rsidRPr="00AD73E4" w:rsidRDefault="00642E6B" w:rsidP="00B175E2">
      <w:pPr>
        <w:pStyle w:val="Default"/>
        <w:numPr>
          <w:ilvl w:val="0"/>
          <w:numId w:val="18"/>
        </w:numPr>
        <w:ind w:left="1068"/>
        <w:jc w:val="both"/>
        <w:rPr>
          <w:rFonts w:ascii="Soberana Sans Light" w:hAnsi="Soberana Sans Light"/>
          <w:color w:val="auto"/>
          <w:sz w:val="22"/>
          <w:szCs w:val="22"/>
        </w:rPr>
      </w:pPr>
      <w:r>
        <w:rPr>
          <w:rFonts w:ascii="Soberana Sans Light" w:hAnsi="Soberana Sans Light"/>
          <w:color w:val="auto"/>
          <w:sz w:val="22"/>
          <w:szCs w:val="22"/>
        </w:rPr>
        <w:t>Identificar los avances en generar i</w:t>
      </w:r>
      <w:r w:rsidR="00AD73E4" w:rsidRPr="00AD73E4">
        <w:rPr>
          <w:rFonts w:ascii="Soberana Sans Light" w:hAnsi="Soberana Sans Light"/>
          <w:color w:val="auto"/>
          <w:sz w:val="22"/>
          <w:szCs w:val="22"/>
        </w:rPr>
        <w:t xml:space="preserve">nformación acerca de evaluación de riesgo para peces y </w:t>
      </w:r>
      <w:r>
        <w:rPr>
          <w:rFonts w:ascii="Soberana Sans Light" w:hAnsi="Soberana Sans Light"/>
          <w:color w:val="auto"/>
          <w:sz w:val="22"/>
          <w:szCs w:val="22"/>
        </w:rPr>
        <w:t xml:space="preserve">otros </w:t>
      </w:r>
      <w:r w:rsidR="00AD73E4" w:rsidRPr="00AD73E4">
        <w:rPr>
          <w:rFonts w:ascii="Soberana Sans Light" w:hAnsi="Soberana Sans Light"/>
          <w:color w:val="auto"/>
          <w:sz w:val="22"/>
          <w:szCs w:val="22"/>
        </w:rPr>
        <w:t>animales</w:t>
      </w:r>
      <w:r>
        <w:rPr>
          <w:rFonts w:ascii="Soberana Sans Light" w:hAnsi="Soberana Sans Light"/>
          <w:color w:val="auto"/>
          <w:sz w:val="22"/>
          <w:szCs w:val="22"/>
        </w:rPr>
        <w:t>.</w:t>
      </w:r>
    </w:p>
    <w:p w:rsidR="00A5023F" w:rsidRDefault="00A5023F" w:rsidP="00B175E2">
      <w:pPr>
        <w:pStyle w:val="Prrafodelista"/>
        <w:jc w:val="both"/>
        <w:rPr>
          <w:rFonts w:ascii="Soberana Sans Light" w:hAnsi="Soberana Sans Light"/>
        </w:rPr>
      </w:pPr>
    </w:p>
    <w:p w:rsidR="00A5023F" w:rsidRDefault="00A5023F" w:rsidP="00B175E2">
      <w:pPr>
        <w:pStyle w:val="Default"/>
        <w:numPr>
          <w:ilvl w:val="0"/>
          <w:numId w:val="18"/>
        </w:numPr>
        <w:ind w:left="1068"/>
        <w:jc w:val="both"/>
        <w:rPr>
          <w:rFonts w:ascii="Soberana Sans Light" w:hAnsi="Soberana Sans Light"/>
          <w:color w:val="auto"/>
          <w:sz w:val="22"/>
          <w:szCs w:val="22"/>
        </w:rPr>
      </w:pPr>
      <w:r w:rsidRPr="00AD73E4">
        <w:rPr>
          <w:rFonts w:ascii="Soberana Sans Light" w:hAnsi="Soberana Sans Light"/>
          <w:color w:val="auto"/>
          <w:sz w:val="22"/>
          <w:szCs w:val="22"/>
        </w:rPr>
        <w:t xml:space="preserve">Valoración de efectos indirectos </w:t>
      </w:r>
      <w:r>
        <w:rPr>
          <w:rFonts w:ascii="Soberana Sans Light" w:hAnsi="Soberana Sans Light"/>
          <w:color w:val="auto"/>
          <w:sz w:val="22"/>
          <w:szCs w:val="22"/>
        </w:rPr>
        <w:t xml:space="preserve">asociados a los </w:t>
      </w:r>
      <w:proofErr w:type="spellStart"/>
      <w:r>
        <w:rPr>
          <w:rFonts w:ascii="Soberana Sans Light" w:hAnsi="Soberana Sans Light"/>
          <w:color w:val="auto"/>
          <w:sz w:val="22"/>
          <w:szCs w:val="22"/>
        </w:rPr>
        <w:t>O</w:t>
      </w:r>
      <w:r w:rsidR="00642E6B">
        <w:rPr>
          <w:rFonts w:ascii="Soberana Sans Light" w:hAnsi="Soberana Sans Light"/>
          <w:color w:val="auto"/>
          <w:sz w:val="22"/>
          <w:szCs w:val="22"/>
        </w:rPr>
        <w:t>V</w:t>
      </w:r>
      <w:r>
        <w:rPr>
          <w:rFonts w:ascii="Soberana Sans Light" w:hAnsi="Soberana Sans Light"/>
          <w:color w:val="auto"/>
          <w:sz w:val="22"/>
          <w:szCs w:val="22"/>
        </w:rPr>
        <w:t>Ms</w:t>
      </w:r>
      <w:proofErr w:type="spellEnd"/>
      <w:r w:rsidRPr="00AD73E4">
        <w:rPr>
          <w:rFonts w:ascii="Soberana Sans Light" w:hAnsi="Soberana Sans Light"/>
          <w:color w:val="auto"/>
          <w:sz w:val="22"/>
          <w:szCs w:val="22"/>
        </w:rPr>
        <w:t>.</w:t>
      </w:r>
    </w:p>
    <w:p w:rsidR="003354AF" w:rsidRPr="00AD73E4" w:rsidRDefault="003354AF" w:rsidP="00A5023F">
      <w:pPr>
        <w:pStyle w:val="Default"/>
        <w:ind w:left="348"/>
        <w:rPr>
          <w:rFonts w:ascii="Soberana Sans Light" w:hAnsi="Soberana Sans Light"/>
          <w:color w:val="auto"/>
          <w:sz w:val="22"/>
          <w:szCs w:val="22"/>
        </w:rPr>
      </w:pPr>
    </w:p>
    <w:p w:rsidR="00AD73E4" w:rsidRDefault="00642E6B" w:rsidP="00F13FD7">
      <w:pPr>
        <w:pStyle w:val="Default"/>
        <w:jc w:val="both"/>
        <w:rPr>
          <w:rFonts w:ascii="Soberana Sans Light" w:hAnsi="Soberana Sans Light"/>
          <w:color w:val="auto"/>
          <w:sz w:val="22"/>
          <w:szCs w:val="22"/>
        </w:rPr>
      </w:pPr>
      <w:r>
        <w:rPr>
          <w:rFonts w:ascii="Soberana Sans Light" w:hAnsi="Soberana Sans Light"/>
          <w:color w:val="auto"/>
          <w:sz w:val="22"/>
          <w:szCs w:val="22"/>
        </w:rPr>
        <w:t>Para poder valorar la necesidad de incluir otros tópicos</w:t>
      </w:r>
      <w:r w:rsidR="00AD2228">
        <w:rPr>
          <w:rFonts w:ascii="Soberana Sans Light" w:hAnsi="Soberana Sans Light"/>
          <w:color w:val="auto"/>
          <w:sz w:val="22"/>
          <w:szCs w:val="22"/>
        </w:rPr>
        <w:t xml:space="preserve">, </w:t>
      </w:r>
      <w:r w:rsidR="00F13FD7" w:rsidRPr="00F13FD7">
        <w:rPr>
          <w:rFonts w:ascii="Soberana Sans Light" w:hAnsi="Soberana Sans Light"/>
          <w:color w:val="auto"/>
          <w:sz w:val="22"/>
          <w:szCs w:val="22"/>
        </w:rPr>
        <w:t xml:space="preserve">México considera necesario </w:t>
      </w:r>
      <w:r>
        <w:rPr>
          <w:rFonts w:ascii="Soberana Sans Light" w:hAnsi="Soberana Sans Light"/>
          <w:color w:val="auto"/>
          <w:sz w:val="22"/>
          <w:szCs w:val="22"/>
        </w:rPr>
        <w:t>contar con</w:t>
      </w:r>
      <w:r w:rsidR="00F13FD7">
        <w:rPr>
          <w:rFonts w:ascii="Soberana Sans Light" w:hAnsi="Soberana Sans Light"/>
          <w:color w:val="auto"/>
          <w:sz w:val="22"/>
          <w:szCs w:val="22"/>
        </w:rPr>
        <w:t xml:space="preserve"> </w:t>
      </w:r>
      <w:r w:rsidR="00F13FD7" w:rsidRPr="00F13FD7">
        <w:rPr>
          <w:rFonts w:ascii="Soberana Sans Light" w:hAnsi="Soberana Sans Light"/>
          <w:color w:val="auto"/>
          <w:sz w:val="22"/>
          <w:szCs w:val="22"/>
        </w:rPr>
        <w:t xml:space="preserve">un inventario sobre </w:t>
      </w:r>
      <w:r>
        <w:rPr>
          <w:rFonts w:ascii="Soberana Sans Light" w:hAnsi="Soberana Sans Light"/>
          <w:color w:val="auto"/>
          <w:sz w:val="22"/>
          <w:szCs w:val="22"/>
        </w:rPr>
        <w:t xml:space="preserve">los productos correspondientes a </w:t>
      </w:r>
      <w:proofErr w:type="spellStart"/>
      <w:r>
        <w:rPr>
          <w:rFonts w:ascii="Soberana Sans Light" w:hAnsi="Soberana Sans Light"/>
          <w:color w:val="auto"/>
          <w:sz w:val="22"/>
          <w:szCs w:val="22"/>
        </w:rPr>
        <w:t>OVMs</w:t>
      </w:r>
      <w:proofErr w:type="spellEnd"/>
      <w:r>
        <w:rPr>
          <w:rFonts w:ascii="Soberana Sans Light" w:hAnsi="Soberana Sans Light"/>
          <w:color w:val="auto"/>
          <w:sz w:val="22"/>
          <w:szCs w:val="22"/>
        </w:rPr>
        <w:t xml:space="preserve"> que se desarrollen empleando </w:t>
      </w:r>
      <w:r w:rsidR="00F13FD7" w:rsidRPr="00F13FD7">
        <w:rPr>
          <w:rFonts w:ascii="Soberana Sans Light" w:hAnsi="Soberana Sans Light"/>
          <w:color w:val="auto"/>
          <w:sz w:val="22"/>
          <w:szCs w:val="22"/>
        </w:rPr>
        <w:t>las nuevas tecnologías</w:t>
      </w:r>
      <w:r w:rsidR="00F13FD7">
        <w:rPr>
          <w:rFonts w:ascii="Soberana Sans Light" w:hAnsi="Soberana Sans Light"/>
          <w:color w:val="auto"/>
          <w:sz w:val="22"/>
          <w:szCs w:val="22"/>
        </w:rPr>
        <w:t xml:space="preserve">. </w:t>
      </w:r>
    </w:p>
    <w:p w:rsidR="00F13FD7" w:rsidRDefault="00F13FD7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680E21" w:rsidRDefault="00680E21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680E21" w:rsidRDefault="00680E21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680E21" w:rsidRDefault="00680E21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680E21" w:rsidRDefault="00680E21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680E21" w:rsidRDefault="00680E21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7579FC" w:rsidRPr="00AD73E4" w:rsidRDefault="007579FC" w:rsidP="00AD73E4">
      <w:pPr>
        <w:pStyle w:val="Default"/>
        <w:rPr>
          <w:rFonts w:ascii="Soberana Sans Light" w:hAnsi="Soberana Sans Light"/>
          <w:color w:val="auto"/>
          <w:sz w:val="22"/>
          <w:szCs w:val="22"/>
        </w:rPr>
      </w:pPr>
    </w:p>
    <w:p w:rsidR="00AD73E4" w:rsidRPr="00AD73E4" w:rsidRDefault="00AD73E4" w:rsidP="00AD73E4">
      <w:pPr>
        <w:pStyle w:val="Prrafodelista"/>
        <w:numPr>
          <w:ilvl w:val="0"/>
          <w:numId w:val="11"/>
        </w:numPr>
        <w:rPr>
          <w:rFonts w:ascii="Soberana Sans Light" w:hAnsi="Soberana Sans Light"/>
          <w:b/>
        </w:rPr>
      </w:pPr>
      <w:r w:rsidRPr="00AD73E4">
        <w:rPr>
          <w:rFonts w:ascii="Soberana Sans Light" w:hAnsi="Soberana Sans Light"/>
          <w:b/>
        </w:rPr>
        <w:lastRenderedPageBreak/>
        <w:t>Guías existentes sobre tópicos específicos de evaluación de riesgo de OGMs</w:t>
      </w:r>
    </w:p>
    <w:p w:rsidR="00AD73E4" w:rsidRDefault="00AD73E4" w:rsidP="00AD73E4">
      <w:pPr>
        <w:pStyle w:val="Prrafodelista"/>
        <w:autoSpaceDE w:val="0"/>
        <w:autoSpaceDN w:val="0"/>
        <w:ind w:left="1068"/>
        <w:rPr>
          <w:rFonts w:ascii="Soberana Sans Light" w:hAnsi="Soberana Sans Light"/>
          <w:sz w:val="24"/>
          <w:szCs w:val="24"/>
        </w:rPr>
      </w:pPr>
    </w:p>
    <w:p w:rsidR="00CE29C2" w:rsidRDefault="00045749" w:rsidP="00045749">
      <w:pPr>
        <w:jc w:val="both"/>
        <w:rPr>
          <w:rFonts w:ascii="Soberana Sans Light" w:hAnsi="Soberana Sans Light" w:cs="Arial"/>
        </w:rPr>
      </w:pPr>
      <w:r w:rsidRPr="00045749">
        <w:rPr>
          <w:rFonts w:ascii="Soberana Sans Light" w:hAnsi="Soberana Sans Light" w:cs="Arial"/>
        </w:rPr>
        <w:t xml:space="preserve">México, </w:t>
      </w:r>
      <w:r>
        <w:rPr>
          <w:rFonts w:ascii="Soberana Sans Light" w:hAnsi="Soberana Sans Light" w:cs="Arial"/>
        </w:rPr>
        <w:t xml:space="preserve">considera </w:t>
      </w:r>
      <w:r w:rsidRPr="00045749">
        <w:rPr>
          <w:rFonts w:ascii="Soberana Sans Light" w:hAnsi="Soberana Sans Light" w:cs="Arial"/>
        </w:rPr>
        <w:t>que la</w:t>
      </w:r>
      <w:r>
        <w:rPr>
          <w:rFonts w:ascii="Soberana Sans Light" w:hAnsi="Soberana Sans Light" w:cs="Arial"/>
        </w:rPr>
        <w:t xml:space="preserve"> guía de</w:t>
      </w:r>
      <w:r w:rsidRPr="00045749">
        <w:rPr>
          <w:rFonts w:ascii="Soberana Sans Light" w:hAnsi="Soberana Sans Light" w:cs="Arial"/>
        </w:rPr>
        <w:t xml:space="preserve"> orientación</w:t>
      </w:r>
      <w:r>
        <w:rPr>
          <w:rFonts w:ascii="Soberana Sans Light" w:hAnsi="Soberana Sans Light" w:cs="Arial"/>
        </w:rPr>
        <w:t xml:space="preserve"> </w:t>
      </w:r>
      <w:r>
        <w:rPr>
          <w:rFonts w:ascii="Soberana Sans Light" w:hAnsi="Soberana Sans Light"/>
        </w:rPr>
        <w:t>(</w:t>
      </w:r>
      <w:r w:rsidR="00A5023F">
        <w:rPr>
          <w:rFonts w:ascii="Soberana Sans Light" w:hAnsi="Soberana Sans Light"/>
        </w:rPr>
        <w:t>“</w:t>
      </w:r>
      <w:proofErr w:type="spellStart"/>
      <w:r w:rsidRPr="00A5023F">
        <w:rPr>
          <w:rFonts w:ascii="Soberana Sans Light" w:hAnsi="Soberana Sans Light"/>
          <w:i/>
        </w:rPr>
        <w:t>Guidance</w:t>
      </w:r>
      <w:proofErr w:type="spellEnd"/>
      <w:r w:rsidRPr="00A5023F">
        <w:rPr>
          <w:rFonts w:ascii="Soberana Sans Light" w:hAnsi="Soberana Sans Light"/>
          <w:i/>
        </w:rPr>
        <w:t xml:space="preserve"> </w:t>
      </w:r>
      <w:proofErr w:type="spellStart"/>
      <w:r w:rsidRPr="00A5023F">
        <w:rPr>
          <w:rFonts w:ascii="Soberana Sans Light" w:hAnsi="Soberana Sans Light"/>
          <w:i/>
        </w:rPr>
        <w:t>on</w:t>
      </w:r>
      <w:proofErr w:type="spellEnd"/>
      <w:r w:rsidRPr="00A5023F">
        <w:rPr>
          <w:rFonts w:ascii="Soberana Sans Light" w:hAnsi="Soberana Sans Light"/>
          <w:i/>
        </w:rPr>
        <w:t xml:space="preserve"> </w:t>
      </w:r>
      <w:proofErr w:type="spellStart"/>
      <w:r w:rsidRPr="00A5023F">
        <w:rPr>
          <w:rFonts w:ascii="Soberana Sans Light" w:hAnsi="Soberana Sans Light"/>
          <w:i/>
        </w:rPr>
        <w:t>Risk</w:t>
      </w:r>
      <w:proofErr w:type="spellEnd"/>
      <w:r w:rsidRPr="00A5023F">
        <w:rPr>
          <w:rFonts w:ascii="Soberana Sans Light" w:hAnsi="Soberana Sans Light"/>
          <w:i/>
        </w:rPr>
        <w:t xml:space="preserve"> </w:t>
      </w:r>
      <w:proofErr w:type="spellStart"/>
      <w:r w:rsidRPr="00A5023F">
        <w:rPr>
          <w:rFonts w:ascii="Soberana Sans Light" w:hAnsi="Soberana Sans Light"/>
          <w:i/>
        </w:rPr>
        <w:t>Assessment</w:t>
      </w:r>
      <w:proofErr w:type="spellEnd"/>
      <w:r w:rsidRPr="00A5023F">
        <w:rPr>
          <w:rFonts w:ascii="Soberana Sans Light" w:hAnsi="Soberana Sans Light"/>
          <w:i/>
        </w:rPr>
        <w:t xml:space="preserve"> of Living </w:t>
      </w:r>
      <w:proofErr w:type="spellStart"/>
      <w:r w:rsidRPr="00A5023F">
        <w:rPr>
          <w:rFonts w:ascii="Soberana Sans Light" w:hAnsi="Soberana Sans Light"/>
          <w:i/>
        </w:rPr>
        <w:t>Modified</w:t>
      </w:r>
      <w:proofErr w:type="spellEnd"/>
      <w:r w:rsidRPr="00A5023F">
        <w:rPr>
          <w:rFonts w:ascii="Soberana Sans Light" w:hAnsi="Soberana Sans Light"/>
          <w:i/>
        </w:rPr>
        <w:t xml:space="preserve"> </w:t>
      </w:r>
      <w:proofErr w:type="spellStart"/>
      <w:r w:rsidRPr="00A5023F">
        <w:rPr>
          <w:rFonts w:ascii="Soberana Sans Light" w:hAnsi="Soberana Sans Light"/>
          <w:i/>
        </w:rPr>
        <w:t>Organisms</w:t>
      </w:r>
      <w:proofErr w:type="spellEnd"/>
      <w:r w:rsidR="00A5023F">
        <w:rPr>
          <w:rFonts w:ascii="Soberana Sans Light" w:hAnsi="Soberana Sans Light"/>
          <w:i/>
        </w:rPr>
        <w:t>”</w:t>
      </w:r>
      <w:r>
        <w:rPr>
          <w:rFonts w:ascii="Soberana Sans Light" w:hAnsi="Soberana Sans Light"/>
        </w:rPr>
        <w:t>)</w:t>
      </w:r>
      <w:r w:rsidRPr="00045749">
        <w:rPr>
          <w:rFonts w:ascii="Soberana Sans Light" w:hAnsi="Soberana Sans Light" w:cs="Arial"/>
        </w:rPr>
        <w:t xml:space="preserve"> se encuentra en desarrollo y </w:t>
      </w:r>
      <w:r>
        <w:rPr>
          <w:rFonts w:ascii="Soberana Sans Light" w:hAnsi="Soberana Sans Light" w:cs="Arial"/>
        </w:rPr>
        <w:t xml:space="preserve"> puede ser usada</w:t>
      </w:r>
      <w:r w:rsidRPr="00045749">
        <w:rPr>
          <w:rFonts w:ascii="Soberana Sans Light" w:hAnsi="Soberana Sans Light" w:cs="Arial"/>
        </w:rPr>
        <w:t xml:space="preserve"> como herramienta </w:t>
      </w:r>
      <w:r w:rsidR="00CE29C2">
        <w:rPr>
          <w:rFonts w:ascii="Soberana Sans Light" w:hAnsi="Soberana Sans Light" w:cs="Arial"/>
        </w:rPr>
        <w:t xml:space="preserve">básica </w:t>
      </w:r>
      <w:r w:rsidRPr="00045749">
        <w:rPr>
          <w:rFonts w:ascii="Soberana Sans Light" w:hAnsi="Soberana Sans Light" w:cs="Arial"/>
        </w:rPr>
        <w:t>para la creación de ca</w:t>
      </w:r>
      <w:r>
        <w:rPr>
          <w:rFonts w:ascii="Soberana Sans Light" w:hAnsi="Soberana Sans Light" w:cs="Arial"/>
        </w:rPr>
        <w:t>pacidad</w:t>
      </w:r>
      <w:r w:rsidR="00A5023F">
        <w:rPr>
          <w:rFonts w:ascii="Soberana Sans Light" w:hAnsi="Soberana Sans Light" w:cs="Arial"/>
        </w:rPr>
        <w:t xml:space="preserve"> en evaluación de riesgo</w:t>
      </w:r>
      <w:r w:rsidR="00CE29C2">
        <w:rPr>
          <w:rFonts w:ascii="Soberana Sans Light" w:hAnsi="Soberana Sans Light" w:cs="Arial"/>
        </w:rPr>
        <w:t xml:space="preserve"> con ciertas limitantes</w:t>
      </w:r>
      <w:r w:rsidR="00A5023F">
        <w:rPr>
          <w:rFonts w:ascii="Soberana Sans Light" w:hAnsi="Soberana Sans Light" w:cs="Arial"/>
        </w:rPr>
        <w:t xml:space="preserve">. Los reguladores nacionales exploraron </w:t>
      </w:r>
      <w:r w:rsidR="00CE29C2">
        <w:rPr>
          <w:rFonts w:ascii="Soberana Sans Light" w:hAnsi="Soberana Sans Light" w:cs="Arial"/>
        </w:rPr>
        <w:t>su</w:t>
      </w:r>
      <w:r w:rsidR="00A5023F">
        <w:rPr>
          <w:rFonts w:ascii="Soberana Sans Light" w:hAnsi="Soberana Sans Light" w:cs="Arial"/>
        </w:rPr>
        <w:t xml:space="preserve"> utilidad </w:t>
      </w:r>
      <w:r w:rsidR="00CE29C2">
        <w:rPr>
          <w:rFonts w:ascii="Soberana Sans Light" w:hAnsi="Soberana Sans Light" w:cs="Arial"/>
        </w:rPr>
        <w:t xml:space="preserve">y </w:t>
      </w:r>
      <w:r w:rsidR="007579FC">
        <w:rPr>
          <w:rFonts w:ascii="Soberana Sans Light" w:hAnsi="Soberana Sans Light" w:cs="Arial"/>
        </w:rPr>
        <w:t>aun</w:t>
      </w:r>
      <w:r w:rsidR="00CE29C2">
        <w:rPr>
          <w:rFonts w:ascii="Soberana Sans Light" w:hAnsi="Soberana Sans Light" w:cs="Arial"/>
        </w:rPr>
        <w:t xml:space="preserve"> cuando</w:t>
      </w:r>
      <w:r w:rsidR="00A5023F">
        <w:rPr>
          <w:rFonts w:ascii="Soberana Sans Light" w:hAnsi="Soberana Sans Light" w:cs="Arial"/>
        </w:rPr>
        <w:t xml:space="preserve"> la orientación en línea y la guía mencionada </w:t>
      </w:r>
      <w:r w:rsidR="00CE29C2">
        <w:rPr>
          <w:rFonts w:ascii="Soberana Sans Light" w:hAnsi="Soberana Sans Light" w:cs="Arial"/>
        </w:rPr>
        <w:t>proponen algunas bases metodológicas para la evaluación de riesgo,</w:t>
      </w:r>
      <w:r w:rsidR="00A5023F">
        <w:rPr>
          <w:rFonts w:ascii="Soberana Sans Light" w:hAnsi="Soberana Sans Light" w:cs="Arial"/>
        </w:rPr>
        <w:t xml:space="preserve"> encuentran que aún requiere mejorarse</w:t>
      </w:r>
      <w:r w:rsidR="00CE29C2">
        <w:rPr>
          <w:rFonts w:ascii="Soberana Sans Light" w:hAnsi="Soberana Sans Light" w:cs="Arial"/>
        </w:rPr>
        <w:t xml:space="preserve"> para ser un elemento científicamente sólido.</w:t>
      </w:r>
      <w:r w:rsidR="00A5023F">
        <w:rPr>
          <w:rFonts w:ascii="Soberana Sans Light" w:hAnsi="Soberana Sans Light" w:cs="Arial"/>
        </w:rPr>
        <w:t xml:space="preserve"> </w:t>
      </w:r>
      <w:r w:rsidR="00CE29C2">
        <w:rPr>
          <w:rFonts w:ascii="Soberana Sans Light" w:hAnsi="Soberana Sans Light" w:cs="Arial"/>
        </w:rPr>
        <w:t>Además, una vez actualizada y acordada entre los países Parte, es importante</w:t>
      </w:r>
      <w:r w:rsidR="00CE29C2" w:rsidRPr="00045749">
        <w:rPr>
          <w:rFonts w:ascii="Soberana Sans Light" w:hAnsi="Soberana Sans Light" w:cs="Arial"/>
        </w:rPr>
        <w:t xml:space="preserve"> que estas herramientas se encuentren disponibles en todos los idiomas oficiales de Naciones Unidas, ampliando así su potencial de divulgación.</w:t>
      </w:r>
      <w:r w:rsidR="00C56080">
        <w:rPr>
          <w:rFonts w:ascii="Soberana Sans Light" w:hAnsi="Soberana Sans Light" w:cs="Arial"/>
        </w:rPr>
        <w:t xml:space="preserve"> </w:t>
      </w:r>
    </w:p>
    <w:p w:rsidR="00CE29C2" w:rsidRDefault="00CE29C2" w:rsidP="00045749">
      <w:pPr>
        <w:jc w:val="both"/>
        <w:rPr>
          <w:rFonts w:ascii="Soberana Sans Light" w:hAnsi="Soberana Sans Light" w:cs="Arial"/>
        </w:rPr>
      </w:pPr>
    </w:p>
    <w:p w:rsidR="00045749" w:rsidRDefault="00CE29C2" w:rsidP="00045749">
      <w:pPr>
        <w:jc w:val="both"/>
        <w:rPr>
          <w:rFonts w:ascii="Soberana Sans Light" w:hAnsi="Soberana Sans Light" w:cs="Arial"/>
        </w:rPr>
      </w:pPr>
      <w:r>
        <w:rPr>
          <w:rFonts w:ascii="Soberana Sans Light" w:hAnsi="Soberana Sans Light" w:cs="Arial"/>
        </w:rPr>
        <w:t>Se reconoce que el trabajo del ATHEG-ER contribuirá a la elaboración de un documento más avanzado. Al momento, t</w:t>
      </w:r>
      <w:r w:rsidR="008479FE">
        <w:rPr>
          <w:rFonts w:ascii="Soberana Sans Light" w:hAnsi="Soberana Sans Light" w:cs="Arial"/>
        </w:rPr>
        <w:t xml:space="preserve">odavía </w:t>
      </w:r>
      <w:r w:rsidR="00045749">
        <w:rPr>
          <w:rFonts w:ascii="Soberana Sans Light" w:hAnsi="Soberana Sans Light" w:cs="Arial"/>
        </w:rPr>
        <w:t xml:space="preserve">existe una </w:t>
      </w:r>
      <w:r w:rsidR="003354AF">
        <w:rPr>
          <w:rFonts w:ascii="Soberana Sans Light" w:hAnsi="Soberana Sans Light" w:cs="Arial"/>
        </w:rPr>
        <w:t>gran cantidad de comentarios</w:t>
      </w:r>
      <w:r w:rsidR="008479FE">
        <w:rPr>
          <w:rFonts w:ascii="Soberana Sans Light" w:hAnsi="Soberana Sans Light" w:cs="Arial"/>
        </w:rPr>
        <w:t xml:space="preserve"> </w:t>
      </w:r>
      <w:r w:rsidR="00045749">
        <w:rPr>
          <w:rFonts w:ascii="Soberana Sans Light" w:hAnsi="Soberana Sans Light" w:cs="Arial"/>
        </w:rPr>
        <w:t>de los</w:t>
      </w:r>
      <w:r w:rsidR="008479FE">
        <w:rPr>
          <w:rFonts w:ascii="Soberana Sans Light" w:hAnsi="Soberana Sans Light" w:cs="Arial"/>
        </w:rPr>
        <w:t xml:space="preserve"> expertos del Foro en línea</w:t>
      </w:r>
      <w:r w:rsidR="00045749">
        <w:rPr>
          <w:rFonts w:ascii="Soberana Sans Light" w:hAnsi="Soberana Sans Light" w:cs="Arial"/>
        </w:rPr>
        <w:t xml:space="preserve"> que </w:t>
      </w:r>
      <w:r w:rsidR="008479FE">
        <w:rPr>
          <w:rFonts w:ascii="Soberana Sans Light" w:hAnsi="Soberana Sans Light" w:cs="Arial"/>
        </w:rPr>
        <w:t>están pendientes de ser integrados</w:t>
      </w:r>
      <w:r w:rsidR="003354AF">
        <w:rPr>
          <w:rFonts w:ascii="Soberana Sans Light" w:hAnsi="Soberana Sans Light" w:cs="Arial"/>
        </w:rPr>
        <w:t xml:space="preserve"> y que tienen la intención de dar mayor claridad </w:t>
      </w:r>
      <w:r>
        <w:rPr>
          <w:rFonts w:ascii="Soberana Sans Light" w:hAnsi="Soberana Sans Light" w:cs="Arial"/>
        </w:rPr>
        <w:t xml:space="preserve">a la guía </w:t>
      </w:r>
      <w:r w:rsidR="003354AF">
        <w:rPr>
          <w:rFonts w:ascii="Soberana Sans Light" w:hAnsi="Soberana Sans Light" w:cs="Arial"/>
        </w:rPr>
        <w:t>para el uso de la misma</w:t>
      </w:r>
      <w:r w:rsidR="00045749">
        <w:rPr>
          <w:rFonts w:ascii="Soberana Sans Light" w:hAnsi="Soberana Sans Light" w:cs="Arial"/>
        </w:rPr>
        <w:t>.</w:t>
      </w:r>
      <w:r w:rsidR="00B428BC">
        <w:rPr>
          <w:rFonts w:ascii="Soberana Sans Light" w:hAnsi="Soberana Sans Light" w:cs="Arial"/>
        </w:rPr>
        <w:t xml:space="preserve"> </w:t>
      </w:r>
      <w:r>
        <w:rPr>
          <w:rFonts w:ascii="Soberana Sans Light" w:hAnsi="Soberana Sans Light" w:cs="Arial"/>
        </w:rPr>
        <w:t>Los reguladores técnicos ponen de manifiesto que e</w:t>
      </w:r>
      <w:r w:rsidR="00B428BC">
        <w:rPr>
          <w:rFonts w:ascii="Soberana Sans Light" w:hAnsi="Soberana Sans Light" w:cs="Arial"/>
        </w:rPr>
        <w:t>sta guía no es la única disponible</w:t>
      </w:r>
      <w:r>
        <w:rPr>
          <w:rFonts w:ascii="Soberana Sans Light" w:hAnsi="Soberana Sans Light" w:cs="Arial"/>
        </w:rPr>
        <w:t>, por lo que además de la guía de orientación</w:t>
      </w:r>
      <w:r w:rsidR="00B428BC">
        <w:rPr>
          <w:rFonts w:ascii="Soberana Sans Light" w:hAnsi="Soberana Sans Light" w:cs="Arial"/>
        </w:rPr>
        <w:t xml:space="preserve"> y conforme </w:t>
      </w:r>
      <w:r w:rsidR="00B428BC" w:rsidRPr="00B428BC">
        <w:rPr>
          <w:rFonts w:ascii="Soberana Sans Light" w:hAnsi="Soberana Sans Light" w:cs="Arial"/>
        </w:rPr>
        <w:t>la decisión BS-VI-12 fracción 1, inciso a)</w:t>
      </w:r>
      <w:r>
        <w:rPr>
          <w:rStyle w:val="Refdenotaalpie"/>
          <w:rFonts w:ascii="Soberana Sans Light" w:hAnsi="Soberana Sans Light" w:cs="Arial"/>
        </w:rPr>
        <w:footnoteReference w:id="1"/>
      </w:r>
      <w:r>
        <w:rPr>
          <w:rFonts w:ascii="Soberana Sans Light" w:hAnsi="Soberana Sans Light" w:cs="Arial"/>
        </w:rPr>
        <w:t>, han tomado como referencia otras herramientas de información.</w:t>
      </w:r>
      <w:r w:rsidR="00B428BC" w:rsidRPr="00B428BC">
        <w:rPr>
          <w:rFonts w:ascii="Soberana Sans Light" w:hAnsi="Soberana Sans Light" w:cs="Arial"/>
        </w:rPr>
        <w:t xml:space="preserve"> </w:t>
      </w:r>
    </w:p>
    <w:p w:rsidR="008479FE" w:rsidRDefault="008479FE" w:rsidP="00045749">
      <w:pPr>
        <w:jc w:val="both"/>
        <w:rPr>
          <w:rFonts w:ascii="Soberana Sans Light" w:hAnsi="Soberana Sans Light" w:cs="Arial"/>
        </w:rPr>
      </w:pPr>
    </w:p>
    <w:p w:rsidR="008479FE" w:rsidRPr="00045749" w:rsidRDefault="008479FE" w:rsidP="00045749">
      <w:pPr>
        <w:jc w:val="both"/>
        <w:rPr>
          <w:rFonts w:ascii="Soberana Sans Light" w:hAnsi="Soberana Sans Light" w:cs="Arial"/>
        </w:rPr>
      </w:pPr>
      <w:r>
        <w:rPr>
          <w:rFonts w:ascii="Soberana Sans Light" w:hAnsi="Soberana Sans Light" w:cs="Arial"/>
        </w:rPr>
        <w:t>Actualmente, en México las diferentes instancias, según sus atribuciones, consideran de utilidad las siguientes guías:</w:t>
      </w:r>
    </w:p>
    <w:p w:rsidR="00045749" w:rsidRPr="00B428BC" w:rsidRDefault="00045749" w:rsidP="00045749">
      <w:pPr>
        <w:pStyle w:val="Prrafodelista"/>
        <w:ind w:left="1068" w:hanging="360"/>
        <w:rPr>
          <w:rFonts w:ascii="Soberana Sans Light" w:hAnsi="Soberana Sans Light" w:cs="Arial"/>
        </w:rPr>
      </w:pPr>
    </w:p>
    <w:p w:rsidR="00045749" w:rsidRPr="000A71A4" w:rsidRDefault="00045749" w:rsidP="000A71A4">
      <w:pPr>
        <w:pStyle w:val="Prrafodelista"/>
        <w:numPr>
          <w:ilvl w:val="0"/>
          <w:numId w:val="13"/>
        </w:numPr>
        <w:jc w:val="both"/>
        <w:rPr>
          <w:rFonts w:ascii="Soberana Sans Light" w:hAnsi="Soberana Sans Light"/>
        </w:rPr>
      </w:pPr>
      <w:r w:rsidRPr="000A71A4">
        <w:rPr>
          <w:rFonts w:ascii="Soberana Sans Light" w:hAnsi="Soberana Sans Light"/>
        </w:rPr>
        <w:t xml:space="preserve">Guía para la evaluación de Riesgo Ambiental de Organismos Genéticamente Modificados, </w:t>
      </w:r>
      <w:r w:rsidR="000A71A4" w:rsidRPr="000A71A4">
        <w:rPr>
          <w:rFonts w:ascii="Soberana Sans Light" w:hAnsi="Soberana Sans Light"/>
        </w:rPr>
        <w:t>De Andrade, P. P., W. Parrott y MM Roca. 2012</w:t>
      </w:r>
      <w:r w:rsidR="000A71A4">
        <w:rPr>
          <w:rFonts w:ascii="Soberana Sans Light" w:hAnsi="Soberana Sans Light"/>
        </w:rPr>
        <w:t xml:space="preserve">. </w:t>
      </w:r>
      <w:r w:rsidR="000A71A4" w:rsidRPr="000A71A4">
        <w:rPr>
          <w:rFonts w:ascii="Soberana Sans Light" w:hAnsi="Soberana Sans Light"/>
        </w:rPr>
        <w:t xml:space="preserve">Internacional </w:t>
      </w:r>
      <w:proofErr w:type="spellStart"/>
      <w:r w:rsidR="000A71A4" w:rsidRPr="000A71A4">
        <w:rPr>
          <w:rFonts w:ascii="Soberana Sans Light" w:hAnsi="Soberana Sans Light"/>
        </w:rPr>
        <w:t>Li</w:t>
      </w:r>
      <w:r w:rsidR="000A71A4">
        <w:rPr>
          <w:rFonts w:ascii="Soberana Sans Light" w:hAnsi="Soberana Sans Light"/>
        </w:rPr>
        <w:t>fe</w:t>
      </w:r>
      <w:proofErr w:type="spellEnd"/>
      <w:r w:rsidR="000A71A4">
        <w:rPr>
          <w:rFonts w:ascii="Soberana Sans Light" w:hAnsi="Soberana Sans Light"/>
        </w:rPr>
        <w:t xml:space="preserve"> </w:t>
      </w:r>
      <w:proofErr w:type="spellStart"/>
      <w:r w:rsidR="000A71A4">
        <w:rPr>
          <w:rFonts w:ascii="Soberana Sans Light" w:hAnsi="Soberana Sans Light"/>
        </w:rPr>
        <w:t>Sciences</w:t>
      </w:r>
      <w:proofErr w:type="spellEnd"/>
      <w:r w:rsidR="000A71A4">
        <w:rPr>
          <w:rFonts w:ascii="Soberana Sans Light" w:hAnsi="Soberana Sans Light"/>
        </w:rPr>
        <w:t xml:space="preserve"> Institute do Brasil</w:t>
      </w:r>
      <w:r w:rsidR="00642E6B">
        <w:rPr>
          <w:rFonts w:ascii="Soberana Sans Light" w:hAnsi="Soberana Sans Light"/>
        </w:rPr>
        <w:t xml:space="preserve"> </w:t>
      </w:r>
      <w:r w:rsidR="000A71A4">
        <w:rPr>
          <w:rFonts w:ascii="Soberana Sans Light" w:hAnsi="Soberana Sans Light"/>
        </w:rPr>
        <w:t>(</w:t>
      </w:r>
      <w:r w:rsidRPr="000A71A4">
        <w:rPr>
          <w:rFonts w:ascii="Soberana Sans Light" w:hAnsi="Soberana Sans Light"/>
        </w:rPr>
        <w:t>ILSI</w:t>
      </w:r>
      <w:r w:rsidR="000A71A4">
        <w:rPr>
          <w:rFonts w:ascii="Soberana Sans Light" w:hAnsi="Soberana Sans Light"/>
        </w:rPr>
        <w:t>)</w:t>
      </w:r>
    </w:p>
    <w:p w:rsidR="00045749" w:rsidRPr="00AD73E4" w:rsidRDefault="00045749" w:rsidP="000A71A4">
      <w:pPr>
        <w:pStyle w:val="Prrafodelista"/>
        <w:numPr>
          <w:ilvl w:val="0"/>
          <w:numId w:val="13"/>
        </w:numPr>
        <w:autoSpaceDE w:val="0"/>
        <w:autoSpaceDN w:val="0"/>
        <w:rPr>
          <w:rFonts w:ascii="Soberana Sans Light" w:hAnsi="Soberana Sans Light"/>
          <w:lang w:val="en-US"/>
        </w:rPr>
      </w:pPr>
      <w:r w:rsidRPr="00AD73E4">
        <w:rPr>
          <w:rFonts w:ascii="Soberana Sans Light" w:hAnsi="Soberana Sans Light"/>
          <w:lang w:val="en-US"/>
        </w:rPr>
        <w:t>Principles and Practice of Environmental Safety As</w:t>
      </w:r>
      <w:r w:rsidR="00CE29C2">
        <w:rPr>
          <w:rFonts w:ascii="Soberana Sans Light" w:hAnsi="Soberana Sans Light"/>
          <w:lang w:val="en-US"/>
        </w:rPr>
        <w:t xml:space="preserve">sessment of Transgenic Plants, </w:t>
      </w:r>
      <w:proofErr w:type="spellStart"/>
      <w:r w:rsidR="00CE29C2">
        <w:rPr>
          <w:rFonts w:ascii="Soberana Sans Light" w:hAnsi="Soberana Sans Light"/>
          <w:lang w:val="en-US"/>
        </w:rPr>
        <w:t>A</w:t>
      </w:r>
      <w:r w:rsidRPr="00AD73E4">
        <w:rPr>
          <w:rFonts w:ascii="Soberana Sans Light" w:hAnsi="Soberana Sans Light"/>
          <w:lang w:val="en-US"/>
        </w:rPr>
        <w:t>gbios</w:t>
      </w:r>
      <w:proofErr w:type="spellEnd"/>
      <w:r w:rsidRPr="00AD73E4">
        <w:rPr>
          <w:rFonts w:ascii="Soberana Sans Light" w:hAnsi="Soberana Sans Light"/>
          <w:lang w:val="en-US"/>
        </w:rPr>
        <w:t>, 2001</w:t>
      </w:r>
    </w:p>
    <w:p w:rsidR="00045749" w:rsidRPr="00AD73E4" w:rsidRDefault="00CE29C2" w:rsidP="000A71A4">
      <w:pPr>
        <w:pStyle w:val="Prrafodelista"/>
        <w:numPr>
          <w:ilvl w:val="0"/>
          <w:numId w:val="13"/>
        </w:numPr>
        <w:autoSpaceDE w:val="0"/>
        <w:autoSpaceDN w:val="0"/>
        <w:rPr>
          <w:rFonts w:ascii="Soberana Sans Light" w:hAnsi="Soberana Sans Light"/>
        </w:rPr>
      </w:pPr>
      <w:r>
        <w:rPr>
          <w:rFonts w:ascii="Soberana Sans Light" w:hAnsi="Soberana Sans Light"/>
        </w:rPr>
        <w:t>G</w:t>
      </w:r>
      <w:r w:rsidR="00045749" w:rsidRPr="00AD73E4">
        <w:rPr>
          <w:rFonts w:ascii="Soberana Sans Light" w:hAnsi="Soberana Sans Light"/>
        </w:rPr>
        <w:t xml:space="preserve">uías </w:t>
      </w:r>
      <w:r>
        <w:rPr>
          <w:rFonts w:ascii="Soberana Sans Light" w:hAnsi="Soberana Sans Light"/>
        </w:rPr>
        <w:t xml:space="preserve">elaboradas en el marco del Proyecto </w:t>
      </w:r>
      <w:r w:rsidR="00045749" w:rsidRPr="00AD73E4">
        <w:rPr>
          <w:rFonts w:ascii="Soberana Sans Light" w:hAnsi="Soberana Sans Light"/>
        </w:rPr>
        <w:t>LAC-Biosafety</w:t>
      </w:r>
      <w:r>
        <w:rPr>
          <w:rStyle w:val="Refdenotaalpie"/>
          <w:rFonts w:ascii="Soberana Sans Light" w:hAnsi="Soberana Sans Light"/>
        </w:rPr>
        <w:footnoteReference w:id="2"/>
      </w:r>
      <w:r w:rsidR="00045749" w:rsidRPr="00AD73E4">
        <w:rPr>
          <w:rFonts w:ascii="Soberana Sans Light" w:hAnsi="Soberana Sans Light"/>
        </w:rPr>
        <w:t xml:space="preserve">, </w:t>
      </w:r>
      <w:r>
        <w:rPr>
          <w:rFonts w:ascii="Soberana Sans Light" w:hAnsi="Soberana Sans Light"/>
        </w:rPr>
        <w:t xml:space="preserve">las cuales cuentan con la aportación </w:t>
      </w:r>
      <w:r w:rsidR="00045749" w:rsidRPr="00AD73E4">
        <w:rPr>
          <w:rFonts w:ascii="Soberana Sans Light" w:hAnsi="Soberana Sans Light"/>
        </w:rPr>
        <w:t>de diferen</w:t>
      </w:r>
      <w:r>
        <w:rPr>
          <w:rFonts w:ascii="Soberana Sans Light" w:hAnsi="Soberana Sans Light"/>
        </w:rPr>
        <w:t>tes países con estudios de caso</w:t>
      </w:r>
      <w:r w:rsidR="005A6765">
        <w:rPr>
          <w:rFonts w:ascii="Soberana Sans Light" w:hAnsi="Soberana Sans Light"/>
        </w:rPr>
        <w:t>. Las autoridades nacionales</w:t>
      </w:r>
      <w:r w:rsidR="00045749" w:rsidRPr="00AD73E4">
        <w:rPr>
          <w:rFonts w:ascii="Soberana Sans Light" w:hAnsi="Soberana Sans Light"/>
        </w:rPr>
        <w:t xml:space="preserve"> </w:t>
      </w:r>
      <w:r w:rsidR="005A6765">
        <w:rPr>
          <w:rFonts w:ascii="Soberana Sans Light" w:hAnsi="Soberana Sans Light"/>
        </w:rPr>
        <w:t>utilizan para la evaluación de riesgo de organismo no blanco.</w:t>
      </w:r>
    </w:p>
    <w:p w:rsidR="00AD73E4" w:rsidRPr="008479FE" w:rsidRDefault="00AD73E4" w:rsidP="000A71A4">
      <w:pPr>
        <w:pStyle w:val="Prrafodelista"/>
        <w:numPr>
          <w:ilvl w:val="0"/>
          <w:numId w:val="13"/>
        </w:numPr>
        <w:autoSpaceDE w:val="0"/>
        <w:autoSpaceDN w:val="0"/>
        <w:jc w:val="both"/>
        <w:rPr>
          <w:rFonts w:ascii="Soberana Sans Light" w:hAnsi="Soberana Sans Light"/>
        </w:rPr>
      </w:pPr>
      <w:r w:rsidRPr="008479FE">
        <w:rPr>
          <w:rFonts w:ascii="Soberana Sans Light" w:hAnsi="Soberana Sans Light"/>
        </w:rPr>
        <w:t>NIMF 11 Análisis de riesgo de plagas para plagas cuarentenarias, incluido el análisis de riesgos ambientales y organismos vivos modificados</w:t>
      </w:r>
      <w:r w:rsidR="005A6765">
        <w:rPr>
          <w:rFonts w:ascii="Soberana Sans Light" w:hAnsi="Soberana Sans Light"/>
        </w:rPr>
        <w:t>.</w:t>
      </w:r>
    </w:p>
    <w:p w:rsidR="00AD73E4" w:rsidRPr="008479FE" w:rsidRDefault="00AD73E4" w:rsidP="00AD73E4">
      <w:pPr>
        <w:jc w:val="both"/>
        <w:rPr>
          <w:rFonts w:ascii="Soberana Sans Light" w:hAnsi="Soberana Sans Light"/>
        </w:rPr>
      </w:pPr>
    </w:p>
    <w:p w:rsidR="00AD73E4" w:rsidRPr="000A71A4" w:rsidRDefault="000A71A4" w:rsidP="00AD73E4">
      <w:pPr>
        <w:jc w:val="both"/>
        <w:rPr>
          <w:rFonts w:ascii="Soberana Sans Light" w:hAnsi="Soberana Sans Light"/>
        </w:rPr>
      </w:pPr>
      <w:r w:rsidRPr="000A71A4">
        <w:rPr>
          <w:rFonts w:ascii="Soberana Sans Light" w:hAnsi="Soberana Sans Light"/>
        </w:rPr>
        <w:t xml:space="preserve">En la </w:t>
      </w:r>
      <w:r>
        <w:rPr>
          <w:rFonts w:ascii="Soberana Sans Light" w:hAnsi="Soberana Sans Light"/>
        </w:rPr>
        <w:t xml:space="preserve">experiencia particular de nuestro país para la </w:t>
      </w:r>
      <w:r w:rsidR="00AD73E4" w:rsidRPr="000A71A4">
        <w:rPr>
          <w:rFonts w:ascii="Soberana Sans Light" w:hAnsi="Soberana Sans Light"/>
        </w:rPr>
        <w:t xml:space="preserve">elaboración de la Norma de Evaluación de Riesgo </w:t>
      </w:r>
      <w:r w:rsidR="005A6765">
        <w:rPr>
          <w:rFonts w:ascii="Soberana Sans Light" w:hAnsi="Soberana Sans Light"/>
        </w:rPr>
        <w:t>que especifica</w:t>
      </w:r>
      <w:r w:rsidR="00680E21">
        <w:rPr>
          <w:rFonts w:ascii="Soberana Sans Light" w:hAnsi="Soberana Sans Light"/>
        </w:rPr>
        <w:t>n</w:t>
      </w:r>
      <w:r w:rsidR="005A6765">
        <w:rPr>
          <w:rFonts w:ascii="Soberana Sans Light" w:hAnsi="Soberana Sans Light"/>
        </w:rPr>
        <w:t xml:space="preserve"> l</w:t>
      </w:r>
      <w:r w:rsidR="00680E21">
        <w:rPr>
          <w:rFonts w:ascii="Soberana Sans Light" w:hAnsi="Soberana Sans Light"/>
        </w:rPr>
        <w:t>os</w:t>
      </w:r>
      <w:r w:rsidR="005A6765">
        <w:rPr>
          <w:rFonts w:ascii="Soberana Sans Light" w:hAnsi="Soberana Sans Light"/>
        </w:rPr>
        <w:t xml:space="preserve"> artículo</w:t>
      </w:r>
      <w:r w:rsidR="00680E21">
        <w:rPr>
          <w:rFonts w:ascii="Soberana Sans Light" w:hAnsi="Soberana Sans Light"/>
        </w:rPr>
        <w:t>s</w:t>
      </w:r>
      <w:r w:rsidR="005A6765">
        <w:rPr>
          <w:rFonts w:ascii="Soberana Sans Light" w:hAnsi="Soberana Sans Light"/>
        </w:rPr>
        <w:t xml:space="preserve"> 60</w:t>
      </w:r>
      <w:r w:rsidR="00680E21">
        <w:rPr>
          <w:rFonts w:ascii="Soberana Sans Light" w:hAnsi="Soberana Sans Light"/>
        </w:rPr>
        <w:t xml:space="preserve"> y 65</w:t>
      </w:r>
      <w:r w:rsidR="005A6765">
        <w:rPr>
          <w:rFonts w:ascii="Soberana Sans Light" w:hAnsi="Soberana Sans Light"/>
        </w:rPr>
        <w:t xml:space="preserve"> de la Ley de Bioseguridad, </w:t>
      </w:r>
      <w:r w:rsidR="00AD73E4" w:rsidRPr="000A71A4">
        <w:rPr>
          <w:rFonts w:ascii="Soberana Sans Light" w:hAnsi="Soberana Sans Light"/>
        </w:rPr>
        <w:t xml:space="preserve">se </w:t>
      </w:r>
      <w:r w:rsidR="00642E6B">
        <w:rPr>
          <w:rFonts w:ascii="Soberana Sans Light" w:hAnsi="Soberana Sans Light"/>
        </w:rPr>
        <w:t xml:space="preserve">consideraron elementos relevantes de </w:t>
      </w:r>
      <w:r w:rsidR="005A6765">
        <w:rPr>
          <w:rFonts w:ascii="Soberana Sans Light" w:hAnsi="Soberana Sans Light"/>
        </w:rPr>
        <w:t>las siguientes</w:t>
      </w:r>
      <w:r w:rsidR="00680E21">
        <w:rPr>
          <w:rFonts w:ascii="Soberana Sans Light" w:hAnsi="Soberana Sans Light"/>
        </w:rPr>
        <w:t xml:space="preserve"> guías</w:t>
      </w:r>
      <w:r w:rsidR="00AD73E4" w:rsidRPr="000A71A4">
        <w:rPr>
          <w:rFonts w:ascii="Soberana Sans Light" w:hAnsi="Soberana Sans Light"/>
        </w:rPr>
        <w:t>:</w:t>
      </w:r>
    </w:p>
    <w:p w:rsidR="00AD73E4" w:rsidRPr="000A71A4" w:rsidRDefault="00AD73E4" w:rsidP="00AD73E4">
      <w:pPr>
        <w:jc w:val="both"/>
        <w:rPr>
          <w:rFonts w:ascii="Soberana Sans Light" w:hAnsi="Soberana Sans Light"/>
        </w:rPr>
      </w:pPr>
    </w:p>
    <w:p w:rsidR="00642E6B" w:rsidRPr="00CB335F" w:rsidRDefault="00CB335F" w:rsidP="00677BCC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lang w:val="en-US"/>
        </w:rPr>
      </w:pPr>
      <w:r w:rsidRPr="00CB335F">
        <w:rPr>
          <w:rFonts w:ascii="Soberana Sans Light" w:hAnsi="Soberana Sans Light"/>
          <w:lang w:val="en-US"/>
        </w:rPr>
        <w:t>Risk Analysis Framework (2009)</w:t>
      </w:r>
      <w:r>
        <w:rPr>
          <w:rFonts w:ascii="Soberana Sans Light" w:hAnsi="Soberana Sans Light"/>
          <w:lang w:val="en-US"/>
        </w:rPr>
        <w:t>,</w:t>
      </w:r>
      <w:r w:rsidRPr="00CB335F">
        <w:rPr>
          <w:rFonts w:ascii="Soberana Sans Light" w:hAnsi="Soberana Sans Light"/>
          <w:lang w:val="en-US"/>
        </w:rPr>
        <w:t xml:space="preserve"> Of</w:t>
      </w:r>
      <w:r>
        <w:rPr>
          <w:rFonts w:ascii="Soberana Sans Light" w:hAnsi="Soberana Sans Light"/>
          <w:lang w:val="en-US"/>
        </w:rPr>
        <w:t>f</w:t>
      </w:r>
      <w:r w:rsidRPr="00CB335F">
        <w:rPr>
          <w:rFonts w:ascii="Soberana Sans Light" w:hAnsi="Soberana Sans Light"/>
          <w:lang w:val="en-US"/>
        </w:rPr>
        <w:t>ice of the Gene Technology Regulator</w:t>
      </w:r>
      <w:r>
        <w:rPr>
          <w:rFonts w:ascii="Soberana Sans Light" w:hAnsi="Soberana Sans Light"/>
          <w:lang w:val="en-US"/>
        </w:rPr>
        <w:t>. Australian Government Department of Health and Ageing. 106 p.</w:t>
      </w:r>
      <w:r w:rsidRPr="00CB335F">
        <w:rPr>
          <w:rFonts w:ascii="Soberana Sans Light" w:hAnsi="Soberana Sans Light"/>
          <w:lang w:val="en-US"/>
        </w:rPr>
        <w:t xml:space="preserve"> </w:t>
      </w:r>
    </w:p>
    <w:p w:rsidR="00AD73E4" w:rsidRPr="00CB335F" w:rsidRDefault="00AD73E4" w:rsidP="00677BCC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lang w:val="en-US"/>
        </w:rPr>
      </w:pPr>
      <w:r w:rsidRPr="00AD73E4">
        <w:rPr>
          <w:rFonts w:ascii="Soberana Sans Light" w:hAnsi="Soberana Sans Light"/>
          <w:lang w:val="en-US"/>
        </w:rPr>
        <w:t xml:space="preserve">Guidance on the environmental risk assessment of genetically modified plants. </w:t>
      </w:r>
      <w:r w:rsidRPr="00CB335F">
        <w:rPr>
          <w:rFonts w:ascii="Soberana Sans Light" w:hAnsi="Soberana Sans Light"/>
          <w:lang w:val="en-US"/>
        </w:rPr>
        <w:t>EFSA Journal 8(11): 1-111.</w:t>
      </w:r>
      <w:r w:rsidR="000A71A4" w:rsidRPr="00CB335F">
        <w:rPr>
          <w:rFonts w:ascii="Soberana Sans Light" w:hAnsi="Soberana Sans Light"/>
          <w:lang w:val="en-US"/>
        </w:rPr>
        <w:t xml:space="preserve"> 2010.</w:t>
      </w:r>
    </w:p>
    <w:p w:rsidR="00AD73E4" w:rsidRPr="00CB335F" w:rsidRDefault="00AD73E4" w:rsidP="00AD73E4">
      <w:pPr>
        <w:jc w:val="both"/>
        <w:rPr>
          <w:rFonts w:ascii="Soberana Sans Light" w:hAnsi="Soberana Sans Light"/>
          <w:lang w:val="en-US"/>
        </w:rPr>
      </w:pPr>
    </w:p>
    <w:p w:rsidR="00AD73E4" w:rsidRPr="00AC5EE2" w:rsidRDefault="000A71A4" w:rsidP="00677BCC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</w:rPr>
      </w:pPr>
      <w:r w:rsidRPr="00CB335F">
        <w:rPr>
          <w:rFonts w:ascii="Soberana Sans Light" w:hAnsi="Soberana Sans Light"/>
        </w:rPr>
        <w:t>Guía para la evaluación</w:t>
      </w:r>
      <w:r w:rsidRPr="000A71A4">
        <w:rPr>
          <w:rFonts w:ascii="Soberana Sans Light" w:hAnsi="Soberana Sans Light"/>
        </w:rPr>
        <w:t xml:space="preserve"> de riesgo ambiental de Organismos Genéticamente Modificados</w:t>
      </w:r>
      <w:r>
        <w:rPr>
          <w:rFonts w:ascii="Soberana Sans Light" w:hAnsi="Soberana Sans Light"/>
        </w:rPr>
        <w:t xml:space="preserve">. </w:t>
      </w:r>
      <w:r w:rsidR="00AD73E4" w:rsidRPr="00AC5EE2">
        <w:rPr>
          <w:rFonts w:ascii="Soberana Sans Light" w:hAnsi="Soberana Sans Light"/>
        </w:rPr>
        <w:t xml:space="preserve">De Andrade, P. </w:t>
      </w:r>
      <w:r w:rsidR="007F3FB1" w:rsidRPr="00AC5EE2">
        <w:rPr>
          <w:rFonts w:ascii="Soberana Sans Light" w:hAnsi="Soberana Sans Light"/>
        </w:rPr>
        <w:t>P., W. Parrott y MM Roca. 2012.</w:t>
      </w:r>
      <w:r w:rsidR="00AD73E4" w:rsidRPr="00AC5EE2">
        <w:rPr>
          <w:rFonts w:ascii="Soberana Sans Light" w:hAnsi="Soberana Sans Light"/>
        </w:rPr>
        <w:t xml:space="preserve"> 1era edición. </w:t>
      </w:r>
      <w:proofErr w:type="spellStart"/>
      <w:r w:rsidR="00AD73E4" w:rsidRPr="00AC5EE2">
        <w:rPr>
          <w:rFonts w:ascii="Soberana Sans Light" w:hAnsi="Soberana Sans Light"/>
        </w:rPr>
        <w:t>Sâo</w:t>
      </w:r>
      <w:proofErr w:type="spellEnd"/>
      <w:r w:rsidR="00AD73E4" w:rsidRPr="00AC5EE2">
        <w:rPr>
          <w:rFonts w:ascii="Soberana Sans Light" w:hAnsi="Soberana Sans Light"/>
        </w:rPr>
        <w:t xml:space="preserve"> Paulo: Internacional </w:t>
      </w:r>
      <w:proofErr w:type="spellStart"/>
      <w:r w:rsidR="00AD73E4" w:rsidRPr="00AC5EE2">
        <w:rPr>
          <w:rFonts w:ascii="Soberana Sans Light" w:hAnsi="Soberana Sans Light"/>
        </w:rPr>
        <w:t>Life</w:t>
      </w:r>
      <w:proofErr w:type="spellEnd"/>
      <w:r w:rsidR="00AD73E4" w:rsidRPr="00AC5EE2">
        <w:rPr>
          <w:rFonts w:ascii="Soberana Sans Light" w:hAnsi="Soberana Sans Light"/>
        </w:rPr>
        <w:t xml:space="preserve"> </w:t>
      </w:r>
      <w:proofErr w:type="spellStart"/>
      <w:r w:rsidR="00AD73E4" w:rsidRPr="00AC5EE2">
        <w:rPr>
          <w:rFonts w:ascii="Soberana Sans Light" w:hAnsi="Soberana Sans Light"/>
        </w:rPr>
        <w:t>Sciences</w:t>
      </w:r>
      <w:proofErr w:type="spellEnd"/>
      <w:r w:rsidR="00AD73E4" w:rsidRPr="00AC5EE2">
        <w:rPr>
          <w:rFonts w:ascii="Soberana Sans Light" w:hAnsi="Soberana Sans Light"/>
        </w:rPr>
        <w:t xml:space="preserve"> Institute do Brasil.</w:t>
      </w:r>
    </w:p>
    <w:p w:rsidR="00AD73E4" w:rsidRPr="00AC5EE2" w:rsidRDefault="00AD73E4" w:rsidP="00AD73E4">
      <w:pPr>
        <w:jc w:val="both"/>
        <w:rPr>
          <w:rFonts w:ascii="Soberana Sans Light" w:hAnsi="Soberana Sans Light"/>
        </w:rPr>
      </w:pPr>
    </w:p>
    <w:p w:rsidR="00AD73E4" w:rsidRPr="00D221A0" w:rsidRDefault="00AD73E4" w:rsidP="00677BCC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lang w:val="en-US"/>
        </w:rPr>
      </w:pPr>
      <w:r w:rsidRPr="00D221A0">
        <w:rPr>
          <w:rFonts w:ascii="Soberana Sans Light" w:hAnsi="Soberana Sans Light"/>
          <w:lang w:val="en-US"/>
        </w:rPr>
        <w:t>“Guidance on Risk Assessmen</w:t>
      </w:r>
      <w:r w:rsidR="005A6765">
        <w:rPr>
          <w:rFonts w:ascii="Soberana Sans Light" w:hAnsi="Soberana Sans Light"/>
          <w:lang w:val="en-US"/>
        </w:rPr>
        <w:t>t of Living Modified Organisms</w:t>
      </w:r>
      <w:r w:rsidRPr="00D221A0">
        <w:rPr>
          <w:rFonts w:ascii="Soberana Sans Light" w:hAnsi="Soberana Sans Light"/>
          <w:lang w:val="en-US"/>
        </w:rPr>
        <w:t>"</w:t>
      </w:r>
      <w:r w:rsidR="005A6765">
        <w:rPr>
          <w:rFonts w:ascii="Soberana Sans Light" w:hAnsi="Soberana Sans Light"/>
          <w:lang w:val="en-US"/>
        </w:rPr>
        <w:t xml:space="preserve">, </w:t>
      </w:r>
      <w:r w:rsidRPr="00D221A0">
        <w:rPr>
          <w:rFonts w:ascii="Soberana Sans Light" w:hAnsi="Soberana Sans Light"/>
          <w:lang w:val="en-US"/>
        </w:rPr>
        <w:t>Secretariat of the Convention on Biological Diversity, 2012.</w:t>
      </w:r>
    </w:p>
    <w:p w:rsidR="00AD73E4" w:rsidRDefault="00AD73E4" w:rsidP="00AD73E4">
      <w:pPr>
        <w:rPr>
          <w:rFonts w:ascii="Soberana Sans Light" w:hAnsi="Soberana Sans Light"/>
          <w:lang w:val="en-US"/>
        </w:rPr>
      </w:pPr>
    </w:p>
    <w:p w:rsidR="00966CA9" w:rsidRDefault="00966CA9" w:rsidP="001518F9">
      <w:pPr>
        <w:jc w:val="both"/>
        <w:rPr>
          <w:rFonts w:ascii="Soberana Sans Light" w:hAnsi="Soberana Sans Light"/>
        </w:rPr>
      </w:pPr>
      <w:r w:rsidRPr="00966CA9">
        <w:rPr>
          <w:rFonts w:ascii="Soberana Sans Light" w:hAnsi="Soberana Sans Light"/>
        </w:rPr>
        <w:lastRenderedPageBreak/>
        <w:t>C</w:t>
      </w:r>
      <w:r>
        <w:rPr>
          <w:rFonts w:ascii="Soberana Sans Light" w:hAnsi="Soberana Sans Light"/>
        </w:rPr>
        <w:t>on intención de aten</w:t>
      </w:r>
      <w:r w:rsidR="002D5A35">
        <w:rPr>
          <w:rFonts w:ascii="Soberana Sans Light" w:hAnsi="Soberana Sans Light"/>
        </w:rPr>
        <w:t>der el</w:t>
      </w:r>
      <w:r w:rsidRPr="00966CA9">
        <w:rPr>
          <w:rFonts w:ascii="Soberana Sans Light" w:hAnsi="Soberana Sans Light"/>
        </w:rPr>
        <w:t xml:space="preserve"> </w:t>
      </w:r>
      <w:r w:rsidR="001518F9">
        <w:rPr>
          <w:rFonts w:ascii="Soberana Sans Light" w:hAnsi="Soberana Sans Light"/>
        </w:rPr>
        <w:t xml:space="preserve">objetivo 2.2 </w:t>
      </w:r>
      <w:r w:rsidR="001518F9" w:rsidRPr="001518F9">
        <w:rPr>
          <w:rFonts w:ascii="Soberana Sans Light" w:hAnsi="Soberana Sans Light"/>
        </w:rPr>
        <w:t xml:space="preserve">Evaluación del riesgo y gestión del riesgo, </w:t>
      </w:r>
      <w:r w:rsidRPr="00966CA9">
        <w:rPr>
          <w:rFonts w:ascii="Soberana Sans Light" w:hAnsi="Soberana Sans Light"/>
        </w:rPr>
        <w:t>del Plan Estratégico</w:t>
      </w:r>
      <w:r w:rsidR="005A6765">
        <w:rPr>
          <w:rFonts w:ascii="Soberana Sans Light" w:hAnsi="Soberana Sans Light"/>
        </w:rPr>
        <w:t xml:space="preserve"> del Protocolo de Cartagena</w:t>
      </w:r>
      <w:r>
        <w:rPr>
          <w:rFonts w:ascii="Soberana Sans Light" w:hAnsi="Soberana Sans Light"/>
        </w:rPr>
        <w:t>, el país ha desarrollado materiales de capacitación</w:t>
      </w:r>
      <w:r w:rsidRPr="00966CA9">
        <w:rPr>
          <w:rFonts w:ascii="Soberana Sans Light" w:hAnsi="Soberana Sans Light"/>
        </w:rPr>
        <w:t xml:space="preserve"> y orientación técnica.</w:t>
      </w:r>
      <w:r>
        <w:rPr>
          <w:rFonts w:ascii="Soberana Sans Light" w:hAnsi="Soberana Sans Light"/>
        </w:rPr>
        <w:t xml:space="preserve"> Por tal razón se</w:t>
      </w:r>
      <w:r w:rsidRPr="00966CA9">
        <w:rPr>
          <w:rFonts w:ascii="Soberana Sans Light" w:hAnsi="Soberana Sans Light"/>
        </w:rPr>
        <w:t xml:space="preserve"> tienen las siguientes guías </w:t>
      </w:r>
      <w:r w:rsidR="007562FB">
        <w:rPr>
          <w:rFonts w:ascii="Soberana Sans Light" w:hAnsi="Soberana Sans Light"/>
        </w:rPr>
        <w:t xml:space="preserve">administrativas y </w:t>
      </w:r>
      <w:r w:rsidRPr="00966CA9">
        <w:rPr>
          <w:rFonts w:ascii="Soberana Sans Light" w:hAnsi="Soberana Sans Light"/>
        </w:rPr>
        <w:t>procedimentales</w:t>
      </w:r>
      <w:r w:rsidR="005A6765">
        <w:rPr>
          <w:rFonts w:ascii="Soberana Sans Light" w:hAnsi="Soberana Sans Light"/>
        </w:rPr>
        <w:t xml:space="preserve"> </w:t>
      </w:r>
      <w:r w:rsidR="007562FB">
        <w:rPr>
          <w:rFonts w:ascii="Soberana Sans Light" w:hAnsi="Soberana Sans Light"/>
        </w:rPr>
        <w:t xml:space="preserve">(documentos </w:t>
      </w:r>
      <w:r w:rsidR="005A6765">
        <w:rPr>
          <w:rFonts w:ascii="Soberana Sans Light" w:hAnsi="Soberana Sans Light"/>
        </w:rPr>
        <w:t>en español</w:t>
      </w:r>
      <w:r w:rsidR="007562FB">
        <w:rPr>
          <w:rFonts w:ascii="Soberana Sans Light" w:hAnsi="Soberana Sans Light"/>
        </w:rPr>
        <w:t>)</w:t>
      </w:r>
      <w:r w:rsidRPr="00966CA9">
        <w:rPr>
          <w:rFonts w:ascii="Soberana Sans Light" w:hAnsi="Soberana Sans Light"/>
        </w:rPr>
        <w:t xml:space="preserve">: </w:t>
      </w:r>
    </w:p>
    <w:p w:rsidR="001518F9" w:rsidRDefault="001518F9" w:rsidP="001518F9">
      <w:pPr>
        <w:jc w:val="both"/>
        <w:rPr>
          <w:rFonts w:ascii="Soberana Sans Light" w:hAnsi="Soberana Sans Light"/>
        </w:rPr>
      </w:pPr>
    </w:p>
    <w:p w:rsidR="00F30219" w:rsidRPr="00966CA9" w:rsidRDefault="00F30219" w:rsidP="001518F9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Guía de la </w:t>
      </w:r>
      <w:r w:rsidR="007562FB" w:rsidRPr="007562FB">
        <w:rPr>
          <w:rFonts w:ascii="Soberana Sans Light" w:hAnsi="Soberana Sans Light"/>
        </w:rPr>
        <w:t>Comisión Federal para la Protección contra Riesgos Sanitarios</w:t>
      </w:r>
      <w:r w:rsidR="007562FB">
        <w:rPr>
          <w:rFonts w:ascii="Soberana Sans Light" w:hAnsi="Soberana Sans Light"/>
        </w:rPr>
        <w:t>:</w:t>
      </w:r>
    </w:p>
    <w:p w:rsidR="005A6765" w:rsidRDefault="005A6765" w:rsidP="00966CA9">
      <w:pPr>
        <w:pStyle w:val="Prrafodelista"/>
        <w:numPr>
          <w:ilvl w:val="0"/>
          <w:numId w:val="16"/>
        </w:numPr>
        <w:spacing w:after="200" w:line="276" w:lineRule="auto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Procedimiento de evaluación de Inocuidad de Organismos Genéticamente Modificados destinados al uso o consumo humano, procesamiento de alimentos, biorremediación y salud pública. </w:t>
      </w:r>
    </w:p>
    <w:p w:rsidR="005A6765" w:rsidRDefault="00193EE2" w:rsidP="005A6765">
      <w:pPr>
        <w:pStyle w:val="Prrafodelista"/>
        <w:spacing w:after="200" w:line="276" w:lineRule="auto"/>
        <w:rPr>
          <w:rFonts w:ascii="Soberana Sans Light" w:hAnsi="Soberana Sans Light"/>
        </w:rPr>
      </w:pPr>
      <w:hyperlink r:id="rId9" w:history="1">
        <w:r w:rsidR="005A6765" w:rsidRPr="00710E4D">
          <w:rPr>
            <w:rStyle w:val="Hipervnculo"/>
            <w:rFonts w:ascii="Soberana Sans Light" w:hAnsi="Soberana Sans Light"/>
          </w:rPr>
          <w:t>http://www.cofepris.gob.mx/AZ/Documents/OGMs/protocolo_evaluacion_riesgo_ogms3.pdf</w:t>
        </w:r>
      </w:hyperlink>
    </w:p>
    <w:p w:rsidR="005A6765" w:rsidRDefault="005A6765" w:rsidP="00F30219">
      <w:pPr>
        <w:pStyle w:val="Prrafodelista"/>
        <w:spacing w:after="200" w:line="276" w:lineRule="auto"/>
        <w:ind w:left="0"/>
        <w:rPr>
          <w:rFonts w:ascii="Soberana Sans Light" w:hAnsi="Soberana Sans Light"/>
        </w:rPr>
      </w:pPr>
    </w:p>
    <w:p w:rsidR="00F30219" w:rsidRDefault="00F30219" w:rsidP="00F30219">
      <w:pPr>
        <w:pStyle w:val="Prrafodelista"/>
        <w:spacing w:after="200" w:line="276" w:lineRule="auto"/>
        <w:ind w:left="0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Guías del </w:t>
      </w:r>
      <w:r w:rsidR="007562FB" w:rsidRPr="007562FB">
        <w:rPr>
          <w:rFonts w:ascii="Soberana Sans Light" w:hAnsi="Soberana Sans Light"/>
        </w:rPr>
        <w:t>Servicio Nacional de Sanidad, Inocuidad y Calidad Agroalimentaria</w:t>
      </w:r>
      <w:r w:rsidR="00642E6B">
        <w:rPr>
          <w:rFonts w:ascii="Soberana Sans Light" w:hAnsi="Soberana Sans Light"/>
        </w:rPr>
        <w:t xml:space="preserve"> (SENASICA)</w:t>
      </w:r>
      <w:r w:rsidR="007562FB">
        <w:rPr>
          <w:rFonts w:ascii="Soberana Sans Light" w:hAnsi="Soberana Sans Light"/>
        </w:rPr>
        <w:t>:</w:t>
      </w:r>
    </w:p>
    <w:p w:rsidR="00966CA9" w:rsidRPr="00966CA9" w:rsidRDefault="00966CA9" w:rsidP="00966CA9">
      <w:pPr>
        <w:pStyle w:val="Prrafodelista"/>
        <w:numPr>
          <w:ilvl w:val="0"/>
          <w:numId w:val="16"/>
        </w:numPr>
        <w:spacing w:after="200" w:line="276" w:lineRule="auto"/>
        <w:rPr>
          <w:rFonts w:ascii="Soberana Sans Light" w:hAnsi="Soberana Sans Light"/>
        </w:rPr>
      </w:pPr>
      <w:r w:rsidRPr="00966CA9">
        <w:rPr>
          <w:rFonts w:ascii="Soberana Sans Light" w:hAnsi="Soberana Sans Light"/>
        </w:rPr>
        <w:t>Procedimiento de resolución de solitudes de permiso de</w:t>
      </w:r>
      <w:r w:rsidR="005A6765">
        <w:rPr>
          <w:rFonts w:ascii="Soberana Sans Light" w:hAnsi="Soberana Sans Light"/>
        </w:rPr>
        <w:t xml:space="preserve"> liberación al ambiente de OGM</w:t>
      </w:r>
      <w:r w:rsidRPr="00966CA9">
        <w:rPr>
          <w:rFonts w:ascii="Soberana Sans Light" w:hAnsi="Soberana Sans Light"/>
        </w:rPr>
        <w:t>.</w:t>
      </w:r>
    </w:p>
    <w:p w:rsidR="00966CA9" w:rsidRPr="00966CA9" w:rsidRDefault="00966CA9" w:rsidP="00966CA9">
      <w:pPr>
        <w:pStyle w:val="Prrafodelista"/>
        <w:numPr>
          <w:ilvl w:val="0"/>
          <w:numId w:val="16"/>
        </w:numPr>
        <w:spacing w:after="200" w:line="276" w:lineRule="auto"/>
        <w:rPr>
          <w:rFonts w:ascii="Soberana Sans Light" w:hAnsi="Soberana Sans Light"/>
        </w:rPr>
      </w:pPr>
      <w:r w:rsidRPr="00966CA9">
        <w:rPr>
          <w:rFonts w:ascii="Soberana Sans Light" w:hAnsi="Soberana Sans Light"/>
        </w:rPr>
        <w:t>Seguimiento, Inspección y Verificación de OGM.</w:t>
      </w:r>
    </w:p>
    <w:p w:rsidR="00966CA9" w:rsidRPr="00966CA9" w:rsidRDefault="00966CA9" w:rsidP="00966CA9">
      <w:pPr>
        <w:pStyle w:val="Prrafodelista"/>
        <w:numPr>
          <w:ilvl w:val="0"/>
          <w:numId w:val="16"/>
        </w:numPr>
        <w:spacing w:after="200" w:line="276" w:lineRule="auto"/>
        <w:rPr>
          <w:rFonts w:ascii="Soberana Sans Light" w:hAnsi="Soberana Sans Light"/>
        </w:rPr>
      </w:pPr>
      <w:r w:rsidRPr="00966CA9">
        <w:rPr>
          <w:rFonts w:ascii="Soberana Sans Light" w:hAnsi="Soberana Sans Light"/>
        </w:rPr>
        <w:t>Monitoreo de Especies Vegetales para detección de OGM.</w:t>
      </w:r>
    </w:p>
    <w:p w:rsidR="00966CA9" w:rsidRPr="00966CA9" w:rsidRDefault="00966CA9" w:rsidP="00966CA9">
      <w:pPr>
        <w:pStyle w:val="Prrafodelista"/>
        <w:numPr>
          <w:ilvl w:val="0"/>
          <w:numId w:val="16"/>
        </w:numPr>
        <w:spacing w:after="200" w:line="276" w:lineRule="auto"/>
        <w:rPr>
          <w:rFonts w:ascii="Soberana Sans Light" w:hAnsi="Soberana Sans Light"/>
        </w:rPr>
      </w:pPr>
      <w:r w:rsidRPr="00966CA9">
        <w:rPr>
          <w:rFonts w:ascii="Soberana Sans Light" w:hAnsi="Soberana Sans Light"/>
        </w:rPr>
        <w:t>Análisis de muestras para detección de OGM.</w:t>
      </w:r>
    </w:p>
    <w:p w:rsidR="00966CA9" w:rsidRPr="00966CA9" w:rsidRDefault="00966CA9" w:rsidP="00966CA9">
      <w:pPr>
        <w:pStyle w:val="Prrafodelista"/>
        <w:numPr>
          <w:ilvl w:val="0"/>
          <w:numId w:val="16"/>
        </w:numPr>
        <w:spacing w:after="200" w:line="276" w:lineRule="auto"/>
        <w:rPr>
          <w:rFonts w:ascii="Soberana Sans Light" w:hAnsi="Soberana Sans Light"/>
        </w:rPr>
      </w:pPr>
      <w:r w:rsidRPr="00966CA9">
        <w:rPr>
          <w:rFonts w:ascii="Soberana Sans Light" w:hAnsi="Soberana Sans Light"/>
        </w:rPr>
        <w:t xml:space="preserve">Monitoreo de resistencia de plagas en cultivos </w:t>
      </w:r>
      <w:proofErr w:type="spellStart"/>
      <w:r w:rsidRPr="00966CA9">
        <w:rPr>
          <w:rFonts w:ascii="Soberana Sans Light" w:hAnsi="Soberana Sans Light"/>
        </w:rPr>
        <w:t>GMs</w:t>
      </w:r>
      <w:proofErr w:type="spellEnd"/>
      <w:r w:rsidRPr="00966CA9">
        <w:rPr>
          <w:rFonts w:ascii="Soberana Sans Light" w:hAnsi="Soberana Sans Light"/>
        </w:rPr>
        <w:t>.</w:t>
      </w:r>
    </w:p>
    <w:p w:rsidR="00966CA9" w:rsidRPr="00966CA9" w:rsidRDefault="00966CA9" w:rsidP="007562FB">
      <w:pPr>
        <w:pStyle w:val="Prrafodelista"/>
        <w:numPr>
          <w:ilvl w:val="0"/>
          <w:numId w:val="16"/>
        </w:numPr>
        <w:rPr>
          <w:rFonts w:ascii="Soberana Sans Light" w:hAnsi="Soberana Sans Light"/>
        </w:rPr>
      </w:pPr>
      <w:r w:rsidRPr="00966CA9">
        <w:rPr>
          <w:rFonts w:ascii="Soberana Sans Light" w:hAnsi="Soberana Sans Light"/>
        </w:rPr>
        <w:t>Gestión de Avisos de Utilización Confinada de OGMs.</w:t>
      </w:r>
    </w:p>
    <w:p w:rsidR="00966CA9" w:rsidRDefault="00966CA9" w:rsidP="007562FB">
      <w:pPr>
        <w:ind w:left="360"/>
      </w:pPr>
      <w:r w:rsidRPr="001518F9">
        <w:rPr>
          <w:rFonts w:ascii="Soberana Sans Light" w:hAnsi="Soberana Sans Light"/>
        </w:rPr>
        <w:t xml:space="preserve">Las cuales pueden ser consultadas en el siguiente vínculo: </w:t>
      </w:r>
      <w:hyperlink r:id="rId10" w:history="1">
        <w:r w:rsidR="005A6765" w:rsidRPr="005A6765">
          <w:rPr>
            <w:rStyle w:val="Hipervnculo"/>
            <w:rFonts w:ascii="Soberana Sans Light" w:hAnsi="Soberana Sans Light"/>
          </w:rPr>
          <w:t>http://senasica.gob.mx/?id=4892</w:t>
        </w:r>
      </w:hyperlink>
    </w:p>
    <w:p w:rsidR="005A6765" w:rsidRDefault="005A6765" w:rsidP="005A6765">
      <w:pPr>
        <w:ind w:left="360"/>
        <w:rPr>
          <w:rFonts w:ascii="Times New Roman" w:hAnsi="Times New Roman" w:cs="Times New Roman"/>
        </w:rPr>
      </w:pPr>
    </w:p>
    <w:p w:rsidR="00F30219" w:rsidRDefault="00F30219" w:rsidP="00F30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Guías de la Comisión Nacional para el</w:t>
      </w:r>
      <w:r w:rsidR="007562FB">
        <w:rPr>
          <w:rFonts w:ascii="Times New Roman" w:hAnsi="Times New Roman" w:cs="Times New Roman"/>
        </w:rPr>
        <w:t xml:space="preserve"> Conocimiento y </w:t>
      </w:r>
      <w:r>
        <w:rPr>
          <w:rFonts w:ascii="Times New Roman" w:hAnsi="Times New Roman" w:cs="Times New Roman"/>
        </w:rPr>
        <w:t>Uso de la Biodiversidad:</w:t>
      </w:r>
    </w:p>
    <w:p w:rsidR="00F30219" w:rsidRPr="007562FB" w:rsidRDefault="007562FB" w:rsidP="007562FB">
      <w:pPr>
        <w:pStyle w:val="Prrafodelista"/>
        <w:numPr>
          <w:ilvl w:val="0"/>
          <w:numId w:val="19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Procedimiento administrativo del análisis de riesgo que realiza la CONABIO</w:t>
      </w:r>
    </w:p>
    <w:p w:rsidR="00966CA9" w:rsidRPr="007562FB" w:rsidRDefault="00193EE2" w:rsidP="007562FB">
      <w:pPr>
        <w:ind w:left="349" w:firstLine="359"/>
        <w:rPr>
          <w:rFonts w:ascii="Times New Roman" w:hAnsi="Times New Roman" w:cs="Times New Roman"/>
        </w:rPr>
      </w:pPr>
      <w:hyperlink r:id="rId11" w:history="1">
        <w:r w:rsidR="00966CA9" w:rsidRPr="007562FB">
          <w:rPr>
            <w:rStyle w:val="Hipervnculo"/>
            <w:rFonts w:ascii="Times New Roman" w:hAnsi="Times New Roman" w:cs="Times New Roman"/>
          </w:rPr>
          <w:t>http://www.conabio.gob.mx/conocimiento/bioseguridad/doctos/procedimiento.pdf</w:t>
        </w:r>
      </w:hyperlink>
      <w:r w:rsidR="00966CA9" w:rsidRPr="007562FB">
        <w:rPr>
          <w:rFonts w:ascii="Times New Roman" w:hAnsi="Times New Roman" w:cs="Times New Roman"/>
        </w:rPr>
        <w:t xml:space="preserve"> </w:t>
      </w:r>
    </w:p>
    <w:p w:rsidR="007562FB" w:rsidRPr="007562FB" w:rsidRDefault="007562FB" w:rsidP="007562FB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Criterios que toma como base la CONABIO</w:t>
      </w:r>
    </w:p>
    <w:p w:rsidR="00966CA9" w:rsidRPr="001518F9" w:rsidRDefault="00193EE2" w:rsidP="007562FB">
      <w:pPr>
        <w:pStyle w:val="Prrafodelista"/>
        <w:spacing w:after="200" w:line="276" w:lineRule="auto"/>
        <w:ind w:left="709"/>
        <w:rPr>
          <w:rFonts w:ascii="Times New Roman" w:hAnsi="Times New Roman" w:cs="Times New Roman"/>
        </w:rPr>
      </w:pPr>
      <w:hyperlink r:id="rId12" w:history="1">
        <w:r w:rsidR="00966CA9" w:rsidRPr="001518F9">
          <w:rPr>
            <w:rStyle w:val="Hipervnculo"/>
            <w:rFonts w:ascii="Times New Roman" w:hAnsi="Times New Roman" w:cs="Times New Roman"/>
          </w:rPr>
          <w:t>http://www.conabio.gob.mx/conocimiento/bioseguridad/doctos/manual_analisis.html</w:t>
        </w:r>
      </w:hyperlink>
      <w:r w:rsidR="00966CA9" w:rsidRPr="001518F9">
        <w:rPr>
          <w:rFonts w:ascii="Times New Roman" w:hAnsi="Times New Roman" w:cs="Times New Roman"/>
        </w:rPr>
        <w:t xml:space="preserve"> </w:t>
      </w:r>
    </w:p>
    <w:p w:rsidR="00AD73E4" w:rsidRPr="001518F9" w:rsidRDefault="00AD73E4" w:rsidP="000A3960">
      <w:pPr>
        <w:rPr>
          <w:rFonts w:ascii="Times New Roman" w:hAnsi="Times New Roman" w:cs="Times New Roman"/>
          <w:b/>
          <w:sz w:val="24"/>
          <w:szCs w:val="24"/>
        </w:rPr>
      </w:pPr>
    </w:p>
    <w:sectPr w:rsidR="00AD73E4" w:rsidRPr="001518F9" w:rsidSect="00972183">
      <w:headerReference w:type="default" r:id="rId13"/>
      <w:footerReference w:type="default" r:id="rId14"/>
      <w:pgSz w:w="12240" w:h="15840"/>
      <w:pgMar w:top="2085" w:right="1134" w:bottom="567" w:left="1276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E2" w:rsidRDefault="00193EE2" w:rsidP="00990B34">
      <w:r>
        <w:separator/>
      </w:r>
    </w:p>
  </w:endnote>
  <w:endnote w:type="continuationSeparator" w:id="0">
    <w:p w:rsidR="00193EE2" w:rsidRDefault="00193EE2" w:rsidP="009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charset w:val="00"/>
    <w:family w:val="auto"/>
    <w:pitch w:val="default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161734"/>
      <w:docPartObj>
        <w:docPartGallery w:val="Page Numbers (Bottom of Page)"/>
        <w:docPartUnique/>
      </w:docPartObj>
    </w:sdtPr>
    <w:sdtEndPr/>
    <w:sdtContent>
      <w:p w:rsidR="00A5023F" w:rsidRDefault="00A502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E21" w:rsidRPr="00680E21">
          <w:rPr>
            <w:noProof/>
            <w:lang w:val="es-ES"/>
          </w:rPr>
          <w:t>2</w:t>
        </w:r>
        <w:r>
          <w:fldChar w:fldCharType="end"/>
        </w:r>
      </w:p>
    </w:sdtContent>
  </w:sdt>
  <w:p w:rsidR="00A5023F" w:rsidRDefault="00A50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E2" w:rsidRDefault="00193EE2" w:rsidP="00990B34">
      <w:r>
        <w:separator/>
      </w:r>
    </w:p>
  </w:footnote>
  <w:footnote w:type="continuationSeparator" w:id="0">
    <w:p w:rsidR="00193EE2" w:rsidRDefault="00193EE2" w:rsidP="00990B34">
      <w:r>
        <w:continuationSeparator/>
      </w:r>
    </w:p>
  </w:footnote>
  <w:footnote w:id="1">
    <w:p w:rsidR="00CE29C2" w:rsidRDefault="00CE29C2">
      <w:pPr>
        <w:pStyle w:val="Textonotapie"/>
      </w:pPr>
      <w:r>
        <w:rPr>
          <w:rStyle w:val="Refdenotaalpie"/>
        </w:rPr>
        <w:footnoteRef/>
      </w:r>
      <w:r>
        <w:t xml:space="preserve"> D</w:t>
      </w:r>
      <w:r w:rsidRPr="00CE29C2">
        <w:rPr>
          <w:rFonts w:ascii="Soberana Sans Light" w:hAnsi="Soberana Sans Light" w:cs="Arial"/>
        </w:rPr>
        <w:t>ecisión BS-VI-12 fracción 1, inciso a)</w:t>
      </w:r>
      <w:r>
        <w:rPr>
          <w:rFonts w:ascii="Soberana Sans Light" w:hAnsi="Soberana Sans Light" w:cs="Arial"/>
        </w:rPr>
        <w:t>:</w:t>
      </w:r>
      <w:r w:rsidRPr="00CE29C2">
        <w:rPr>
          <w:rFonts w:ascii="Soberana Sans Light" w:hAnsi="Soberana Sans Light" w:cs="Arial"/>
        </w:rPr>
        <w:t xml:space="preserve"> </w:t>
      </w:r>
      <w:r>
        <w:rPr>
          <w:rFonts w:ascii="Soberana Sans Light" w:hAnsi="Soberana Sans Light" w:cs="Arial"/>
        </w:rPr>
        <w:t xml:space="preserve">La guía sobre evaluación de riesgo de </w:t>
      </w:r>
      <w:proofErr w:type="spellStart"/>
      <w:r>
        <w:rPr>
          <w:rFonts w:ascii="Soberana Sans Light" w:hAnsi="Soberana Sans Light" w:cs="Arial"/>
        </w:rPr>
        <w:t>OVMs</w:t>
      </w:r>
      <w:proofErr w:type="spellEnd"/>
      <w:r w:rsidRPr="00CE29C2">
        <w:t xml:space="preserve"> </w:t>
      </w:r>
      <w:r w:rsidRPr="00B428BC">
        <w:rPr>
          <w:rFonts w:ascii="Soberana Sans Light" w:hAnsi="Soberana Sans Light" w:cs="Arial"/>
        </w:rPr>
        <w:t>“no es de carácter preceptivo y no impone obligaciones a las Partes”</w:t>
      </w:r>
      <w:r>
        <w:rPr>
          <w:rFonts w:ascii="Soberana Sans Light" w:hAnsi="Soberana Sans Light" w:cs="Arial"/>
        </w:rPr>
        <w:t>.</w:t>
      </w:r>
    </w:p>
  </w:footnote>
  <w:footnote w:id="2">
    <w:p w:rsidR="00CE29C2" w:rsidRDefault="00CE29C2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AD73E4">
          <w:rPr>
            <w:rStyle w:val="Hipervnculo"/>
            <w:rFonts w:ascii="Soberana Sans Light" w:hAnsi="Soberana Sans Light"/>
          </w:rPr>
          <w:t>http://www.lacbiosafety.org/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D8" w:rsidRDefault="00C42016" w:rsidP="00687976">
    <w:pPr>
      <w:pStyle w:val="Encabezado"/>
      <w:jc w:val="right"/>
      <w:rPr>
        <w:rFonts w:ascii="Adobe Caslon Pro" w:hAnsi="Adobe Caslon Pro"/>
        <w:b/>
        <w:color w:val="777772"/>
        <w:sz w:val="18"/>
        <w:szCs w:val="18"/>
      </w:rPr>
    </w:pPr>
    <w:r>
      <w:rPr>
        <w:rFonts w:ascii="Adobe Caslon Pro" w:hAnsi="Adobe Caslon Pro"/>
        <w:noProof/>
        <w:color w:val="777772"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5476240</wp:posOffset>
          </wp:positionH>
          <wp:positionV relativeFrom="paragraph">
            <wp:posOffset>16510</wp:posOffset>
          </wp:positionV>
          <wp:extent cx="647700" cy="647700"/>
          <wp:effectExtent l="19050" t="0" r="0" b="0"/>
          <wp:wrapNone/>
          <wp:docPr id="6" name="Imagen 1" descr="D:\Usuarios\jgonzalezh\Mis documentos\Documentos-Rosita\Manual de identidad CIBIOGEM\Logotipo CIBIOGEM\JPG\CIBIOGEM_lg_vol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jgonzalezh\Mis documentos\Documentos-Rosita\Manual de identidad CIBIOGEM\Logotipo CIBIOGEM\JPG\CIBIOGEM_lg_vol_CMYK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FA4">
      <w:rPr>
        <w:rFonts w:ascii="Adobe Caslon Pro" w:hAnsi="Adobe Caslon Pro"/>
        <w:noProof/>
        <w:color w:val="777772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16510</wp:posOffset>
          </wp:positionV>
          <wp:extent cx="2276475" cy="647700"/>
          <wp:effectExtent l="19050" t="0" r="9525" b="0"/>
          <wp:wrapNone/>
          <wp:docPr id="3" name="3 Imagen" descr="Gobi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FA4" w:rsidRDefault="00CD5FA4" w:rsidP="00687976">
    <w:pPr>
      <w:pStyle w:val="Encabezado"/>
      <w:jc w:val="right"/>
      <w:rPr>
        <w:rFonts w:ascii="Adobe Caslon Pro" w:hAnsi="Adobe Caslon Pro"/>
        <w:b/>
        <w:color w:val="777772"/>
        <w:sz w:val="16"/>
        <w:szCs w:val="18"/>
      </w:rPr>
    </w:pPr>
  </w:p>
  <w:p w:rsidR="00CD5FA4" w:rsidRDefault="00CD5FA4" w:rsidP="00687976">
    <w:pPr>
      <w:pStyle w:val="Encabezado"/>
      <w:jc w:val="right"/>
      <w:rPr>
        <w:rFonts w:ascii="Adobe Caslon Pro" w:hAnsi="Adobe Caslon Pro"/>
        <w:b/>
        <w:color w:val="777772"/>
        <w:sz w:val="16"/>
        <w:szCs w:val="18"/>
      </w:rPr>
    </w:pPr>
  </w:p>
  <w:p w:rsidR="00CD5FA4" w:rsidRDefault="00CD5FA4" w:rsidP="00687976">
    <w:pPr>
      <w:pStyle w:val="Encabezado"/>
      <w:jc w:val="right"/>
      <w:rPr>
        <w:rFonts w:ascii="Adobe Caslon Pro" w:hAnsi="Adobe Caslon Pro"/>
        <w:b/>
        <w:color w:val="777772"/>
        <w:sz w:val="16"/>
        <w:szCs w:val="18"/>
      </w:rPr>
    </w:pPr>
  </w:p>
  <w:p w:rsidR="00800819" w:rsidRPr="00800819" w:rsidRDefault="00CD5FA4" w:rsidP="00687976">
    <w:pPr>
      <w:pStyle w:val="Encabezado"/>
      <w:jc w:val="right"/>
      <w:rPr>
        <w:rFonts w:ascii="Adobe Caslon Pro" w:hAnsi="Adobe Caslon Pro"/>
        <w:b/>
        <w:sz w:val="16"/>
        <w:szCs w:val="18"/>
      </w:rPr>
    </w:pPr>
    <w:r w:rsidRPr="00CD5FA4">
      <w:rPr>
        <w:rFonts w:ascii="Adobe Caslon Pro" w:hAnsi="Adobe Caslon Pro"/>
        <w:b/>
        <w:noProof/>
        <w:color w:val="777772"/>
        <w:sz w:val="16"/>
        <w:szCs w:val="18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342265</wp:posOffset>
          </wp:positionH>
          <wp:positionV relativeFrom="page">
            <wp:posOffset>3581400</wp:posOffset>
          </wp:positionV>
          <wp:extent cx="5446395" cy="5381625"/>
          <wp:effectExtent l="0" t="0" r="190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5" t="4732" r="3134" b="6151"/>
                  <a:stretch/>
                </pic:blipFill>
                <pic:spPr bwMode="auto">
                  <a:xfrm>
                    <a:off x="0" y="0"/>
                    <a:ext cx="5446395" cy="538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6B"/>
    <w:multiLevelType w:val="multilevel"/>
    <w:tmpl w:val="6BB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61969"/>
    <w:multiLevelType w:val="hybridMultilevel"/>
    <w:tmpl w:val="FB1E4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FD1"/>
    <w:multiLevelType w:val="hybridMultilevel"/>
    <w:tmpl w:val="92B81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7874"/>
    <w:multiLevelType w:val="hybridMultilevel"/>
    <w:tmpl w:val="5FBAC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A54"/>
    <w:multiLevelType w:val="hybridMultilevel"/>
    <w:tmpl w:val="76B0E0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F5145"/>
    <w:multiLevelType w:val="hybridMultilevel"/>
    <w:tmpl w:val="502AD33A"/>
    <w:lvl w:ilvl="0" w:tplc="60783082">
      <w:start w:val="1"/>
      <w:numFmt w:val="decimal"/>
      <w:lvlText w:val="%1."/>
      <w:lvlJc w:val="left"/>
      <w:pPr>
        <w:ind w:left="735" w:hanging="375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68E9"/>
    <w:multiLevelType w:val="hybridMultilevel"/>
    <w:tmpl w:val="913C51D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73D7"/>
    <w:multiLevelType w:val="hybridMultilevel"/>
    <w:tmpl w:val="7F3EED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288D"/>
    <w:multiLevelType w:val="hybridMultilevel"/>
    <w:tmpl w:val="EBDAA3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B65BD8"/>
    <w:multiLevelType w:val="hybridMultilevel"/>
    <w:tmpl w:val="F8D8034E"/>
    <w:lvl w:ilvl="0" w:tplc="15A826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7563"/>
    <w:multiLevelType w:val="hybridMultilevel"/>
    <w:tmpl w:val="7DEC4C7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690515"/>
    <w:multiLevelType w:val="hybridMultilevel"/>
    <w:tmpl w:val="B2D88D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616F7"/>
    <w:multiLevelType w:val="hybridMultilevel"/>
    <w:tmpl w:val="D57A5D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3C22"/>
    <w:multiLevelType w:val="hybridMultilevel"/>
    <w:tmpl w:val="FE28FB4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0575DAA"/>
    <w:multiLevelType w:val="hybridMultilevel"/>
    <w:tmpl w:val="39889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586267"/>
    <w:multiLevelType w:val="hybridMultilevel"/>
    <w:tmpl w:val="9DA0AE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8B37EC"/>
    <w:multiLevelType w:val="hybridMultilevel"/>
    <w:tmpl w:val="2BA6CE26"/>
    <w:lvl w:ilvl="0" w:tplc="08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5F3824F4"/>
    <w:multiLevelType w:val="hybridMultilevel"/>
    <w:tmpl w:val="BFF81BC0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0157E6"/>
    <w:multiLevelType w:val="hybridMultilevel"/>
    <w:tmpl w:val="E3C21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67D9B"/>
    <w:multiLevelType w:val="hybridMultilevel"/>
    <w:tmpl w:val="F64A3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4"/>
    <w:rsid w:val="00045749"/>
    <w:rsid w:val="000552DB"/>
    <w:rsid w:val="00061AF4"/>
    <w:rsid w:val="00071B49"/>
    <w:rsid w:val="00096539"/>
    <w:rsid w:val="000A3960"/>
    <w:rsid w:val="000A71A4"/>
    <w:rsid w:val="000D3A95"/>
    <w:rsid w:val="000E0B8F"/>
    <w:rsid w:val="00136F21"/>
    <w:rsid w:val="001518F9"/>
    <w:rsid w:val="00154D20"/>
    <w:rsid w:val="0016490C"/>
    <w:rsid w:val="00185866"/>
    <w:rsid w:val="00185ADD"/>
    <w:rsid w:val="00193EE2"/>
    <w:rsid w:val="001C1E30"/>
    <w:rsid w:val="001D1BA2"/>
    <w:rsid w:val="002369C9"/>
    <w:rsid w:val="002410D8"/>
    <w:rsid w:val="002621FC"/>
    <w:rsid w:val="00267F80"/>
    <w:rsid w:val="002D5A35"/>
    <w:rsid w:val="002D76A5"/>
    <w:rsid w:val="002F4A69"/>
    <w:rsid w:val="003158E2"/>
    <w:rsid w:val="0032233A"/>
    <w:rsid w:val="00334613"/>
    <w:rsid w:val="003354AF"/>
    <w:rsid w:val="00337615"/>
    <w:rsid w:val="0035501C"/>
    <w:rsid w:val="0035649E"/>
    <w:rsid w:val="0036424E"/>
    <w:rsid w:val="003766BE"/>
    <w:rsid w:val="003B61CB"/>
    <w:rsid w:val="003F5C01"/>
    <w:rsid w:val="00437262"/>
    <w:rsid w:val="0043784F"/>
    <w:rsid w:val="004477CC"/>
    <w:rsid w:val="004560FB"/>
    <w:rsid w:val="004563C9"/>
    <w:rsid w:val="004717F5"/>
    <w:rsid w:val="0049135D"/>
    <w:rsid w:val="00496B54"/>
    <w:rsid w:val="004A5D47"/>
    <w:rsid w:val="004B1CCD"/>
    <w:rsid w:val="004C5A73"/>
    <w:rsid w:val="004E7E17"/>
    <w:rsid w:val="004F4A77"/>
    <w:rsid w:val="00512D5D"/>
    <w:rsid w:val="005263C6"/>
    <w:rsid w:val="00542622"/>
    <w:rsid w:val="0054760A"/>
    <w:rsid w:val="00552862"/>
    <w:rsid w:val="00571041"/>
    <w:rsid w:val="00580CCC"/>
    <w:rsid w:val="005A6765"/>
    <w:rsid w:val="005E2DAE"/>
    <w:rsid w:val="00625614"/>
    <w:rsid w:val="00642E6B"/>
    <w:rsid w:val="00651A2A"/>
    <w:rsid w:val="00675435"/>
    <w:rsid w:val="00677BCC"/>
    <w:rsid w:val="00680E21"/>
    <w:rsid w:val="00681382"/>
    <w:rsid w:val="00682517"/>
    <w:rsid w:val="00687976"/>
    <w:rsid w:val="006B45DF"/>
    <w:rsid w:val="006C3805"/>
    <w:rsid w:val="006D0352"/>
    <w:rsid w:val="006E7DEC"/>
    <w:rsid w:val="006F4593"/>
    <w:rsid w:val="007542B9"/>
    <w:rsid w:val="007562FB"/>
    <w:rsid w:val="007579FC"/>
    <w:rsid w:val="00770D53"/>
    <w:rsid w:val="007A00C0"/>
    <w:rsid w:val="007B4F08"/>
    <w:rsid w:val="007B76F1"/>
    <w:rsid w:val="007C5343"/>
    <w:rsid w:val="007F25DD"/>
    <w:rsid w:val="007F3FB1"/>
    <w:rsid w:val="00800819"/>
    <w:rsid w:val="00835CA4"/>
    <w:rsid w:val="00846D49"/>
    <w:rsid w:val="008479FE"/>
    <w:rsid w:val="008A21C7"/>
    <w:rsid w:val="00901E5C"/>
    <w:rsid w:val="00936B9E"/>
    <w:rsid w:val="00966CA9"/>
    <w:rsid w:val="00967A12"/>
    <w:rsid w:val="00972183"/>
    <w:rsid w:val="00972CF6"/>
    <w:rsid w:val="0098715E"/>
    <w:rsid w:val="00990B34"/>
    <w:rsid w:val="009947BC"/>
    <w:rsid w:val="00994B59"/>
    <w:rsid w:val="00995206"/>
    <w:rsid w:val="009952BA"/>
    <w:rsid w:val="009C1339"/>
    <w:rsid w:val="009E4DCD"/>
    <w:rsid w:val="00A23085"/>
    <w:rsid w:val="00A37123"/>
    <w:rsid w:val="00A44228"/>
    <w:rsid w:val="00A45E1A"/>
    <w:rsid w:val="00A5023F"/>
    <w:rsid w:val="00A506B7"/>
    <w:rsid w:val="00A5127A"/>
    <w:rsid w:val="00A56666"/>
    <w:rsid w:val="00A632B5"/>
    <w:rsid w:val="00A80140"/>
    <w:rsid w:val="00A9175C"/>
    <w:rsid w:val="00AC5EE2"/>
    <w:rsid w:val="00AD2228"/>
    <w:rsid w:val="00AD73E4"/>
    <w:rsid w:val="00AE707D"/>
    <w:rsid w:val="00B15782"/>
    <w:rsid w:val="00B175E2"/>
    <w:rsid w:val="00B27CC6"/>
    <w:rsid w:val="00B32D9A"/>
    <w:rsid w:val="00B428BC"/>
    <w:rsid w:val="00B72D7D"/>
    <w:rsid w:val="00B74657"/>
    <w:rsid w:val="00BA2057"/>
    <w:rsid w:val="00BB193E"/>
    <w:rsid w:val="00BC1FDB"/>
    <w:rsid w:val="00BF5763"/>
    <w:rsid w:val="00C00CE4"/>
    <w:rsid w:val="00C266D8"/>
    <w:rsid w:val="00C42016"/>
    <w:rsid w:val="00C56080"/>
    <w:rsid w:val="00C67A12"/>
    <w:rsid w:val="00CB335F"/>
    <w:rsid w:val="00CC0AC3"/>
    <w:rsid w:val="00CD5FA4"/>
    <w:rsid w:val="00CE1FDE"/>
    <w:rsid w:val="00CE29C2"/>
    <w:rsid w:val="00D12AEC"/>
    <w:rsid w:val="00D216DC"/>
    <w:rsid w:val="00D221A0"/>
    <w:rsid w:val="00D340F7"/>
    <w:rsid w:val="00D45A8A"/>
    <w:rsid w:val="00D45BB0"/>
    <w:rsid w:val="00DD18A4"/>
    <w:rsid w:val="00DD7FAA"/>
    <w:rsid w:val="00DF3A66"/>
    <w:rsid w:val="00E13934"/>
    <w:rsid w:val="00E17015"/>
    <w:rsid w:val="00E3501F"/>
    <w:rsid w:val="00E662C5"/>
    <w:rsid w:val="00E93E9A"/>
    <w:rsid w:val="00EA76C3"/>
    <w:rsid w:val="00EC2071"/>
    <w:rsid w:val="00ED1409"/>
    <w:rsid w:val="00F00DB8"/>
    <w:rsid w:val="00F02ADA"/>
    <w:rsid w:val="00F13FD7"/>
    <w:rsid w:val="00F20D36"/>
    <w:rsid w:val="00F2615C"/>
    <w:rsid w:val="00F2759D"/>
    <w:rsid w:val="00F30219"/>
    <w:rsid w:val="00F312DC"/>
    <w:rsid w:val="00F41390"/>
    <w:rsid w:val="00F5046C"/>
    <w:rsid w:val="00F57D2C"/>
    <w:rsid w:val="00F639B4"/>
    <w:rsid w:val="00F741E4"/>
    <w:rsid w:val="00F83CED"/>
    <w:rsid w:val="00FA759F"/>
    <w:rsid w:val="00FE2FC7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D"/>
  </w:style>
  <w:style w:type="paragraph" w:styleId="Ttulo1">
    <w:name w:val="heading 1"/>
    <w:basedOn w:val="Normal"/>
    <w:next w:val="Normal"/>
    <w:link w:val="Ttulo1Car"/>
    <w:uiPriority w:val="9"/>
    <w:qFormat/>
    <w:rsid w:val="0049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</w:pPr>
    <w:rPr>
      <w:rFonts w:eastAsiaTheme="minorEastAsia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  <w:ind w:left="220"/>
    </w:pPr>
    <w:rPr>
      <w:rFonts w:eastAsiaTheme="minorEastAsia"/>
      <w:lang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  <w:ind w:left="440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49135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135D"/>
    <w:pPr>
      <w:spacing w:line="276" w:lineRule="auto"/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B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0B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B34"/>
  </w:style>
  <w:style w:type="paragraph" w:styleId="Piedepgina">
    <w:name w:val="footer"/>
    <w:basedOn w:val="Normal"/>
    <w:link w:val="PiedepginaCar"/>
    <w:uiPriority w:val="99"/>
    <w:unhideWhenUsed/>
    <w:rsid w:val="00990B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B34"/>
  </w:style>
  <w:style w:type="character" w:styleId="Hipervnculo">
    <w:name w:val="Hyperlink"/>
    <w:basedOn w:val="Fuentedeprrafopredeter"/>
    <w:rsid w:val="00D45A8A"/>
    <w:rPr>
      <w:color w:val="2552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0E0B8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E0B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0B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DB8"/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DB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972CF6"/>
    <w:rPr>
      <w:i/>
      <w:iCs/>
    </w:rPr>
  </w:style>
  <w:style w:type="character" w:styleId="Textoennegrita">
    <w:name w:val="Strong"/>
    <w:basedOn w:val="Fuentedeprrafopredeter"/>
    <w:uiPriority w:val="22"/>
    <w:qFormat/>
    <w:rsid w:val="00972CF6"/>
    <w:rPr>
      <w:b/>
      <w:bCs/>
    </w:rPr>
  </w:style>
  <w:style w:type="paragraph" w:customStyle="1" w:styleId="Default">
    <w:name w:val="Default"/>
    <w:basedOn w:val="Normal"/>
    <w:rsid w:val="00AD73E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9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9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29C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D"/>
  </w:style>
  <w:style w:type="paragraph" w:styleId="Ttulo1">
    <w:name w:val="heading 1"/>
    <w:basedOn w:val="Normal"/>
    <w:next w:val="Normal"/>
    <w:link w:val="Ttulo1Car"/>
    <w:uiPriority w:val="9"/>
    <w:qFormat/>
    <w:rsid w:val="0049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</w:pPr>
    <w:rPr>
      <w:rFonts w:eastAsiaTheme="minorEastAsia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  <w:ind w:left="220"/>
    </w:pPr>
    <w:rPr>
      <w:rFonts w:eastAsiaTheme="minorEastAsia"/>
      <w:lang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9135D"/>
    <w:pPr>
      <w:spacing w:after="100" w:line="276" w:lineRule="auto"/>
      <w:ind w:left="440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49135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135D"/>
    <w:pPr>
      <w:spacing w:line="276" w:lineRule="auto"/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B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0B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B34"/>
  </w:style>
  <w:style w:type="paragraph" w:styleId="Piedepgina">
    <w:name w:val="footer"/>
    <w:basedOn w:val="Normal"/>
    <w:link w:val="PiedepginaCar"/>
    <w:uiPriority w:val="99"/>
    <w:unhideWhenUsed/>
    <w:rsid w:val="00990B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B34"/>
  </w:style>
  <w:style w:type="character" w:styleId="Hipervnculo">
    <w:name w:val="Hyperlink"/>
    <w:basedOn w:val="Fuentedeprrafopredeter"/>
    <w:rsid w:val="00D45A8A"/>
    <w:rPr>
      <w:color w:val="2552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0E0B8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E0B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0B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DB8"/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DB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972CF6"/>
    <w:rPr>
      <w:i/>
      <w:iCs/>
    </w:rPr>
  </w:style>
  <w:style w:type="character" w:styleId="Textoennegrita">
    <w:name w:val="Strong"/>
    <w:basedOn w:val="Fuentedeprrafopredeter"/>
    <w:uiPriority w:val="22"/>
    <w:qFormat/>
    <w:rsid w:val="00972CF6"/>
    <w:rPr>
      <w:b/>
      <w:bCs/>
    </w:rPr>
  </w:style>
  <w:style w:type="paragraph" w:customStyle="1" w:styleId="Default">
    <w:name w:val="Default"/>
    <w:basedOn w:val="Normal"/>
    <w:rsid w:val="00AD73E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9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9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29C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6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8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8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8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abio.gob.mx/conocimiento/bioseguridad/doctos/manual_analisi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abio.gob.mx/conocimiento/bioseguridad/doctos/procedimiento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nasica.gob.mx/?id=48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fepris.gob.mx/AZ/Documents/OGMs/protocolo_evaluacion_riesgo_ogms3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biosafety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AC46-8204-4510-8AB1-5825C155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sortiz</dc:creator>
  <cp:lastModifiedBy>Natalhie Campos Reales Pineda</cp:lastModifiedBy>
  <cp:revision>3</cp:revision>
  <cp:lastPrinted>2013-05-09T19:37:00Z</cp:lastPrinted>
  <dcterms:created xsi:type="dcterms:W3CDTF">2016-06-01T00:23:00Z</dcterms:created>
  <dcterms:modified xsi:type="dcterms:W3CDTF">2016-06-01T00:33:00Z</dcterms:modified>
</cp:coreProperties>
</file>