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7E" w:rsidRDefault="00630B7E" w:rsidP="00630B7E">
      <w:pPr>
        <w:spacing w:after="0"/>
        <w:rPr>
          <w:sz w:val="16"/>
          <w:szCs w:val="16"/>
        </w:rPr>
      </w:pPr>
      <w:r w:rsidRPr="00630B7E">
        <w:rPr>
          <w:noProof/>
          <w:sz w:val="16"/>
          <w:szCs w:val="16"/>
        </w:rPr>
        <w:drawing>
          <wp:anchor distT="0" distB="0" distL="114300" distR="114300" simplePos="0" relativeHeight="251658240" behindDoc="1" locked="0" layoutInCell="1" allowOverlap="1" wp14:anchorId="4B494A8F" wp14:editId="55BE27FD">
            <wp:simplePos x="0" y="0"/>
            <wp:positionH relativeFrom="margin">
              <wp:posOffset>-600075</wp:posOffset>
            </wp:positionH>
            <wp:positionV relativeFrom="paragraph">
              <wp:posOffset>-228488</wp:posOffset>
            </wp:positionV>
            <wp:extent cx="7134225" cy="8406130"/>
            <wp:effectExtent l="0" t="0" r="9525" b="0"/>
            <wp:wrapNone/>
            <wp:docPr id="1" name="Picture 1" descr="E:\Mauritania\lnlnl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uritania\lnlnln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34225" cy="8406130"/>
                    </a:xfrm>
                    <a:prstGeom prst="rect">
                      <a:avLst/>
                    </a:prstGeom>
                    <a:noFill/>
                    <a:ln>
                      <a:noFill/>
                    </a:ln>
                  </pic:spPr>
                </pic:pic>
              </a:graphicData>
            </a:graphic>
            <wp14:sizeRelH relativeFrom="margin">
              <wp14:pctWidth>0</wp14:pctWidth>
            </wp14:sizeRelH>
          </wp:anchor>
        </w:drawing>
      </w:r>
    </w:p>
    <w:p w:rsidR="00630B7E" w:rsidRDefault="00630B7E" w:rsidP="00630B7E">
      <w:pPr>
        <w:spacing w:after="0"/>
        <w:rPr>
          <w:sz w:val="16"/>
          <w:szCs w:val="16"/>
        </w:rPr>
      </w:pPr>
    </w:p>
    <w:p w:rsidR="00630B7E" w:rsidRDefault="00630B7E" w:rsidP="00630B7E">
      <w:pPr>
        <w:spacing w:after="0"/>
        <w:rPr>
          <w:sz w:val="16"/>
          <w:szCs w:val="16"/>
        </w:rPr>
      </w:pPr>
    </w:p>
    <w:p w:rsidR="009B6176" w:rsidRDefault="009B6176" w:rsidP="00630B7E">
      <w:pPr>
        <w:spacing w:after="0"/>
        <w:rPr>
          <w:sz w:val="16"/>
          <w:szCs w:val="16"/>
        </w:rPr>
      </w:pPr>
    </w:p>
    <w:p w:rsidR="00630B7E" w:rsidRDefault="00630B7E" w:rsidP="00630B7E">
      <w:pPr>
        <w:spacing w:after="0"/>
        <w:rPr>
          <w:sz w:val="16"/>
          <w:szCs w:val="16"/>
        </w:rPr>
      </w:pPr>
    </w:p>
    <w:p w:rsidR="00630B7E" w:rsidRDefault="00630B7E" w:rsidP="00630B7E">
      <w:pPr>
        <w:spacing w:after="0"/>
        <w:rPr>
          <w:sz w:val="16"/>
          <w:szCs w:val="16"/>
        </w:rPr>
      </w:pPr>
    </w:p>
    <w:p w:rsidR="00630B7E" w:rsidRDefault="00630B7E" w:rsidP="00630B7E">
      <w:pPr>
        <w:spacing w:after="0"/>
        <w:rPr>
          <w:sz w:val="16"/>
          <w:szCs w:val="16"/>
        </w:rPr>
      </w:pPr>
    </w:p>
    <w:p w:rsidR="00630B7E" w:rsidRDefault="00630B7E" w:rsidP="00630B7E">
      <w:pPr>
        <w:spacing w:after="0"/>
        <w:rPr>
          <w:sz w:val="16"/>
          <w:szCs w:val="16"/>
        </w:rPr>
      </w:pPr>
    </w:p>
    <w:p w:rsidR="00630B7E" w:rsidRDefault="00630B7E" w:rsidP="00630B7E">
      <w:pPr>
        <w:spacing w:after="0"/>
        <w:rPr>
          <w:sz w:val="16"/>
          <w:szCs w:val="16"/>
        </w:rPr>
      </w:pPr>
    </w:p>
    <w:p w:rsidR="00630B7E" w:rsidRDefault="00630B7E" w:rsidP="00630B7E">
      <w:pPr>
        <w:spacing w:after="0"/>
        <w:rPr>
          <w:sz w:val="16"/>
          <w:szCs w:val="16"/>
        </w:rPr>
      </w:pPr>
    </w:p>
    <w:p w:rsidR="00630B7E" w:rsidRPr="00932455" w:rsidRDefault="00630B7E" w:rsidP="00932455">
      <w:pPr>
        <w:spacing w:after="0"/>
        <w:rPr>
          <w:sz w:val="16"/>
          <w:szCs w:val="16"/>
        </w:rPr>
      </w:pPr>
      <w:r w:rsidRPr="00932455">
        <w:rPr>
          <w:sz w:val="16"/>
          <w:szCs w:val="16"/>
        </w:rPr>
        <w:t xml:space="preserve">           </w:t>
      </w:r>
    </w:p>
    <w:p w:rsidR="00630B7E" w:rsidRPr="00932455" w:rsidRDefault="00630B7E" w:rsidP="00630B7E">
      <w:pPr>
        <w:spacing w:after="0"/>
        <w:rPr>
          <w:sz w:val="16"/>
          <w:szCs w:val="16"/>
        </w:rPr>
      </w:pPr>
    </w:p>
    <w:p w:rsidR="00630B7E" w:rsidRPr="00932455" w:rsidRDefault="00630B7E" w:rsidP="00630B7E">
      <w:pPr>
        <w:spacing w:after="0"/>
        <w:rPr>
          <w:sz w:val="16"/>
          <w:szCs w:val="16"/>
        </w:rPr>
      </w:pPr>
    </w:p>
    <w:p w:rsidR="00630B7E" w:rsidRPr="00932455" w:rsidRDefault="00630B7E" w:rsidP="00630B7E">
      <w:pPr>
        <w:spacing w:after="0"/>
        <w:rPr>
          <w:sz w:val="16"/>
          <w:szCs w:val="16"/>
        </w:rPr>
      </w:pPr>
    </w:p>
    <w:p w:rsidR="00630B7E" w:rsidRPr="00932455" w:rsidRDefault="00630B7E" w:rsidP="00630B7E">
      <w:pPr>
        <w:spacing w:after="0"/>
        <w:rPr>
          <w:sz w:val="16"/>
          <w:szCs w:val="16"/>
        </w:rPr>
      </w:pPr>
    </w:p>
    <w:p w:rsidR="00630B7E" w:rsidRPr="00932455" w:rsidRDefault="00630B7E" w:rsidP="00630B7E">
      <w:pPr>
        <w:spacing w:after="0"/>
        <w:rPr>
          <w:sz w:val="16"/>
          <w:szCs w:val="16"/>
        </w:rPr>
      </w:pPr>
    </w:p>
    <w:p w:rsidR="00630B7E" w:rsidRPr="00932455" w:rsidRDefault="00630B7E" w:rsidP="00932455">
      <w:pPr>
        <w:spacing w:after="0"/>
        <w:rPr>
          <w:sz w:val="16"/>
          <w:szCs w:val="16"/>
        </w:rPr>
      </w:pPr>
      <w:r w:rsidRPr="00932455">
        <w:rPr>
          <w:sz w:val="16"/>
          <w:szCs w:val="16"/>
        </w:rPr>
        <w:t xml:space="preserve">                                                                                                                                                                                                </w:t>
      </w:r>
      <w:r w:rsidR="00932455" w:rsidRPr="00932455">
        <w:rPr>
          <w:sz w:val="16"/>
          <w:szCs w:val="16"/>
        </w:rPr>
        <w:t xml:space="preserve">  </w:t>
      </w:r>
      <w:r w:rsidR="00932455">
        <w:rPr>
          <w:sz w:val="16"/>
          <w:szCs w:val="16"/>
        </w:rPr>
        <w:t xml:space="preserve"> </w:t>
      </w:r>
      <w:r w:rsidR="0088649F" w:rsidRPr="00932455">
        <w:rPr>
          <w:b/>
          <w:bCs/>
          <w:sz w:val="20"/>
          <w:szCs w:val="20"/>
        </w:rPr>
        <w:t>1</w:t>
      </w:r>
      <w:r w:rsidRPr="00932455">
        <w:rPr>
          <w:b/>
          <w:bCs/>
          <w:sz w:val="20"/>
          <w:szCs w:val="20"/>
        </w:rPr>
        <w:t xml:space="preserve"> </w:t>
      </w:r>
      <w:r w:rsidR="0088649F" w:rsidRPr="00932455">
        <w:rPr>
          <w:b/>
          <w:bCs/>
          <w:sz w:val="20"/>
          <w:szCs w:val="20"/>
          <w:lang w:val="fr-FR"/>
        </w:rPr>
        <w:t>Aout</w:t>
      </w:r>
      <w:r w:rsidR="0088649F" w:rsidRPr="00932455">
        <w:rPr>
          <w:b/>
          <w:bCs/>
          <w:sz w:val="20"/>
          <w:szCs w:val="20"/>
        </w:rPr>
        <w:t xml:space="preserve"> 2016</w:t>
      </w:r>
    </w:p>
    <w:p w:rsidR="00932455" w:rsidRPr="00932455" w:rsidRDefault="00630B7E" w:rsidP="00932455">
      <w:pPr>
        <w:spacing w:after="0"/>
        <w:rPr>
          <w:rFonts w:ascii="Book Antiqua" w:hAnsi="Book Antiqua"/>
          <w:b/>
          <w:bCs/>
          <w:sz w:val="20"/>
          <w:szCs w:val="20"/>
        </w:rPr>
      </w:pPr>
      <w:r w:rsidRPr="00932455">
        <w:rPr>
          <w:sz w:val="20"/>
          <w:szCs w:val="20"/>
        </w:rPr>
        <w:t xml:space="preserve">  </w:t>
      </w:r>
      <w:r w:rsidRPr="00932455">
        <w:rPr>
          <w:rFonts w:ascii="Book Antiqua" w:hAnsi="Book Antiqua"/>
          <w:b/>
          <w:bCs/>
          <w:sz w:val="20"/>
          <w:szCs w:val="20"/>
        </w:rPr>
        <w:t xml:space="preserve"> </w:t>
      </w:r>
      <w:r w:rsidR="00932455" w:rsidRPr="00932455">
        <w:rPr>
          <w:rFonts w:ascii="Book Antiqua" w:hAnsi="Book Antiqua"/>
          <w:b/>
          <w:bCs/>
          <w:sz w:val="20"/>
          <w:szCs w:val="20"/>
        </w:rPr>
        <w:t xml:space="preserve">        </w:t>
      </w:r>
    </w:p>
    <w:p w:rsidR="00C3401A" w:rsidRPr="00932455" w:rsidRDefault="00932455" w:rsidP="00932455">
      <w:pPr>
        <w:spacing w:after="0"/>
        <w:rPr>
          <w:rFonts w:ascii="Book Antiqua" w:hAnsi="Book Antiqua"/>
          <w:b/>
          <w:bCs/>
          <w:sz w:val="20"/>
          <w:szCs w:val="20"/>
        </w:rPr>
      </w:pPr>
      <w:r w:rsidRPr="00932455">
        <w:rPr>
          <w:rFonts w:ascii="Book Antiqua" w:hAnsi="Book Antiqua"/>
          <w:b/>
          <w:bCs/>
          <w:sz w:val="20"/>
          <w:szCs w:val="20"/>
        </w:rPr>
        <w:t xml:space="preserve">          </w:t>
      </w:r>
      <w:r w:rsidR="00C3401A" w:rsidRPr="00932455">
        <w:rPr>
          <w:rFonts w:ascii="Book Antiqua" w:hAnsi="Book Antiqua"/>
          <w:b/>
          <w:bCs/>
          <w:sz w:val="20"/>
          <w:szCs w:val="20"/>
        </w:rPr>
        <w:t xml:space="preserve"> </w:t>
      </w:r>
      <w:r w:rsidRPr="00932455">
        <w:rPr>
          <w:rFonts w:ascii="Book Antiqua" w:hAnsi="Book Antiqua"/>
          <w:b/>
          <w:bCs/>
          <w:sz w:val="20"/>
          <w:szCs w:val="20"/>
        </w:rPr>
        <w:t>SCBD/BS/MPM/DA/85215</w:t>
      </w:r>
    </w:p>
    <w:p w:rsidR="00630B7E" w:rsidRPr="00932455" w:rsidRDefault="00630B7E" w:rsidP="00630B7E">
      <w:pPr>
        <w:spacing w:after="0"/>
        <w:rPr>
          <w:rFonts w:ascii="Book Antiqua" w:hAnsi="Book Antiqua"/>
          <w:b/>
          <w:bCs/>
          <w:sz w:val="16"/>
          <w:szCs w:val="16"/>
        </w:rPr>
      </w:pPr>
    </w:p>
    <w:p w:rsidR="00630B7E" w:rsidRPr="00932455" w:rsidRDefault="00630B7E" w:rsidP="00630B7E">
      <w:pPr>
        <w:spacing w:after="0"/>
        <w:rPr>
          <w:rFonts w:ascii="Baskerville Old Face" w:hAnsi="Baskerville Old Face"/>
          <w:b/>
          <w:bCs/>
          <w:sz w:val="24"/>
          <w:szCs w:val="24"/>
        </w:rPr>
      </w:pPr>
    </w:p>
    <w:p w:rsidR="00630B7E" w:rsidRPr="00490224" w:rsidRDefault="00630B7E" w:rsidP="00F76FB7">
      <w:pPr>
        <w:spacing w:after="0"/>
        <w:rPr>
          <w:rFonts w:ascii="Baskerville Old Face" w:hAnsi="Baskerville Old Face"/>
          <w:b/>
          <w:bCs/>
          <w:sz w:val="26"/>
          <w:szCs w:val="26"/>
          <w:lang w:val="fr-FR"/>
        </w:rPr>
      </w:pPr>
      <w:r w:rsidRPr="00490224">
        <w:rPr>
          <w:rFonts w:ascii="Vivaldi" w:hAnsi="Vivaldi"/>
          <w:b/>
          <w:bCs/>
          <w:color w:val="00B050"/>
          <w:sz w:val="26"/>
          <w:szCs w:val="26"/>
          <w:lang w:val="fr-FR"/>
        </w:rPr>
        <w:t>A</w:t>
      </w:r>
      <w:r w:rsidRPr="00490224">
        <w:rPr>
          <w:rFonts w:ascii="Baskerville Old Face" w:hAnsi="Baskerville Old Face"/>
          <w:b/>
          <w:bCs/>
          <w:color w:val="00B050"/>
          <w:sz w:val="26"/>
          <w:szCs w:val="26"/>
          <w:lang w:val="fr-FR"/>
        </w:rPr>
        <w:t> </w:t>
      </w:r>
      <w:r w:rsidR="00F76FB7" w:rsidRPr="00490224">
        <w:rPr>
          <w:rFonts w:ascii="Baskerville Old Face" w:hAnsi="Baskerville Old Face"/>
          <w:b/>
          <w:bCs/>
          <w:color w:val="00B050"/>
          <w:sz w:val="26"/>
          <w:szCs w:val="26"/>
          <w:lang w:val="fr-FR"/>
        </w:rPr>
        <w:t>:</w:t>
      </w:r>
      <w:r w:rsidR="00F76FB7" w:rsidRPr="00490224">
        <w:rPr>
          <w:rFonts w:ascii="Baskerville Old Face" w:hAnsi="Baskerville Old Face"/>
          <w:b/>
          <w:bCs/>
          <w:sz w:val="26"/>
          <w:szCs w:val="26"/>
          <w:lang w:val="fr-FR"/>
        </w:rPr>
        <w:t xml:space="preserve"> </w:t>
      </w:r>
      <w:r w:rsidR="00F76FB7" w:rsidRPr="00490224">
        <w:rPr>
          <w:rFonts w:ascii="Baskerville Old Face" w:hAnsi="Baskerville Old Face"/>
          <w:sz w:val="26"/>
          <w:szCs w:val="26"/>
          <w:lang w:val="fr-FR"/>
        </w:rPr>
        <w:t>Monsieur</w:t>
      </w:r>
      <w:r w:rsidRPr="00490224">
        <w:rPr>
          <w:rFonts w:ascii="Baskerville Old Face" w:hAnsi="Baskerville Old Face"/>
          <w:sz w:val="26"/>
          <w:szCs w:val="26"/>
          <w:lang w:val="fr-FR"/>
        </w:rPr>
        <w:t xml:space="preserve"> le Secrétaire Exécutif de La Convention de la Diversité Biologique</w:t>
      </w:r>
    </w:p>
    <w:p w:rsidR="00630B7E" w:rsidRPr="00490224" w:rsidRDefault="00630B7E" w:rsidP="00932455">
      <w:pPr>
        <w:spacing w:after="0"/>
        <w:ind w:left="720" w:hanging="720"/>
        <w:jc w:val="both"/>
        <w:rPr>
          <w:rFonts w:ascii="Baskerville Old Face" w:hAnsi="Baskerville Old Face"/>
          <w:sz w:val="26"/>
          <w:szCs w:val="26"/>
          <w:lang w:val="fr-FR"/>
        </w:rPr>
      </w:pPr>
      <w:r w:rsidRPr="00490224">
        <w:rPr>
          <w:rFonts w:ascii="Vivaldi" w:hAnsi="Vivaldi"/>
          <w:b/>
          <w:bCs/>
          <w:color w:val="00B050"/>
          <w:sz w:val="26"/>
          <w:szCs w:val="26"/>
          <w:lang w:val="fr-FR"/>
        </w:rPr>
        <w:t>Objet</w:t>
      </w:r>
      <w:r w:rsidRPr="00490224">
        <w:rPr>
          <w:rFonts w:ascii="Baskerville Old Face" w:hAnsi="Baskerville Old Face"/>
          <w:b/>
          <w:bCs/>
          <w:color w:val="00B050"/>
          <w:sz w:val="26"/>
          <w:szCs w:val="26"/>
          <w:lang w:val="fr-FR"/>
        </w:rPr>
        <w:t> :</w:t>
      </w:r>
      <w:r w:rsidRPr="00490224">
        <w:rPr>
          <w:rFonts w:ascii="Baskerville Old Face" w:hAnsi="Baskerville Old Face"/>
          <w:color w:val="00B050"/>
          <w:sz w:val="26"/>
          <w:szCs w:val="26"/>
          <w:lang w:val="fr-FR"/>
        </w:rPr>
        <w:t xml:space="preserve"> </w:t>
      </w:r>
      <w:r w:rsidR="00932455" w:rsidRPr="00490224">
        <w:rPr>
          <w:rFonts w:ascii="Baskerville Old Face" w:hAnsi="Baskerville Old Face"/>
          <w:sz w:val="26"/>
          <w:szCs w:val="26"/>
          <w:lang w:val="fr-FR"/>
        </w:rPr>
        <w:t>Communication par La Mauritanie pour suggérer des sujets supplémentaires pour des guides sur l’évaluation des risques.</w:t>
      </w:r>
    </w:p>
    <w:p w:rsidR="00F76FB7" w:rsidRPr="00490224" w:rsidRDefault="00F76FB7" w:rsidP="00F76FB7">
      <w:pPr>
        <w:spacing w:after="0"/>
        <w:ind w:left="720" w:hanging="720"/>
        <w:rPr>
          <w:rFonts w:ascii="Baskerville Old Face" w:hAnsi="Baskerville Old Face"/>
          <w:sz w:val="26"/>
          <w:szCs w:val="26"/>
          <w:lang w:val="fr-FR"/>
        </w:rPr>
      </w:pPr>
    </w:p>
    <w:p w:rsidR="00932455" w:rsidRPr="00490224" w:rsidRDefault="00F76FB7" w:rsidP="00490224">
      <w:pPr>
        <w:tabs>
          <w:tab w:val="left" w:pos="0"/>
        </w:tabs>
        <w:spacing w:after="0"/>
        <w:jc w:val="both"/>
        <w:rPr>
          <w:rFonts w:ascii="Baskerville Old Face" w:hAnsi="Baskerville Old Face"/>
          <w:sz w:val="26"/>
          <w:szCs w:val="26"/>
          <w:lang w:val="fr-FR"/>
        </w:rPr>
      </w:pPr>
      <w:r w:rsidRPr="00490224">
        <w:rPr>
          <w:rFonts w:ascii="Baskerville Old Face" w:hAnsi="Baskerville Old Face"/>
          <w:sz w:val="26"/>
          <w:szCs w:val="26"/>
          <w:lang w:val="fr-FR"/>
        </w:rPr>
        <w:t>Suite à votre notification ci-référenciée ; j’ai l’honneur de vous faire parvenir </w:t>
      </w:r>
      <w:r w:rsidR="00932455" w:rsidRPr="00490224">
        <w:rPr>
          <w:rFonts w:ascii="Baskerville Old Face" w:hAnsi="Baskerville Old Face"/>
          <w:sz w:val="26"/>
          <w:szCs w:val="26"/>
          <w:lang w:val="fr-FR"/>
        </w:rPr>
        <w:t>la communication de la Mauritanie attachée ici</w:t>
      </w:r>
    </w:p>
    <w:p w:rsidR="00932455" w:rsidRPr="00490224" w:rsidRDefault="00932455" w:rsidP="00932455">
      <w:pPr>
        <w:tabs>
          <w:tab w:val="left" w:pos="0"/>
        </w:tabs>
        <w:spacing w:after="0"/>
        <w:jc w:val="both"/>
        <w:rPr>
          <w:rFonts w:ascii="Baskerville Old Face" w:hAnsi="Baskerville Old Face"/>
          <w:sz w:val="26"/>
          <w:szCs w:val="26"/>
          <w:lang w:val="fr-FR"/>
        </w:rPr>
      </w:pPr>
    </w:p>
    <w:p w:rsidR="00932455" w:rsidRPr="00490224" w:rsidRDefault="00932455" w:rsidP="00932455">
      <w:pPr>
        <w:tabs>
          <w:tab w:val="left" w:pos="0"/>
        </w:tabs>
        <w:spacing w:after="0"/>
        <w:jc w:val="both"/>
        <w:rPr>
          <w:rFonts w:ascii="Baskerville Old Face" w:hAnsi="Baskerville Old Face"/>
          <w:sz w:val="26"/>
          <w:szCs w:val="26"/>
          <w:lang w:val="fr-FR"/>
        </w:rPr>
      </w:pPr>
    </w:p>
    <w:p w:rsidR="00932455" w:rsidRPr="00490224" w:rsidRDefault="00490224" w:rsidP="00932455">
      <w:pPr>
        <w:tabs>
          <w:tab w:val="left" w:pos="0"/>
        </w:tabs>
        <w:spacing w:after="0"/>
        <w:jc w:val="both"/>
        <w:rPr>
          <w:rFonts w:ascii="Baskerville Old Face" w:hAnsi="Baskerville Old Face"/>
          <w:sz w:val="26"/>
          <w:szCs w:val="26"/>
          <w:lang w:val="fr-FR"/>
        </w:rPr>
      </w:pPr>
      <w:r w:rsidRPr="00490224">
        <w:rPr>
          <w:rFonts w:ascii="Baskerville Old Face" w:hAnsi="Baskerville Old Face"/>
          <w:noProof/>
          <w:sz w:val="26"/>
          <w:szCs w:val="26"/>
        </w:rPr>
        <w:drawing>
          <wp:anchor distT="0" distB="0" distL="114300" distR="114300" simplePos="0" relativeHeight="251660288" behindDoc="1" locked="0" layoutInCell="1" allowOverlap="1" wp14:anchorId="75C4028A" wp14:editId="7BA2608A">
            <wp:simplePos x="0" y="0"/>
            <wp:positionH relativeFrom="margin">
              <wp:posOffset>210297</wp:posOffset>
            </wp:positionH>
            <wp:positionV relativeFrom="paragraph">
              <wp:posOffset>120015</wp:posOffset>
            </wp:positionV>
            <wp:extent cx="2082165" cy="1781175"/>
            <wp:effectExtent l="0" t="0" r="0" b="9525"/>
            <wp:wrapNone/>
            <wp:docPr id="2" name="Picture 2" descr="E:\Mauritania\chei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uritania\cheik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16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455" w:rsidRPr="00490224" w:rsidRDefault="00932455" w:rsidP="00932455">
      <w:pPr>
        <w:tabs>
          <w:tab w:val="left" w:pos="0"/>
        </w:tabs>
        <w:spacing w:after="0"/>
        <w:jc w:val="both"/>
        <w:rPr>
          <w:rFonts w:ascii="Baskerville Old Face" w:hAnsi="Baskerville Old Face"/>
          <w:sz w:val="26"/>
          <w:szCs w:val="26"/>
          <w:lang w:val="fr-FR"/>
        </w:rPr>
      </w:pPr>
    </w:p>
    <w:p w:rsidR="00932455" w:rsidRPr="00490224" w:rsidRDefault="00932455" w:rsidP="00932455">
      <w:pPr>
        <w:tabs>
          <w:tab w:val="left" w:pos="0"/>
        </w:tabs>
        <w:spacing w:after="0"/>
        <w:jc w:val="both"/>
        <w:rPr>
          <w:rFonts w:ascii="Baskerville Old Face" w:hAnsi="Baskerville Old Face"/>
          <w:sz w:val="26"/>
          <w:szCs w:val="26"/>
          <w:lang w:val="fr-FR"/>
        </w:rPr>
      </w:pPr>
    </w:p>
    <w:p w:rsidR="00F76FB7" w:rsidRPr="00490224" w:rsidRDefault="00F76FB7" w:rsidP="00F76FB7">
      <w:pPr>
        <w:tabs>
          <w:tab w:val="left" w:pos="0"/>
        </w:tabs>
        <w:spacing w:after="0"/>
        <w:jc w:val="both"/>
        <w:rPr>
          <w:rFonts w:ascii="Baskerville Old Face" w:hAnsi="Baskerville Old Face"/>
          <w:sz w:val="26"/>
          <w:szCs w:val="26"/>
          <w:lang w:val="fr-FR"/>
        </w:rPr>
      </w:pPr>
    </w:p>
    <w:p w:rsidR="00C3401A" w:rsidRPr="00490224" w:rsidRDefault="00C3401A" w:rsidP="00491FDC">
      <w:pPr>
        <w:tabs>
          <w:tab w:val="left" w:pos="0"/>
        </w:tabs>
        <w:spacing w:after="0"/>
        <w:jc w:val="both"/>
        <w:rPr>
          <w:rFonts w:ascii="Baskerville Old Face" w:hAnsi="Baskerville Old Face"/>
          <w:b/>
          <w:bCs/>
          <w:sz w:val="26"/>
          <w:szCs w:val="26"/>
          <w:lang w:val="fr-FR"/>
        </w:rPr>
      </w:pPr>
      <w:r w:rsidRPr="00490224">
        <w:rPr>
          <w:rFonts w:ascii="Baskerville Old Face" w:hAnsi="Baskerville Old Face"/>
          <w:sz w:val="26"/>
          <w:szCs w:val="26"/>
          <w:lang w:val="fr-FR"/>
        </w:rPr>
        <w:t>Sincèrement,</w:t>
      </w:r>
      <w:r w:rsidRPr="00490224">
        <w:rPr>
          <w:rFonts w:ascii="Baskerville Old Face" w:hAnsi="Baskerville Old Face"/>
          <w:sz w:val="26"/>
          <w:szCs w:val="26"/>
          <w:lang w:val="fr-FR"/>
        </w:rPr>
        <w:br/>
      </w:r>
    </w:p>
    <w:p w:rsidR="00C3401A" w:rsidRPr="00490224" w:rsidRDefault="00C3401A" w:rsidP="00F76FB7">
      <w:pPr>
        <w:tabs>
          <w:tab w:val="left" w:pos="0"/>
        </w:tabs>
        <w:spacing w:after="0"/>
        <w:jc w:val="both"/>
        <w:rPr>
          <w:rFonts w:ascii="Baskerville Old Face" w:hAnsi="Baskerville Old Face"/>
          <w:sz w:val="26"/>
          <w:szCs w:val="26"/>
          <w:lang w:val="fr-FR"/>
        </w:rPr>
      </w:pPr>
      <w:r w:rsidRPr="00490224">
        <w:rPr>
          <w:rFonts w:ascii="Baskerville Old Face" w:hAnsi="Baskerville Old Face"/>
          <w:sz w:val="26"/>
          <w:szCs w:val="26"/>
          <w:lang w:val="fr-FR"/>
        </w:rPr>
        <w:t>Chargé de Mission au Cabinet du Ministre de l'Environnement et du Développement Durable</w:t>
      </w:r>
    </w:p>
    <w:p w:rsidR="00C3401A" w:rsidRPr="00490224" w:rsidRDefault="00C3401A" w:rsidP="00C3401A">
      <w:pPr>
        <w:tabs>
          <w:tab w:val="left" w:pos="0"/>
        </w:tabs>
        <w:spacing w:after="0"/>
        <w:jc w:val="both"/>
        <w:rPr>
          <w:rFonts w:ascii="Baskerville Old Face" w:hAnsi="Baskerville Old Face"/>
          <w:sz w:val="26"/>
          <w:szCs w:val="26"/>
          <w:lang w:val="fr-FR"/>
        </w:rPr>
      </w:pPr>
      <w:r w:rsidRPr="00490224">
        <w:rPr>
          <w:rFonts w:ascii="Baskerville Old Face" w:hAnsi="Baskerville Old Face"/>
          <w:sz w:val="26"/>
          <w:szCs w:val="26"/>
          <w:lang w:val="fr-FR"/>
        </w:rPr>
        <w:t>Coordinateur et Point Focal National des Conventions Biodiversité et CITES</w:t>
      </w:r>
    </w:p>
    <w:p w:rsidR="00C3401A" w:rsidRPr="00490224" w:rsidRDefault="00C3401A" w:rsidP="0082546C">
      <w:pPr>
        <w:tabs>
          <w:tab w:val="left" w:pos="0"/>
        </w:tabs>
        <w:spacing w:after="0"/>
        <w:jc w:val="both"/>
        <w:rPr>
          <w:rFonts w:ascii="Baskerville Old Face" w:hAnsi="Baskerville Old Face"/>
          <w:sz w:val="26"/>
          <w:szCs w:val="26"/>
          <w:lang w:val="fr-FR"/>
        </w:rPr>
      </w:pPr>
      <w:r w:rsidRPr="00490224">
        <w:rPr>
          <w:rFonts w:ascii="Baskerville Old Face" w:hAnsi="Baskerville Old Face"/>
          <w:sz w:val="26"/>
          <w:szCs w:val="26"/>
          <w:lang w:val="fr-FR"/>
        </w:rPr>
        <w:t>B.P. 170 N</w:t>
      </w:r>
      <w:r w:rsidR="0082546C" w:rsidRPr="00490224">
        <w:rPr>
          <w:rFonts w:ascii="Baskerville Old Face" w:hAnsi="Baskerville Old Face"/>
          <w:sz w:val="26"/>
          <w:szCs w:val="26"/>
          <w:lang w:val="fr-FR"/>
        </w:rPr>
        <w:t>ouakchott, La Mauritanie</w:t>
      </w:r>
    </w:p>
    <w:p w:rsidR="00C3401A" w:rsidRPr="00490224" w:rsidRDefault="0082546C" w:rsidP="0082546C">
      <w:pPr>
        <w:tabs>
          <w:tab w:val="left" w:pos="0"/>
        </w:tabs>
        <w:spacing w:after="0"/>
        <w:jc w:val="both"/>
        <w:rPr>
          <w:rFonts w:ascii="Baskerville Old Face" w:hAnsi="Baskerville Old Face"/>
          <w:sz w:val="26"/>
          <w:szCs w:val="26"/>
          <w:lang w:val="fr-FR"/>
        </w:rPr>
      </w:pPr>
      <w:proofErr w:type="spellStart"/>
      <w:r w:rsidRPr="00490224">
        <w:rPr>
          <w:rFonts w:ascii="Baskerville Old Face" w:hAnsi="Baskerville Old Face"/>
          <w:sz w:val="26"/>
          <w:szCs w:val="26"/>
          <w:lang w:val="fr-FR"/>
        </w:rPr>
        <w:t>Cel</w:t>
      </w:r>
      <w:proofErr w:type="spellEnd"/>
      <w:proofErr w:type="gramStart"/>
      <w:r w:rsidRPr="00490224">
        <w:rPr>
          <w:rFonts w:ascii="Baskerville Old Face" w:hAnsi="Baskerville Old Face"/>
          <w:sz w:val="26"/>
          <w:szCs w:val="26"/>
          <w:lang w:val="fr-FR"/>
        </w:rPr>
        <w:t>.</w:t>
      </w:r>
      <w:r w:rsidR="00C3401A" w:rsidRPr="00490224">
        <w:rPr>
          <w:rFonts w:ascii="Baskerville Old Face" w:hAnsi="Baskerville Old Face"/>
          <w:sz w:val="26"/>
          <w:szCs w:val="26"/>
          <w:lang w:val="fr-FR"/>
        </w:rPr>
        <w:t>:</w:t>
      </w:r>
      <w:proofErr w:type="gramEnd"/>
      <w:r w:rsidR="00C3401A" w:rsidRPr="00490224">
        <w:rPr>
          <w:rFonts w:ascii="Baskerville Old Face" w:hAnsi="Baskerville Old Face"/>
          <w:sz w:val="26"/>
          <w:szCs w:val="26"/>
          <w:lang w:val="fr-FR"/>
        </w:rPr>
        <w:t xml:space="preserve"> +222 2266 9363 </w:t>
      </w:r>
    </w:p>
    <w:p w:rsidR="00932455" w:rsidRPr="00490224" w:rsidRDefault="00C3401A" w:rsidP="00C3401A">
      <w:pPr>
        <w:tabs>
          <w:tab w:val="left" w:pos="0"/>
        </w:tabs>
        <w:spacing w:after="0"/>
        <w:jc w:val="both"/>
        <w:rPr>
          <w:rFonts w:ascii="Baskerville Old Face" w:hAnsi="Baskerville Old Face"/>
          <w:sz w:val="26"/>
          <w:szCs w:val="26"/>
        </w:rPr>
      </w:pPr>
      <w:r w:rsidRPr="00490224">
        <w:rPr>
          <w:rFonts w:ascii="Baskerville Old Face" w:hAnsi="Baskerville Old Face"/>
          <w:sz w:val="26"/>
          <w:szCs w:val="26"/>
        </w:rPr>
        <w:t xml:space="preserve">Email: </w:t>
      </w:r>
      <w:hyperlink r:id="rId7" w:history="1">
        <w:r w:rsidR="00932455" w:rsidRPr="00490224">
          <w:rPr>
            <w:rStyle w:val="Hyperlink"/>
            <w:rFonts w:ascii="Baskerville Old Face" w:hAnsi="Baskerville Old Face"/>
            <w:sz w:val="26"/>
            <w:szCs w:val="26"/>
          </w:rPr>
          <w:t>cheikhysidi@yahoo.fr</w:t>
        </w:r>
      </w:hyperlink>
    </w:p>
    <w:p w:rsidR="00932455" w:rsidRPr="00490224" w:rsidRDefault="00932455" w:rsidP="00C3401A">
      <w:pPr>
        <w:tabs>
          <w:tab w:val="left" w:pos="0"/>
        </w:tabs>
        <w:spacing w:after="0"/>
        <w:jc w:val="both"/>
        <w:rPr>
          <w:rFonts w:ascii="Baskerville Old Face" w:hAnsi="Baskerville Old Face"/>
          <w:sz w:val="28"/>
          <w:szCs w:val="28"/>
        </w:rPr>
      </w:pPr>
    </w:p>
    <w:p w:rsidR="00932455" w:rsidRPr="00932455" w:rsidRDefault="00932455" w:rsidP="00C3401A">
      <w:pPr>
        <w:tabs>
          <w:tab w:val="left" w:pos="0"/>
        </w:tabs>
        <w:spacing w:after="0"/>
        <w:jc w:val="both"/>
        <w:rPr>
          <w:rFonts w:ascii="Baskerville Old Face" w:hAnsi="Baskerville Old Face"/>
        </w:rPr>
      </w:pPr>
    </w:p>
    <w:p w:rsidR="00932455" w:rsidRPr="00932455" w:rsidRDefault="00932455" w:rsidP="00C3401A">
      <w:pPr>
        <w:tabs>
          <w:tab w:val="left" w:pos="0"/>
        </w:tabs>
        <w:spacing w:after="0"/>
        <w:jc w:val="both"/>
        <w:rPr>
          <w:rFonts w:ascii="Baskerville Old Face" w:hAnsi="Baskerville Old Face"/>
        </w:rPr>
      </w:pPr>
    </w:p>
    <w:p w:rsidR="00932455" w:rsidRPr="00932455" w:rsidRDefault="00932455" w:rsidP="00C3401A">
      <w:pPr>
        <w:tabs>
          <w:tab w:val="left" w:pos="0"/>
        </w:tabs>
        <w:spacing w:after="0"/>
        <w:jc w:val="both"/>
        <w:rPr>
          <w:rFonts w:ascii="Baskerville Old Face" w:hAnsi="Baskerville Old Face"/>
        </w:rPr>
      </w:pPr>
    </w:p>
    <w:p w:rsidR="00932455" w:rsidRPr="00932455" w:rsidRDefault="00932455" w:rsidP="00C3401A">
      <w:pPr>
        <w:tabs>
          <w:tab w:val="left" w:pos="0"/>
        </w:tabs>
        <w:spacing w:after="0"/>
        <w:jc w:val="both"/>
        <w:rPr>
          <w:rFonts w:ascii="Baskerville Old Face" w:hAnsi="Baskerville Old Face"/>
        </w:rPr>
      </w:pPr>
    </w:p>
    <w:p w:rsidR="00932455" w:rsidRPr="00932455" w:rsidRDefault="00932455" w:rsidP="00C3401A">
      <w:pPr>
        <w:tabs>
          <w:tab w:val="left" w:pos="0"/>
        </w:tabs>
        <w:spacing w:after="0"/>
        <w:jc w:val="both"/>
        <w:rPr>
          <w:rFonts w:ascii="Baskerville Old Face" w:hAnsi="Baskerville Old Face"/>
        </w:rPr>
      </w:pPr>
    </w:p>
    <w:p w:rsidR="00932455" w:rsidRPr="00490224" w:rsidRDefault="00932455" w:rsidP="00932455">
      <w:pPr>
        <w:jc w:val="center"/>
        <w:rPr>
          <w:rFonts w:ascii="Book Antiqua" w:hAnsi="Book Antiqua"/>
          <w:b/>
          <w:bCs/>
          <w:u w:val="single"/>
        </w:rPr>
      </w:pPr>
      <w:r w:rsidRPr="00490224">
        <w:rPr>
          <w:rFonts w:ascii="Book Antiqua" w:hAnsi="Book Antiqua"/>
          <w:b/>
          <w:bCs/>
          <w:u w:val="single"/>
        </w:rPr>
        <w:lastRenderedPageBreak/>
        <w:t>Submission by Mauritania for suggesti</w:t>
      </w:r>
      <w:bookmarkStart w:id="0" w:name="_GoBack"/>
      <w:bookmarkEnd w:id="0"/>
      <w:r w:rsidRPr="00490224">
        <w:rPr>
          <w:rFonts w:ascii="Book Antiqua" w:hAnsi="Book Antiqua"/>
          <w:b/>
          <w:bCs/>
          <w:u w:val="single"/>
        </w:rPr>
        <w:t>ons on Risk assessment guidance on additional topics</w:t>
      </w:r>
    </w:p>
    <w:p w:rsidR="00932455" w:rsidRPr="00490224" w:rsidRDefault="00932455" w:rsidP="00932455">
      <w:pPr>
        <w:rPr>
          <w:rFonts w:ascii="Book Antiqua" w:hAnsi="Book Antiqua"/>
          <w:b/>
          <w:bCs/>
          <w:u w:val="single"/>
        </w:rPr>
      </w:pPr>
      <w:r w:rsidRPr="00490224">
        <w:rPr>
          <w:rFonts w:ascii="Book Antiqua" w:hAnsi="Book Antiqua"/>
          <w:b/>
          <w:bCs/>
          <w:u w:val="single"/>
        </w:rPr>
        <w:t>Suggested topic:</w:t>
      </w:r>
    </w:p>
    <w:p w:rsidR="00932455" w:rsidRPr="00490224" w:rsidRDefault="00932455" w:rsidP="00932455">
      <w:pPr>
        <w:jc w:val="both"/>
        <w:rPr>
          <w:rFonts w:ascii="Book Antiqua" w:hAnsi="Book Antiqua"/>
        </w:rPr>
      </w:pPr>
      <w:r w:rsidRPr="00490224">
        <w:rPr>
          <w:rFonts w:ascii="Book Antiqua" w:hAnsi="Book Antiqua"/>
        </w:rPr>
        <w:t>Environmental application of in vitro nucleic acid techniques that overcome natural physiological reproductive or recombination barriers, e</w:t>
      </w:r>
      <w:r w:rsidR="00490224" w:rsidRPr="00490224">
        <w:rPr>
          <w:rFonts w:ascii="Book Antiqua" w:hAnsi="Book Antiqua"/>
        </w:rPr>
        <w:t>.</w:t>
      </w:r>
      <w:r w:rsidRPr="00490224">
        <w:rPr>
          <w:rFonts w:ascii="Book Antiqua" w:hAnsi="Book Antiqua"/>
        </w:rPr>
        <w:t>g</w:t>
      </w:r>
      <w:r w:rsidR="00490224" w:rsidRPr="00490224">
        <w:rPr>
          <w:rFonts w:ascii="Book Antiqua" w:hAnsi="Book Antiqua"/>
        </w:rPr>
        <w:t>.</w:t>
      </w:r>
      <w:r w:rsidRPr="00490224">
        <w:rPr>
          <w:rFonts w:ascii="Book Antiqua" w:hAnsi="Book Antiqua"/>
        </w:rPr>
        <w:t>, for use in pest management.</w:t>
      </w:r>
    </w:p>
    <w:p w:rsidR="00932455" w:rsidRPr="00490224" w:rsidRDefault="00932455" w:rsidP="00932455">
      <w:pPr>
        <w:jc w:val="both"/>
        <w:rPr>
          <w:rFonts w:ascii="Book Antiqua" w:hAnsi="Book Antiqua"/>
        </w:rPr>
      </w:pPr>
      <w:r w:rsidRPr="00490224">
        <w:rPr>
          <w:rFonts w:ascii="Book Antiqua" w:hAnsi="Book Antiqua"/>
        </w:rPr>
        <w:t>This suggestion follows closely the wording of Article 3(</w:t>
      </w:r>
      <w:proofErr w:type="spellStart"/>
      <w:r w:rsidRPr="00490224">
        <w:rPr>
          <w:rFonts w:ascii="Book Antiqua" w:hAnsi="Book Antiqua"/>
        </w:rPr>
        <w:t>i</w:t>
      </w:r>
      <w:proofErr w:type="spellEnd"/>
      <w:r w:rsidRPr="00490224">
        <w:rPr>
          <w:rFonts w:ascii="Book Antiqua" w:hAnsi="Book Antiqua"/>
        </w:rPr>
        <w:t>) “’Modern biotechnology’ means the application of:</w:t>
      </w:r>
    </w:p>
    <w:p w:rsidR="00932455" w:rsidRPr="00490224" w:rsidRDefault="00932455" w:rsidP="00932455">
      <w:pPr>
        <w:jc w:val="both"/>
        <w:rPr>
          <w:rFonts w:ascii="Book Antiqua" w:hAnsi="Book Antiqua"/>
        </w:rPr>
      </w:pPr>
      <w:r w:rsidRPr="00490224">
        <w:rPr>
          <w:rFonts w:ascii="Book Antiqua" w:hAnsi="Book Antiqua"/>
        </w:rPr>
        <w:t>a. In vitro nucleic acid techniques, including recombinant deoxyribonucleic acid (DNA) and direct injection of nucleic acid into cells or organelles, or</w:t>
      </w:r>
    </w:p>
    <w:p w:rsidR="00932455" w:rsidRPr="00490224" w:rsidRDefault="00932455" w:rsidP="00932455">
      <w:pPr>
        <w:jc w:val="both"/>
        <w:rPr>
          <w:rFonts w:ascii="Book Antiqua" w:hAnsi="Book Antiqua"/>
        </w:rPr>
      </w:pPr>
      <w:r w:rsidRPr="00490224">
        <w:rPr>
          <w:rFonts w:ascii="Book Antiqua" w:hAnsi="Book Antiqua"/>
        </w:rPr>
        <w:t>b. Fusion of cells beyond the taxonomic family, that overcome natural physiological reproductive or recombination barriers and that are not techniques used in traditional breeding and selection”</w:t>
      </w:r>
    </w:p>
    <w:p w:rsidR="00932455" w:rsidRPr="00490224" w:rsidRDefault="00932455" w:rsidP="00932455">
      <w:pPr>
        <w:rPr>
          <w:rFonts w:ascii="Book Antiqua" w:hAnsi="Book Antiqua"/>
          <w:b/>
          <w:bCs/>
          <w:u w:val="single"/>
        </w:rPr>
      </w:pPr>
      <w:r w:rsidRPr="00490224">
        <w:rPr>
          <w:rFonts w:ascii="Book Antiqua" w:hAnsi="Book Antiqua"/>
          <w:b/>
          <w:bCs/>
          <w:u w:val="single"/>
        </w:rPr>
        <w:t>Rationale:</w:t>
      </w:r>
    </w:p>
    <w:p w:rsidR="00932455" w:rsidRPr="00490224" w:rsidRDefault="00932455" w:rsidP="00932455">
      <w:pPr>
        <w:jc w:val="both"/>
        <w:rPr>
          <w:rFonts w:ascii="Book Antiqua" w:hAnsi="Book Antiqua"/>
        </w:rPr>
      </w:pPr>
      <w:r w:rsidRPr="00490224">
        <w:rPr>
          <w:rFonts w:ascii="Book Antiqua" w:hAnsi="Book Antiqua"/>
        </w:rPr>
        <w:t>Until recently, the introduction of nucleic acids into organisms was done entirely in laboratories. Emerging biotechnologies now allow the creation of LMOs at environmental scales, created in the environment. Several patents and soon to be released products are based on this new capacity. The new capacity is often referred to as types of “Biologicals” or “Agricultural Biologicals”.</w:t>
      </w:r>
    </w:p>
    <w:p w:rsidR="00932455" w:rsidRPr="00490224" w:rsidRDefault="00932455" w:rsidP="00932455">
      <w:pPr>
        <w:jc w:val="both"/>
        <w:rPr>
          <w:rFonts w:ascii="Book Antiqua" w:hAnsi="Book Antiqua"/>
          <w:b/>
          <w:bCs/>
        </w:rPr>
      </w:pPr>
      <w:r w:rsidRPr="00490224">
        <w:rPr>
          <w:rFonts w:ascii="Book Antiqua" w:hAnsi="Book Antiqua"/>
        </w:rPr>
        <w:t>The nucleic acids are introduced into cells using chemicals that lower the barriers to uptake of nucleic acids. For example, in patent “</w:t>
      </w:r>
      <w:r w:rsidRPr="00490224">
        <w:rPr>
          <w:rFonts w:ascii="Book Antiqua" w:hAnsi="Book Antiqua"/>
          <w:bCs/>
        </w:rPr>
        <w:t>Formulations and methods for control of weedy species” WO 2014167514 A1</w:t>
      </w:r>
    </w:p>
    <w:p w:rsidR="00932455" w:rsidRPr="00490224" w:rsidRDefault="00932455" w:rsidP="00932455">
      <w:pPr>
        <w:jc w:val="both"/>
        <w:rPr>
          <w:rFonts w:ascii="Book Antiqua" w:hAnsi="Book Antiqua"/>
        </w:rPr>
      </w:pPr>
      <w:hyperlink r:id="rId8" w:history="1">
        <w:r w:rsidRPr="00490224">
          <w:rPr>
            <w:rStyle w:val="Hyperlink"/>
            <w:rFonts w:ascii="Book Antiqua" w:hAnsi="Book Antiqua"/>
          </w:rPr>
          <w:t>http://www.google.com/patents/WO2014167514A1?cl=en</w:t>
        </w:r>
      </w:hyperlink>
    </w:p>
    <w:p w:rsidR="00932455" w:rsidRPr="00490224" w:rsidRDefault="00932455" w:rsidP="00932455">
      <w:pPr>
        <w:jc w:val="both"/>
        <w:rPr>
          <w:rFonts w:ascii="Book Antiqua" w:hAnsi="Book Antiqua"/>
        </w:rPr>
      </w:pPr>
      <w:r w:rsidRPr="00490224">
        <w:rPr>
          <w:rFonts w:ascii="Book Antiqua" w:hAnsi="Book Antiqua"/>
        </w:rPr>
        <w:t xml:space="preserve">“A method of inhibiting or impairing plant growth and development is also provided. The method comprises delivering a formulation to a host plant, by spraying, imbibing, irrigating, or injecting the formulation, the formulation comprising an interfering Ribonucleic Acid (RNAi) payload, an at least one of a liquid carrier, a surfactant, a binder and </w:t>
      </w:r>
      <w:proofErr w:type="spellStart"/>
      <w:r w:rsidRPr="00490224">
        <w:rPr>
          <w:rFonts w:ascii="Book Antiqua" w:hAnsi="Book Antiqua"/>
        </w:rPr>
        <w:t>tackifier</w:t>
      </w:r>
      <w:proofErr w:type="spellEnd"/>
      <w:r w:rsidRPr="00490224">
        <w:rPr>
          <w:rFonts w:ascii="Book Antiqua" w:hAnsi="Book Antiqua"/>
        </w:rPr>
        <w:t xml:space="preserve">, a thickener, a </w:t>
      </w:r>
      <w:r w:rsidR="00021249" w:rsidRPr="00490224">
        <w:rPr>
          <w:rFonts w:ascii="Book Antiqua" w:hAnsi="Book Antiqua"/>
        </w:rPr>
        <w:t>colorant</w:t>
      </w:r>
      <w:r w:rsidRPr="00490224">
        <w:rPr>
          <w:rFonts w:ascii="Book Antiqua" w:hAnsi="Book Antiqua"/>
        </w:rPr>
        <w:t>, a spreader, an anti</w:t>
      </w:r>
      <w:r w:rsidR="00021249">
        <w:rPr>
          <w:rFonts w:ascii="Book Antiqua" w:hAnsi="Book Antiqua"/>
        </w:rPr>
        <w:t>-</w:t>
      </w:r>
      <w:r w:rsidRPr="00490224">
        <w:rPr>
          <w:rFonts w:ascii="Book Antiqua" w:hAnsi="Book Antiqua"/>
        </w:rPr>
        <w:t>freezing agent, a sticker, an anticaking agent, a stabilizer, a disintegrator, an emulsifier, a synergistic compound, an abrasive, an emulsifier, a penetrating agent and a preservative, thereby inhibiting or impairing growth and development.”</w:t>
      </w:r>
    </w:p>
    <w:p w:rsidR="00932455" w:rsidRPr="00490224" w:rsidRDefault="00932455" w:rsidP="00932455">
      <w:pPr>
        <w:rPr>
          <w:rFonts w:ascii="Book Antiqua" w:hAnsi="Book Antiqua"/>
        </w:rPr>
      </w:pPr>
      <w:r w:rsidRPr="00490224">
        <w:rPr>
          <w:rFonts w:ascii="Book Antiqua" w:hAnsi="Book Antiqua"/>
        </w:rPr>
        <w:t>The nucleic acids most often mentioned are RNA, as per this quote from the literature:</w:t>
      </w:r>
    </w:p>
    <w:p w:rsidR="00932455" w:rsidRPr="00490224" w:rsidRDefault="00932455" w:rsidP="00932455">
      <w:pPr>
        <w:rPr>
          <w:rFonts w:ascii="Book Antiqua" w:hAnsi="Book Antiqua"/>
          <w:b/>
          <w:bCs/>
        </w:rPr>
      </w:pPr>
      <w:r w:rsidRPr="00490224">
        <w:rPr>
          <w:rFonts w:ascii="Book Antiqua" w:hAnsi="Book Antiqua"/>
          <w:b/>
          <w:bCs/>
        </w:rPr>
        <w:t>- </w:t>
      </w:r>
      <w:r w:rsidRPr="00490224">
        <w:rPr>
          <w:rFonts w:ascii="Book Antiqua" w:hAnsi="Book Antiqua"/>
          <w:b/>
          <w:bCs/>
          <w:i/>
          <w:iCs/>
        </w:rPr>
        <w:t>Novel herbicides</w:t>
      </w:r>
    </w:p>
    <w:p w:rsidR="00932455" w:rsidRPr="00490224" w:rsidRDefault="00932455" w:rsidP="00932455">
      <w:pPr>
        <w:pStyle w:val="ListParagraph"/>
        <w:numPr>
          <w:ilvl w:val="0"/>
          <w:numId w:val="3"/>
        </w:numPr>
        <w:rPr>
          <w:rFonts w:ascii="Book Antiqua" w:hAnsi="Book Antiqua"/>
          <w:b/>
          <w:bCs/>
          <w:sz w:val="22"/>
          <w:szCs w:val="22"/>
        </w:rPr>
      </w:pPr>
      <w:r w:rsidRPr="00490224">
        <w:rPr>
          <w:rFonts w:ascii="Book Antiqua" w:hAnsi="Book Antiqua"/>
          <w:b/>
          <w:bCs/>
          <w:i/>
          <w:iCs/>
          <w:sz w:val="22"/>
          <w:szCs w:val="22"/>
        </w:rPr>
        <w:t>RNAi technology</w:t>
      </w:r>
    </w:p>
    <w:p w:rsidR="00932455" w:rsidRPr="00490224" w:rsidRDefault="00932455" w:rsidP="00490224">
      <w:pPr>
        <w:jc w:val="both"/>
        <w:rPr>
          <w:rFonts w:ascii="Book Antiqua" w:hAnsi="Book Antiqua"/>
        </w:rPr>
      </w:pPr>
      <w:r w:rsidRPr="00490224">
        <w:rPr>
          <w:rFonts w:ascii="Book Antiqua" w:hAnsi="Book Antiqua"/>
        </w:rPr>
        <w:t xml:space="preserve">RNA interference (RNAi) technology (branded </w:t>
      </w:r>
      <w:proofErr w:type="spellStart"/>
      <w:r w:rsidRPr="00490224">
        <w:rPr>
          <w:rFonts w:ascii="Book Antiqua" w:hAnsi="Book Antiqua"/>
        </w:rPr>
        <w:t>BioDirect</w:t>
      </w:r>
      <w:proofErr w:type="spellEnd"/>
      <w:r w:rsidRPr="00490224">
        <w:rPr>
          <w:rFonts w:ascii="Book Antiqua" w:hAnsi="Book Antiqua"/>
        </w:rPr>
        <w:t xml:space="preserve">™ by Monsanto) may help combat weed resistance to glyphosate and potentially other herbicides. Using this technology, which is in the early stages of development, a mirror copy is made of a weed's DNA in which targeted genes can be turned on or off. Monsanto utilizes precise RNA segments directly able to inhibit the normal production of the enolypyruvyl-shikimate-3-phosphate synthase (EPSPS) protein in plants. Particularly interesting and important is that under experimental conditions it appears that </w:t>
      </w:r>
      <w:proofErr w:type="spellStart"/>
      <w:r w:rsidRPr="00490224">
        <w:rPr>
          <w:rFonts w:ascii="Book Antiqua" w:hAnsi="Book Antiqua"/>
        </w:rPr>
        <w:t>BioDirect</w:t>
      </w:r>
      <w:proofErr w:type="spellEnd"/>
      <w:r w:rsidRPr="00490224">
        <w:rPr>
          <w:rFonts w:ascii="Book Antiqua" w:hAnsi="Book Antiqua"/>
        </w:rPr>
        <w:t xml:space="preserve">™, when combined with </w:t>
      </w:r>
      <w:proofErr w:type="gramStart"/>
      <w:r w:rsidRPr="00490224">
        <w:rPr>
          <w:rFonts w:ascii="Book Antiqua" w:hAnsi="Book Antiqua"/>
        </w:rPr>
        <w:t>a</w:t>
      </w:r>
      <w:proofErr w:type="gramEnd"/>
      <w:r w:rsidRPr="00490224">
        <w:rPr>
          <w:rFonts w:ascii="Book Antiqua" w:hAnsi="Book Antiqua"/>
        </w:rPr>
        <w:t xml:space="preserve"> herbicide, can reverse resistance. It would certainly rank as a ‘game-changer’ if a POST spray application of a xenobiotic developed with this technology </w:t>
      </w:r>
      <w:r w:rsidRPr="00490224">
        <w:rPr>
          <w:rFonts w:ascii="Book Antiqua" w:hAnsi="Book Antiqua"/>
        </w:rPr>
        <w:lastRenderedPageBreak/>
        <w:t>could make HR weeds susceptible to glyphosate or other herbicides” (</w:t>
      </w:r>
      <w:proofErr w:type="spellStart"/>
      <w:r w:rsidRPr="00490224">
        <w:rPr>
          <w:rFonts w:ascii="Book Antiqua" w:hAnsi="Book Antiqua"/>
        </w:rPr>
        <w:t>Shaner</w:t>
      </w:r>
      <w:proofErr w:type="spellEnd"/>
      <w:r w:rsidRPr="00490224">
        <w:rPr>
          <w:rFonts w:ascii="Book Antiqua" w:hAnsi="Book Antiqua"/>
        </w:rPr>
        <w:t xml:space="preserve"> and </w:t>
      </w:r>
      <w:proofErr w:type="spellStart"/>
      <w:r w:rsidRPr="00490224">
        <w:rPr>
          <w:rFonts w:ascii="Book Antiqua" w:hAnsi="Book Antiqua"/>
        </w:rPr>
        <w:t>Beckie</w:t>
      </w:r>
      <w:proofErr w:type="spellEnd"/>
      <w:r w:rsidRPr="00490224">
        <w:rPr>
          <w:rFonts w:ascii="Book Antiqua" w:hAnsi="Book Antiqua"/>
        </w:rPr>
        <w:t xml:space="preserve">. The future for weed control and technology. Pest </w:t>
      </w:r>
      <w:proofErr w:type="spellStart"/>
      <w:r w:rsidRPr="00490224">
        <w:rPr>
          <w:rFonts w:ascii="Book Antiqua" w:hAnsi="Book Antiqua"/>
        </w:rPr>
        <w:t>Manag</w:t>
      </w:r>
      <w:proofErr w:type="spellEnd"/>
      <w:r w:rsidRPr="00490224">
        <w:rPr>
          <w:rFonts w:ascii="Book Antiqua" w:hAnsi="Book Antiqua"/>
        </w:rPr>
        <w:t xml:space="preserve"> </w:t>
      </w:r>
      <w:proofErr w:type="spellStart"/>
      <w:r w:rsidRPr="00490224">
        <w:rPr>
          <w:rFonts w:ascii="Book Antiqua" w:hAnsi="Book Antiqua"/>
        </w:rPr>
        <w:t>Sci</w:t>
      </w:r>
      <w:proofErr w:type="spellEnd"/>
      <w:r w:rsidRPr="00490224">
        <w:rPr>
          <w:rFonts w:ascii="Book Antiqua" w:hAnsi="Book Antiqua"/>
        </w:rPr>
        <w:t xml:space="preserve"> 2014; 70: 1329–1339).  </w:t>
      </w:r>
    </w:p>
    <w:p w:rsidR="00932455" w:rsidRPr="00490224" w:rsidRDefault="00932455" w:rsidP="00932455">
      <w:pPr>
        <w:rPr>
          <w:rFonts w:ascii="Book Antiqua" w:hAnsi="Book Antiqua"/>
          <w:bCs/>
        </w:rPr>
      </w:pPr>
      <w:r w:rsidRPr="00490224">
        <w:rPr>
          <w:rFonts w:ascii="Book Antiqua" w:hAnsi="Book Antiqua"/>
          <w:bCs/>
        </w:rPr>
        <w:t xml:space="preserve">However, this emerging technology is not limited to the use of RNA. As described in US Patent 9121022 B2 “Method for controlling herbicide-resistant plants” (assignee: Monsanto Technology) </w:t>
      </w:r>
      <w:hyperlink r:id="rId9" w:history="1">
        <w:r w:rsidRPr="00490224">
          <w:rPr>
            <w:rStyle w:val="Hyperlink"/>
            <w:rFonts w:ascii="Book Antiqua" w:hAnsi="Book Antiqua"/>
            <w:bCs/>
          </w:rPr>
          <w:t>http://www.google.com/patents/US9121022</w:t>
        </w:r>
      </w:hyperlink>
      <w:r w:rsidRPr="00490224">
        <w:rPr>
          <w:rFonts w:ascii="Book Antiqua" w:hAnsi="Book Antiqua"/>
          <w:bCs/>
        </w:rPr>
        <w:t>, the technology applies equally to DNA:</w:t>
      </w:r>
    </w:p>
    <w:p w:rsidR="00932455" w:rsidRPr="00490224" w:rsidRDefault="00932455" w:rsidP="00932455">
      <w:pPr>
        <w:jc w:val="both"/>
        <w:rPr>
          <w:rFonts w:ascii="Book Antiqua" w:hAnsi="Book Antiqua"/>
        </w:rPr>
      </w:pPr>
      <w:r w:rsidRPr="00490224">
        <w:rPr>
          <w:rFonts w:ascii="Book Antiqua" w:hAnsi="Book Antiqua"/>
        </w:rPr>
        <w:t xml:space="preserve">"In other aspects the invention provides a plant with </w:t>
      </w:r>
      <w:r w:rsidRPr="00490224">
        <w:rPr>
          <w:rFonts w:ascii="Book Antiqua" w:hAnsi="Book Antiqua"/>
          <w:u w:val="single"/>
        </w:rPr>
        <w:t>exogenous DNA or RNA</w:t>
      </w:r>
      <w:r w:rsidRPr="00490224">
        <w:rPr>
          <w:rFonts w:ascii="Book Antiqua" w:hAnsi="Book Antiqua"/>
        </w:rPr>
        <w:t xml:space="preserve"> for suppressing an endogenous gene, where the exogenous DNA is not integrated into a chromosome of the plant, the exogenous RNA is not transcribed from DNA integrated into a chromosome of the plant, and the endogenous gene is suppressed by topical application of a polynucleotide to the plant. These and other aspects of the invention are described in greater detail in the following sections.”</w:t>
      </w:r>
    </w:p>
    <w:p w:rsidR="00932455" w:rsidRPr="00490224" w:rsidRDefault="00932455" w:rsidP="00932455">
      <w:pPr>
        <w:jc w:val="both"/>
        <w:rPr>
          <w:rFonts w:ascii="Book Antiqua" w:hAnsi="Book Antiqua"/>
          <w:b/>
          <w:bCs/>
        </w:rPr>
      </w:pPr>
      <w:r w:rsidRPr="00490224">
        <w:rPr>
          <w:rFonts w:ascii="Book Antiqua" w:hAnsi="Book Antiqua"/>
        </w:rPr>
        <w:t>Other patents also make the claim to use either RNA or DNA, e.g. patent “</w:t>
      </w:r>
      <w:r w:rsidRPr="00490224">
        <w:rPr>
          <w:rFonts w:ascii="Book Antiqua" w:hAnsi="Book Antiqua"/>
          <w:bCs/>
        </w:rPr>
        <w:t>Formulations and methods for control of weedy species” WO 2014167514 A1</w:t>
      </w:r>
    </w:p>
    <w:p w:rsidR="00932455" w:rsidRPr="00490224" w:rsidRDefault="00932455" w:rsidP="00932455">
      <w:pPr>
        <w:jc w:val="both"/>
        <w:rPr>
          <w:rFonts w:ascii="Book Antiqua" w:hAnsi="Book Antiqua"/>
        </w:rPr>
      </w:pPr>
      <w:hyperlink r:id="rId10" w:history="1">
        <w:r w:rsidRPr="00490224">
          <w:rPr>
            <w:rStyle w:val="Hyperlink"/>
            <w:rFonts w:ascii="Book Antiqua" w:hAnsi="Book Antiqua"/>
          </w:rPr>
          <w:t>http://www.google.com/patents/WO2014167514A1?cl=en</w:t>
        </w:r>
      </w:hyperlink>
    </w:p>
    <w:p w:rsidR="00932455" w:rsidRPr="00490224" w:rsidRDefault="00932455" w:rsidP="00932455">
      <w:pPr>
        <w:jc w:val="both"/>
        <w:rPr>
          <w:rFonts w:ascii="Book Antiqua" w:hAnsi="Book Antiqua"/>
        </w:rPr>
      </w:pPr>
      <w:r w:rsidRPr="00490224">
        <w:rPr>
          <w:rFonts w:ascii="Book Antiqua" w:hAnsi="Book Antiqua"/>
        </w:rPr>
        <w:t xml:space="preserve">“RNAi Inducer means at least one specific nucleic acid sequence or analogue sequence that, when introduced into the body of a plant, will trigger or initiate an RNAi cascade. This can be, for example, but is not limited to </w:t>
      </w:r>
      <w:r w:rsidRPr="00490224">
        <w:rPr>
          <w:rFonts w:ascii="Book Antiqua" w:hAnsi="Book Antiqua"/>
          <w:u w:val="single"/>
        </w:rPr>
        <w:t xml:space="preserve">DNA, dsRNA, </w:t>
      </w:r>
      <w:proofErr w:type="spellStart"/>
      <w:r w:rsidRPr="00490224">
        <w:rPr>
          <w:rFonts w:ascii="Book Antiqua" w:hAnsi="Book Antiqua"/>
          <w:u w:val="single"/>
        </w:rPr>
        <w:t>ssRNA</w:t>
      </w:r>
      <w:proofErr w:type="spellEnd"/>
      <w:r w:rsidRPr="00490224">
        <w:rPr>
          <w:rFonts w:ascii="Book Antiqua" w:hAnsi="Book Antiqua"/>
          <w:u w:val="single"/>
        </w:rPr>
        <w:t>, siRNA, and miRNA sequences</w:t>
      </w:r>
      <w:r w:rsidRPr="00490224">
        <w:rPr>
          <w:rFonts w:ascii="Book Antiqua" w:hAnsi="Book Antiqua"/>
        </w:rPr>
        <w:t>.”</w:t>
      </w:r>
    </w:p>
    <w:p w:rsidR="00932455" w:rsidRPr="00490224" w:rsidRDefault="00932455" w:rsidP="00932455">
      <w:pPr>
        <w:jc w:val="both"/>
        <w:rPr>
          <w:rFonts w:ascii="Book Antiqua" w:hAnsi="Book Antiqua"/>
          <w:bCs/>
        </w:rPr>
      </w:pPr>
      <w:r w:rsidRPr="00490224">
        <w:rPr>
          <w:rFonts w:ascii="Book Antiqua" w:hAnsi="Book Antiqua"/>
          <w:bCs/>
        </w:rPr>
        <w:t xml:space="preserve">At least one product, called </w:t>
      </w:r>
      <w:proofErr w:type="spellStart"/>
      <w:r w:rsidRPr="00490224">
        <w:rPr>
          <w:rFonts w:ascii="Book Antiqua" w:hAnsi="Book Antiqua"/>
          <w:bCs/>
        </w:rPr>
        <w:t>BioDirect</w:t>
      </w:r>
      <w:proofErr w:type="spellEnd"/>
      <w:r w:rsidRPr="00490224">
        <w:rPr>
          <w:rFonts w:ascii="Book Antiqua" w:hAnsi="Book Antiqua"/>
          <w:bCs/>
        </w:rPr>
        <w:t xml:space="preserve"> (</w:t>
      </w:r>
      <w:hyperlink r:id="rId11" w:history="1">
        <w:r w:rsidRPr="00490224">
          <w:rPr>
            <w:rStyle w:val="Hyperlink"/>
            <w:rFonts w:ascii="Book Antiqua" w:hAnsi="Book Antiqua"/>
            <w:bCs/>
          </w:rPr>
          <w:t>http://www.monsanto.com/products/pages/biodirect-ag-biologicals.aspx</w:t>
        </w:r>
      </w:hyperlink>
      <w:r w:rsidRPr="00490224">
        <w:rPr>
          <w:rFonts w:ascii="Book Antiqua" w:hAnsi="Book Antiqua"/>
          <w:bCs/>
        </w:rPr>
        <w:t>) and produced by the Monsanto Company, is based on this technology.</w:t>
      </w:r>
    </w:p>
    <w:p w:rsidR="00932455" w:rsidRPr="00490224" w:rsidRDefault="00932455" w:rsidP="00932455">
      <w:pPr>
        <w:jc w:val="both"/>
        <w:rPr>
          <w:rFonts w:ascii="Book Antiqua" w:hAnsi="Book Antiqua"/>
          <w:bCs/>
        </w:rPr>
      </w:pPr>
      <w:r w:rsidRPr="00490224">
        <w:rPr>
          <w:rFonts w:ascii="Book Antiqua" w:hAnsi="Book Antiqua"/>
          <w:bCs/>
        </w:rPr>
        <w:t>These methods are claimed by some developers to be outside the coverage of genetic engineering regulations because the intent is not to create genetically modified organisms. For example</w:t>
      </w:r>
    </w:p>
    <w:p w:rsidR="00932455" w:rsidRPr="00490224" w:rsidRDefault="00932455" w:rsidP="00932455">
      <w:pPr>
        <w:pStyle w:val="ListParagraph"/>
        <w:numPr>
          <w:ilvl w:val="0"/>
          <w:numId w:val="1"/>
        </w:numPr>
        <w:jc w:val="both"/>
        <w:rPr>
          <w:rFonts w:ascii="Book Antiqua" w:hAnsi="Book Antiqua"/>
          <w:bCs/>
          <w:sz w:val="22"/>
          <w:szCs w:val="22"/>
        </w:rPr>
      </w:pPr>
      <w:r w:rsidRPr="00490224">
        <w:rPr>
          <w:rFonts w:ascii="Book Antiqua" w:hAnsi="Book Antiqua"/>
          <w:bCs/>
          <w:sz w:val="22"/>
          <w:szCs w:val="22"/>
        </w:rPr>
        <w:t>“</w:t>
      </w:r>
      <w:r w:rsidRPr="00490224">
        <w:rPr>
          <w:rFonts w:ascii="Book Antiqua" w:hAnsi="Book Antiqua"/>
          <w:b/>
          <w:bCs/>
          <w:sz w:val="22"/>
          <w:szCs w:val="22"/>
        </w:rPr>
        <w:t>Stem Shock™</w:t>
      </w:r>
      <w:r w:rsidRPr="00490224">
        <w:rPr>
          <w:rFonts w:ascii="Book Antiqua" w:hAnsi="Book Antiqua"/>
          <w:bCs/>
          <w:sz w:val="22"/>
          <w:szCs w:val="22"/>
        </w:rPr>
        <w:t xml:space="preserve"> is a programmable non-GMO herbicide platform to aid managers of towns, forests, farms, and parks in their fight against invasive or herbicide-resistant weeds.” “Uses natural, biodegradable, non-replicating and non-integrating RNA technology. </w:t>
      </w:r>
      <w:r w:rsidRPr="00490224">
        <w:rPr>
          <w:rFonts w:ascii="Book Antiqua" w:hAnsi="Book Antiqua"/>
          <w:bCs/>
          <w:sz w:val="22"/>
          <w:szCs w:val="22"/>
          <w:u w:val="single"/>
        </w:rPr>
        <w:t>Sprays or other products containing Stem Shock will be non-GMO</w:t>
      </w:r>
      <w:r w:rsidRPr="00490224">
        <w:rPr>
          <w:rFonts w:ascii="Book Antiqua" w:hAnsi="Book Antiqua"/>
          <w:bCs/>
          <w:sz w:val="22"/>
          <w:szCs w:val="22"/>
        </w:rPr>
        <w:t xml:space="preserve">. RNA is natural, present in all cells, and non-toxic.” </w:t>
      </w:r>
      <w:r w:rsidRPr="00490224">
        <w:rPr>
          <w:rFonts w:ascii="Book Antiqua" w:hAnsi="Book Antiqua"/>
          <w:bCs/>
          <w:sz w:val="22"/>
          <w:szCs w:val="22"/>
          <w:u w:val="single"/>
        </w:rPr>
        <w:t>http://stem-shock.com</w:t>
      </w:r>
    </w:p>
    <w:p w:rsidR="00932455" w:rsidRPr="00490224" w:rsidRDefault="00932455" w:rsidP="00932455">
      <w:pPr>
        <w:pStyle w:val="ListParagraph"/>
        <w:numPr>
          <w:ilvl w:val="0"/>
          <w:numId w:val="1"/>
        </w:numPr>
        <w:jc w:val="both"/>
        <w:rPr>
          <w:rFonts w:ascii="Book Antiqua" w:hAnsi="Book Antiqua"/>
          <w:bCs/>
          <w:sz w:val="22"/>
          <w:szCs w:val="22"/>
        </w:rPr>
      </w:pPr>
      <w:r w:rsidRPr="00490224">
        <w:rPr>
          <w:rFonts w:ascii="Book Antiqua" w:hAnsi="Book Antiqua"/>
          <w:bCs/>
          <w:sz w:val="22"/>
          <w:szCs w:val="22"/>
        </w:rPr>
        <w:t xml:space="preserve">“Pesticides that work by tinkering with gene expression in the pest without modifying crop genes </w:t>
      </w:r>
      <w:r w:rsidRPr="00490224">
        <w:rPr>
          <w:rFonts w:ascii="Book Antiqua" w:hAnsi="Book Antiqua"/>
          <w:bCs/>
          <w:sz w:val="22"/>
          <w:szCs w:val="22"/>
          <w:u w:val="single"/>
        </w:rPr>
        <w:t>could get around regulations on genetic modification</w:t>
      </w:r>
      <w:r w:rsidRPr="00490224">
        <w:rPr>
          <w:rFonts w:ascii="Book Antiqua" w:hAnsi="Book Antiqua"/>
          <w:bCs/>
          <w:sz w:val="22"/>
          <w:szCs w:val="22"/>
        </w:rPr>
        <w:t xml:space="preserve">. The technology is based on a process called RNA interference and may be ready within the next five years.” </w:t>
      </w:r>
      <w:hyperlink r:id="rId12" w:history="1">
        <w:r w:rsidRPr="00490224">
          <w:rPr>
            <w:rStyle w:val="Hyperlink"/>
            <w:rFonts w:ascii="Book Antiqua" w:hAnsi="Book Antiqua"/>
            <w:bCs/>
            <w:sz w:val="22"/>
            <w:szCs w:val="22"/>
          </w:rPr>
          <w:t>https://www.newscientist.com/article/dn28066-big-farmer-firms-plan-pesticides-to-manipulate-gene-expression/</w:t>
        </w:r>
      </w:hyperlink>
    </w:p>
    <w:p w:rsidR="00932455" w:rsidRPr="00490224" w:rsidRDefault="00932455" w:rsidP="00932455">
      <w:pPr>
        <w:pStyle w:val="ListParagraph"/>
        <w:jc w:val="both"/>
        <w:rPr>
          <w:rFonts w:ascii="Book Antiqua" w:hAnsi="Book Antiqua"/>
          <w:bCs/>
          <w:sz w:val="22"/>
          <w:szCs w:val="22"/>
        </w:rPr>
      </w:pPr>
    </w:p>
    <w:p w:rsidR="00932455" w:rsidRPr="00490224" w:rsidRDefault="00932455" w:rsidP="00932455">
      <w:pPr>
        <w:jc w:val="both"/>
        <w:rPr>
          <w:rFonts w:ascii="Book Antiqua" w:hAnsi="Book Antiqua"/>
          <w:bCs/>
        </w:rPr>
      </w:pPr>
      <w:r w:rsidRPr="00490224">
        <w:rPr>
          <w:rFonts w:ascii="Book Antiqua" w:hAnsi="Book Antiqua"/>
          <w:bCs/>
        </w:rPr>
        <w:t xml:space="preserve">Despite these assertions by non-regulatory sources, the Protocol is specific to the methods for the creation of living modified organisms and these are organisms that involve nucleic acid techniques that result in the uptake of nucleic acids. </w:t>
      </w:r>
    </w:p>
    <w:p w:rsidR="00932455" w:rsidRPr="00490224" w:rsidRDefault="00932455" w:rsidP="00932455">
      <w:pPr>
        <w:jc w:val="both"/>
        <w:rPr>
          <w:rFonts w:ascii="Book Antiqua" w:hAnsi="Book Antiqua"/>
          <w:bCs/>
        </w:rPr>
      </w:pPr>
      <w:r w:rsidRPr="00490224">
        <w:rPr>
          <w:rFonts w:ascii="Book Antiqua" w:hAnsi="Book Antiqua"/>
          <w:bCs/>
        </w:rPr>
        <w:t>When it comes to pest management, the intention is to kill some of those organisms that take up the nucleic acids. In which case, they might not create “living” modified organisms. However, this is not clearly the case for several reasons.</w:t>
      </w:r>
    </w:p>
    <w:p w:rsidR="00932455" w:rsidRPr="00490224" w:rsidRDefault="00932455" w:rsidP="00932455">
      <w:pPr>
        <w:pStyle w:val="ListParagraph"/>
        <w:numPr>
          <w:ilvl w:val="0"/>
          <w:numId w:val="2"/>
        </w:numPr>
        <w:jc w:val="both"/>
        <w:rPr>
          <w:rFonts w:ascii="Book Antiqua" w:hAnsi="Book Antiqua"/>
          <w:bCs/>
          <w:sz w:val="22"/>
          <w:szCs w:val="22"/>
        </w:rPr>
      </w:pPr>
      <w:r w:rsidRPr="00490224">
        <w:rPr>
          <w:rFonts w:ascii="Book Antiqua" w:hAnsi="Book Antiqua"/>
          <w:bCs/>
          <w:sz w:val="22"/>
          <w:szCs w:val="22"/>
        </w:rPr>
        <w:lastRenderedPageBreak/>
        <w:t>Non-target organisms, e</w:t>
      </w:r>
      <w:r w:rsidR="00490224" w:rsidRPr="00490224">
        <w:rPr>
          <w:rFonts w:ascii="Book Antiqua" w:hAnsi="Book Antiqua"/>
          <w:bCs/>
          <w:sz w:val="22"/>
          <w:szCs w:val="22"/>
        </w:rPr>
        <w:t>.</w:t>
      </w:r>
      <w:r w:rsidRPr="00490224">
        <w:rPr>
          <w:rFonts w:ascii="Book Antiqua" w:hAnsi="Book Antiqua"/>
          <w:bCs/>
          <w:sz w:val="22"/>
          <w:szCs w:val="22"/>
        </w:rPr>
        <w:t>g</w:t>
      </w:r>
      <w:r w:rsidR="00490224" w:rsidRPr="00490224">
        <w:rPr>
          <w:rFonts w:ascii="Book Antiqua" w:hAnsi="Book Antiqua"/>
          <w:bCs/>
          <w:sz w:val="22"/>
          <w:szCs w:val="22"/>
        </w:rPr>
        <w:t>.</w:t>
      </w:r>
      <w:r w:rsidRPr="00490224">
        <w:rPr>
          <w:rFonts w:ascii="Book Antiqua" w:hAnsi="Book Antiqua"/>
          <w:bCs/>
          <w:sz w:val="22"/>
          <w:szCs w:val="22"/>
        </w:rPr>
        <w:t>, the crop plants, are equally susceptible to taking up the nucleic acid even if the nucleic acid does not cause the intended adverse effect. These exposed plants, animals and microbes will live, potentially experiencing a recombination between their genomes and the active DNA or reverse transcribing the active RNA ingredient.</w:t>
      </w:r>
    </w:p>
    <w:p w:rsidR="00932455" w:rsidRPr="00490224" w:rsidRDefault="00932455" w:rsidP="00932455">
      <w:pPr>
        <w:pStyle w:val="ListParagraph"/>
        <w:numPr>
          <w:ilvl w:val="0"/>
          <w:numId w:val="2"/>
        </w:numPr>
        <w:jc w:val="both"/>
        <w:rPr>
          <w:rFonts w:ascii="Book Antiqua" w:hAnsi="Book Antiqua"/>
          <w:bCs/>
          <w:sz w:val="22"/>
          <w:szCs w:val="22"/>
        </w:rPr>
      </w:pPr>
      <w:r w:rsidRPr="00490224">
        <w:rPr>
          <w:rFonts w:ascii="Book Antiqua" w:hAnsi="Book Antiqua"/>
          <w:bCs/>
          <w:sz w:val="22"/>
          <w:szCs w:val="22"/>
        </w:rPr>
        <w:t>Not all target organisms may die, with the potential that they too may experience a recombination event with the introduced nucleic acid (or its derivative) and their genomes.</w:t>
      </w:r>
    </w:p>
    <w:p w:rsidR="00932455" w:rsidRPr="00490224" w:rsidRDefault="00932455" w:rsidP="00932455">
      <w:pPr>
        <w:jc w:val="both"/>
        <w:rPr>
          <w:rFonts w:ascii="Book Antiqua" w:hAnsi="Book Antiqua"/>
          <w:bCs/>
        </w:rPr>
      </w:pPr>
      <w:r w:rsidRPr="00490224">
        <w:rPr>
          <w:rFonts w:ascii="Book Antiqua" w:hAnsi="Book Antiqua"/>
          <w:bCs/>
        </w:rPr>
        <w:t xml:space="preserve">Subjecting these emerging biotechnologies to risk assessment is consistent with the Protocol, and would be appropriate to its Strategic Objective 1.3 to “further develop and support implementation of scientific tools on common approaches to risk assessment and risk management for Parties” outcome to provide guidance “on risk assessment and risk management including guidance on new developments in modern biotechnology.” </w:t>
      </w:r>
    </w:p>
    <w:p w:rsidR="00932455" w:rsidRPr="00490224" w:rsidRDefault="00932455" w:rsidP="00932455">
      <w:pPr>
        <w:rPr>
          <w:rFonts w:ascii="Book Antiqua" w:hAnsi="Book Antiqua"/>
          <w:bCs/>
        </w:rPr>
      </w:pPr>
      <w:r w:rsidRPr="00490224">
        <w:rPr>
          <w:rFonts w:ascii="Book Antiqua" w:hAnsi="Book Antiqua"/>
          <w:bCs/>
        </w:rPr>
        <w:t>Agricultural biologicals have a unique potential to cross national and regional boundaries in the form of spray drift and runoff.</w:t>
      </w:r>
    </w:p>
    <w:p w:rsidR="00932455" w:rsidRPr="00490224" w:rsidRDefault="00932455" w:rsidP="00932455">
      <w:pPr>
        <w:jc w:val="both"/>
        <w:rPr>
          <w:rFonts w:ascii="Book Antiqua" w:hAnsi="Book Antiqua"/>
        </w:rPr>
      </w:pPr>
      <w:r w:rsidRPr="00490224">
        <w:rPr>
          <w:rFonts w:ascii="Book Antiqua" w:hAnsi="Book Antiqua"/>
          <w:bCs/>
        </w:rPr>
        <w:t>For these reasons and others, we ask that the Secretariat include “</w:t>
      </w:r>
      <w:r w:rsidRPr="00490224">
        <w:rPr>
          <w:rFonts w:ascii="Book Antiqua" w:hAnsi="Book Antiqua"/>
        </w:rPr>
        <w:t>Environmental application of in vitro nucleic acid techniques that overcome natural physiological reproductive or recombination barriers, e</w:t>
      </w:r>
      <w:r w:rsidR="00490224" w:rsidRPr="00490224">
        <w:rPr>
          <w:rFonts w:ascii="Book Antiqua" w:hAnsi="Book Antiqua"/>
        </w:rPr>
        <w:t>.</w:t>
      </w:r>
      <w:r w:rsidRPr="00490224">
        <w:rPr>
          <w:rFonts w:ascii="Book Antiqua" w:hAnsi="Book Antiqua"/>
        </w:rPr>
        <w:t>g</w:t>
      </w:r>
      <w:r w:rsidR="00490224" w:rsidRPr="00490224">
        <w:rPr>
          <w:rFonts w:ascii="Book Antiqua" w:hAnsi="Book Antiqua"/>
        </w:rPr>
        <w:t>.</w:t>
      </w:r>
      <w:r w:rsidRPr="00490224">
        <w:rPr>
          <w:rFonts w:ascii="Book Antiqua" w:hAnsi="Book Antiqua"/>
        </w:rPr>
        <w:t>, for use in pest management” as a topic for future guidance.</w:t>
      </w:r>
    </w:p>
    <w:p w:rsidR="00932455" w:rsidRPr="00490224" w:rsidRDefault="00932455" w:rsidP="00932455">
      <w:pPr>
        <w:jc w:val="both"/>
      </w:pPr>
    </w:p>
    <w:p w:rsidR="00932455" w:rsidRPr="00490224" w:rsidRDefault="00932455" w:rsidP="00932455">
      <w:pPr>
        <w:shd w:val="clear" w:color="auto" w:fill="FFFFFF"/>
        <w:rPr>
          <w:rFonts w:ascii="Book Antiqua" w:eastAsia="Times New Roman" w:hAnsi="Book Antiqua" w:cs="Helvetica"/>
          <w:b/>
          <w:bCs/>
          <w:color w:val="000000"/>
          <w:lang w:val="fr-FR"/>
        </w:rPr>
      </w:pPr>
      <w:r w:rsidRPr="00490224">
        <w:rPr>
          <w:rFonts w:ascii="Book Antiqua" w:eastAsia="Times New Roman" w:hAnsi="Book Antiqua" w:cs="Helvetica"/>
          <w:b/>
          <w:bCs/>
          <w:color w:val="000000"/>
          <w:lang w:val="fr-FR"/>
        </w:rPr>
        <w:t>Ossama AbdelKawy, Ph. D</w:t>
      </w:r>
    </w:p>
    <w:p w:rsidR="00932455" w:rsidRPr="00490224" w:rsidRDefault="00932455" w:rsidP="00932455">
      <w:pPr>
        <w:shd w:val="clear" w:color="auto" w:fill="FFFFFF"/>
        <w:spacing w:after="0"/>
        <w:rPr>
          <w:rFonts w:ascii="Book Antiqua" w:eastAsia="Times New Roman" w:hAnsi="Book Antiqua" w:cs="Helvetica"/>
          <w:b/>
          <w:bCs/>
          <w:color w:val="000000"/>
          <w:lang w:val="fr-FR"/>
        </w:rPr>
      </w:pPr>
      <w:r w:rsidRPr="00490224">
        <w:rPr>
          <w:rFonts w:ascii="Book Antiqua" w:eastAsia="Times New Roman" w:hAnsi="Book Antiqua" w:cs="Helvetica"/>
          <w:b/>
          <w:bCs/>
          <w:color w:val="000000"/>
          <w:lang w:val="fr-FR"/>
        </w:rPr>
        <w:t>Conseiller Scientifique</w:t>
      </w:r>
    </w:p>
    <w:p w:rsidR="00932455" w:rsidRPr="00490224" w:rsidRDefault="00932455" w:rsidP="00932455">
      <w:pPr>
        <w:shd w:val="clear" w:color="auto" w:fill="FFFFFF"/>
        <w:spacing w:after="0"/>
        <w:rPr>
          <w:rFonts w:ascii="Book Antiqua" w:eastAsia="Times New Roman" w:hAnsi="Book Antiqua" w:cs="Helvetica"/>
          <w:b/>
          <w:bCs/>
          <w:color w:val="000000"/>
          <w:lang w:val="fr-FR"/>
        </w:rPr>
      </w:pPr>
      <w:r w:rsidRPr="00490224">
        <w:rPr>
          <w:rFonts w:ascii="Book Antiqua" w:eastAsia="Times New Roman" w:hAnsi="Book Antiqua" w:cs="Helvetica"/>
          <w:b/>
          <w:bCs/>
          <w:color w:val="000000"/>
          <w:lang w:val="fr-FR"/>
        </w:rPr>
        <w:t xml:space="preserve">Le </w:t>
      </w:r>
      <w:r w:rsidRPr="00EB68CD">
        <w:rPr>
          <w:rFonts w:ascii="Book Antiqua" w:eastAsia="Times New Roman" w:hAnsi="Book Antiqua" w:cs="Helvetica"/>
          <w:b/>
          <w:bCs/>
          <w:color w:val="000000"/>
          <w:lang w:val="fr-FR"/>
        </w:rPr>
        <w:t xml:space="preserve">Ministère </w:t>
      </w:r>
      <w:r w:rsidRPr="00490224">
        <w:rPr>
          <w:rFonts w:ascii="Book Antiqua" w:eastAsia="Times New Roman" w:hAnsi="Book Antiqua" w:cs="Helvetica"/>
          <w:b/>
          <w:bCs/>
          <w:color w:val="000000"/>
          <w:lang w:val="fr-FR"/>
        </w:rPr>
        <w:t>de l’Environnement</w:t>
      </w:r>
      <w:r w:rsidRPr="00EB68CD">
        <w:rPr>
          <w:rFonts w:ascii="Book Antiqua" w:eastAsia="Times New Roman" w:hAnsi="Book Antiqua" w:cs="Helvetica"/>
          <w:b/>
          <w:bCs/>
          <w:color w:val="000000"/>
          <w:lang w:val="fr-FR"/>
        </w:rPr>
        <w:t xml:space="preserve"> et du Développement Durable</w:t>
      </w:r>
      <w:r w:rsidRPr="00490224">
        <w:rPr>
          <w:rFonts w:ascii="Book Antiqua" w:eastAsia="Times New Roman" w:hAnsi="Book Antiqua" w:cs="Helvetica"/>
          <w:b/>
          <w:bCs/>
          <w:color w:val="000000"/>
          <w:lang w:val="fr-FR"/>
        </w:rPr>
        <w:t>, La Mauritanie.</w:t>
      </w:r>
    </w:p>
    <w:p w:rsidR="00932455" w:rsidRPr="00490224" w:rsidRDefault="00932455" w:rsidP="00932455">
      <w:pPr>
        <w:shd w:val="clear" w:color="auto" w:fill="FFFFFF"/>
        <w:spacing w:after="0"/>
        <w:rPr>
          <w:rFonts w:ascii="Book Antiqua" w:eastAsia="Times New Roman" w:hAnsi="Book Antiqua" w:cs="Helvetica"/>
          <w:b/>
          <w:bCs/>
          <w:color w:val="000000"/>
          <w:lang w:val="fr-FR"/>
        </w:rPr>
      </w:pPr>
      <w:r w:rsidRPr="00490224">
        <w:rPr>
          <w:rFonts w:ascii="Book Antiqua" w:eastAsia="Times New Roman" w:hAnsi="Book Antiqua" w:cs="Helvetica"/>
          <w:b/>
          <w:bCs/>
          <w:color w:val="000000"/>
          <w:lang w:val="fr-FR"/>
        </w:rPr>
        <w:t>Tel. : +201111561456.</w:t>
      </w:r>
    </w:p>
    <w:p w:rsidR="00630B7E" w:rsidRPr="00490224" w:rsidRDefault="00932455" w:rsidP="00932455">
      <w:pPr>
        <w:shd w:val="clear" w:color="auto" w:fill="FFFFFF"/>
        <w:spacing w:after="0"/>
        <w:rPr>
          <w:rFonts w:ascii="Book Antiqua" w:hAnsi="Book Antiqua"/>
          <w:lang w:val="fr-FR"/>
        </w:rPr>
      </w:pPr>
      <w:r w:rsidRPr="00490224">
        <w:rPr>
          <w:rFonts w:ascii="Book Antiqua" w:eastAsia="Times New Roman" w:hAnsi="Book Antiqua" w:cs="Helvetica"/>
          <w:b/>
          <w:bCs/>
          <w:color w:val="000000"/>
          <w:lang w:val="fr-FR"/>
        </w:rPr>
        <w:t>Email : elkawyo@gmail.com</w:t>
      </w:r>
    </w:p>
    <w:sectPr w:rsidR="00630B7E" w:rsidRPr="0049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045"/>
    <w:multiLevelType w:val="hybridMultilevel"/>
    <w:tmpl w:val="E65C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C28F1"/>
    <w:multiLevelType w:val="hybridMultilevel"/>
    <w:tmpl w:val="9A68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A20A4"/>
    <w:multiLevelType w:val="hybridMultilevel"/>
    <w:tmpl w:val="F9A0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E0"/>
    <w:rsid w:val="00021249"/>
    <w:rsid w:val="002324D5"/>
    <w:rsid w:val="00490224"/>
    <w:rsid w:val="00491FDC"/>
    <w:rsid w:val="00630B7E"/>
    <w:rsid w:val="007432AB"/>
    <w:rsid w:val="0082546C"/>
    <w:rsid w:val="0088649F"/>
    <w:rsid w:val="00886BC3"/>
    <w:rsid w:val="00932455"/>
    <w:rsid w:val="009B6176"/>
    <w:rsid w:val="00C3401A"/>
    <w:rsid w:val="00F76FB7"/>
    <w:rsid w:val="00F93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73E8"/>
  <w15:chartTrackingRefBased/>
  <w15:docId w15:val="{97C72384-945A-4207-A959-6A742130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455"/>
    <w:rPr>
      <w:color w:val="0563C1" w:themeColor="hyperlink"/>
      <w:u w:val="single"/>
    </w:rPr>
  </w:style>
  <w:style w:type="paragraph" w:styleId="ListParagraph">
    <w:name w:val="List Paragraph"/>
    <w:basedOn w:val="Normal"/>
    <w:uiPriority w:val="34"/>
    <w:qFormat/>
    <w:rsid w:val="00932455"/>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atents/WO2014167514A1?cl=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ikhysidi@yahoo.fr" TargetMode="External"/><Relationship Id="rId12" Type="http://schemas.openxmlformats.org/officeDocument/2006/relationships/hyperlink" Target="https://www.newscientist.com/article/dn28066-big-farmer-firms-plan-pesticides-to-manipulate-gene-exp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onsanto.com/products/pages/biodirect-ag-biologicals.aspx" TargetMode="External"/><Relationship Id="rId5" Type="http://schemas.openxmlformats.org/officeDocument/2006/relationships/image" Target="media/image1.jpeg"/><Relationship Id="rId10" Type="http://schemas.openxmlformats.org/officeDocument/2006/relationships/hyperlink" Target="http://www.google.com/patents/WO2014167514A1?cl=en" TargetMode="External"/><Relationship Id="rId4" Type="http://schemas.openxmlformats.org/officeDocument/2006/relationships/webSettings" Target="webSettings.xml"/><Relationship Id="rId9" Type="http://schemas.openxmlformats.org/officeDocument/2006/relationships/hyperlink" Target="http://www.google.com/patents/US9121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O.A.El-Kawy</dc:creator>
  <cp:keywords/>
  <dc:description/>
  <cp:lastModifiedBy>O.A.El-Kawy</cp:lastModifiedBy>
  <cp:revision>4</cp:revision>
  <cp:lastPrinted>2016-05-25T07:20:00Z</cp:lastPrinted>
  <dcterms:created xsi:type="dcterms:W3CDTF">2016-08-01T19:31:00Z</dcterms:created>
  <dcterms:modified xsi:type="dcterms:W3CDTF">2016-08-01T19:58:00Z</dcterms:modified>
</cp:coreProperties>
</file>