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CB6" w:rsidRDefault="009147A8" w:rsidP="001A22EC">
      <w:pPr>
        <w:pStyle w:val="Default"/>
        <w:jc w:val="both"/>
        <w:rPr>
          <w:rFonts w:ascii="Times New Roman" w:hAnsi="Times New Roman" w:cs="Times New Roman"/>
          <w:b/>
        </w:rPr>
      </w:pPr>
      <w:r w:rsidRPr="00BC4707">
        <w:rPr>
          <w:rFonts w:ascii="Times New Roman" w:hAnsi="Times New Roman" w:cs="Times New Roman"/>
          <w:b/>
        </w:rPr>
        <w:t xml:space="preserve">Response to the Notification </w:t>
      </w:r>
      <w:r w:rsidR="008C1CB6" w:rsidRPr="008C1CB6">
        <w:rPr>
          <w:rFonts w:ascii="Times New Roman" w:hAnsi="Times New Roman" w:cs="Times New Roman"/>
          <w:b/>
        </w:rPr>
        <w:t xml:space="preserve">of the Secretariat </w:t>
      </w:r>
      <w:r w:rsidR="008C1CB6">
        <w:rPr>
          <w:rFonts w:ascii="Times New Roman" w:hAnsi="Times New Roman" w:cs="Times New Roman"/>
          <w:b/>
        </w:rPr>
        <w:t>regarding the Submission of information on Synthetic B</w:t>
      </w:r>
      <w:r w:rsidR="008C1CB6" w:rsidRPr="008C1CB6">
        <w:rPr>
          <w:rFonts w:ascii="Times New Roman" w:hAnsi="Times New Roman" w:cs="Times New Roman"/>
          <w:b/>
        </w:rPr>
        <w:t xml:space="preserve">iology </w:t>
      </w:r>
      <w:r w:rsidR="008C1CB6">
        <w:rPr>
          <w:rFonts w:ascii="Times New Roman" w:hAnsi="Times New Roman" w:cs="Times New Roman"/>
          <w:b/>
        </w:rPr>
        <w:t>[</w:t>
      </w:r>
      <w:r w:rsidR="00377FDC">
        <w:rPr>
          <w:rFonts w:ascii="Times New Roman" w:hAnsi="Times New Roman" w:cs="Times New Roman"/>
          <w:b/>
        </w:rPr>
        <w:t xml:space="preserve">Ref: </w:t>
      </w:r>
      <w:r w:rsidR="008C1CB6" w:rsidRPr="008C1CB6">
        <w:rPr>
          <w:rFonts w:ascii="Times New Roman" w:hAnsi="Times New Roman" w:cs="Times New Roman"/>
          <w:b/>
        </w:rPr>
        <w:t>SCBD/SPS/DC/MPM/DA/86613</w:t>
      </w:r>
      <w:r w:rsidR="008C1CB6">
        <w:rPr>
          <w:rFonts w:ascii="Times New Roman" w:hAnsi="Times New Roman" w:cs="Times New Roman"/>
          <w:b/>
        </w:rPr>
        <w:t xml:space="preserve">] </w:t>
      </w:r>
    </w:p>
    <w:p w:rsidR="001A22EC" w:rsidRDefault="00434BC4" w:rsidP="001A22EC">
      <w:pPr>
        <w:pStyle w:val="Default"/>
        <w:jc w:val="both"/>
        <w:rPr>
          <w:rFonts w:ascii="Times New Roman" w:hAnsi="Times New Roman" w:cs="Times New Roman"/>
          <w:b/>
        </w:rPr>
      </w:pPr>
      <w:r>
        <w:rPr>
          <w:rFonts w:ascii="Times New Roman" w:hAnsi="Times New Roman" w:cs="Times New Roman"/>
          <w:b/>
        </w:rPr>
        <w:t xml:space="preserve"> </w:t>
      </w:r>
    </w:p>
    <w:p w:rsidR="0029166B" w:rsidRPr="001A22EC" w:rsidRDefault="0029166B" w:rsidP="001A22EC">
      <w:pPr>
        <w:jc w:val="both"/>
        <w:rPr>
          <w:sz w:val="24"/>
        </w:rPr>
      </w:pPr>
    </w:p>
    <w:p w:rsidR="001A22EC" w:rsidRPr="001A22EC" w:rsidRDefault="001A22EC" w:rsidP="001A22EC">
      <w:pPr>
        <w:jc w:val="both"/>
        <w:rPr>
          <w:b/>
          <w:sz w:val="24"/>
        </w:rPr>
      </w:pPr>
      <w:r w:rsidRPr="001A22EC">
        <w:rPr>
          <w:b/>
          <w:sz w:val="24"/>
        </w:rPr>
        <w:t>(A) Research, cooperation and activities noted in the sub-paragraphs (a) through (c) above;</w:t>
      </w:r>
    </w:p>
    <w:p w:rsidR="0074111A" w:rsidRDefault="0074111A" w:rsidP="001A22EC">
      <w:pPr>
        <w:jc w:val="both"/>
        <w:rPr>
          <w:sz w:val="24"/>
        </w:rPr>
      </w:pPr>
    </w:p>
    <w:p w:rsidR="0029166B" w:rsidRDefault="0074111A" w:rsidP="0029166B">
      <w:pPr>
        <w:jc w:val="both"/>
        <w:rPr>
          <w:sz w:val="24"/>
        </w:rPr>
      </w:pPr>
      <w:r>
        <w:rPr>
          <w:sz w:val="24"/>
        </w:rPr>
        <w:t xml:space="preserve">In Brazil, </w:t>
      </w:r>
      <w:r w:rsidRPr="0074111A">
        <w:rPr>
          <w:sz w:val="24"/>
        </w:rPr>
        <w:t xml:space="preserve">activities developed </w:t>
      </w:r>
      <w:r w:rsidR="00434BC4">
        <w:rPr>
          <w:sz w:val="24"/>
        </w:rPr>
        <w:t>based on</w:t>
      </w:r>
      <w:r w:rsidRPr="0074111A">
        <w:rPr>
          <w:sz w:val="24"/>
        </w:rPr>
        <w:t xml:space="preserve"> the application of synthetic biology are </w:t>
      </w:r>
      <w:r w:rsidR="0029166B">
        <w:rPr>
          <w:sz w:val="24"/>
        </w:rPr>
        <w:t xml:space="preserve">regulated by the national </w:t>
      </w:r>
      <w:r w:rsidRPr="0074111A">
        <w:rPr>
          <w:sz w:val="24"/>
        </w:rPr>
        <w:t>Biosafety Law (Law n. 11.105/2005), which considers</w:t>
      </w:r>
      <w:r w:rsidR="0029166B">
        <w:rPr>
          <w:sz w:val="24"/>
        </w:rPr>
        <w:t xml:space="preserve"> an</w:t>
      </w:r>
      <w:r w:rsidRPr="0074111A">
        <w:rPr>
          <w:sz w:val="24"/>
        </w:rPr>
        <w:t xml:space="preserve"> organism developed by </w:t>
      </w:r>
      <w:r w:rsidR="00434BC4">
        <w:rPr>
          <w:sz w:val="24"/>
        </w:rPr>
        <w:t>this technology</w:t>
      </w:r>
      <w:r w:rsidRPr="0074111A">
        <w:rPr>
          <w:sz w:val="24"/>
        </w:rPr>
        <w:t xml:space="preserve"> a Genetically Modified Organism</w:t>
      </w:r>
      <w:r w:rsidR="0029166B">
        <w:rPr>
          <w:sz w:val="24"/>
        </w:rPr>
        <w:t>.</w:t>
      </w:r>
      <w:r w:rsidR="0029166B" w:rsidRPr="0029166B">
        <w:rPr>
          <w:sz w:val="24"/>
        </w:rPr>
        <w:t xml:space="preserve"> This law follows a case-by-case approach, based on scientific evidence.</w:t>
      </w:r>
      <w:r w:rsidR="0029166B">
        <w:rPr>
          <w:sz w:val="24"/>
        </w:rPr>
        <w:t xml:space="preserve"> The risk assessment analysis of GMOs is conducted according to the terms of Article 44 of Fede</w:t>
      </w:r>
      <w:r w:rsidR="00434BC4">
        <w:rPr>
          <w:sz w:val="24"/>
        </w:rPr>
        <w:t xml:space="preserve">ral Decree n. 5.591/2005 and </w:t>
      </w:r>
      <w:r w:rsidR="0029166B">
        <w:rPr>
          <w:sz w:val="24"/>
        </w:rPr>
        <w:t>Normative Resolution n</w:t>
      </w:r>
      <w:r w:rsidR="0029166B" w:rsidRPr="0029166B">
        <w:rPr>
          <w:sz w:val="24"/>
        </w:rPr>
        <w:t>. 05/2008.</w:t>
      </w:r>
      <w:r w:rsidR="0029166B">
        <w:rPr>
          <w:sz w:val="24"/>
        </w:rPr>
        <w:t xml:space="preserve"> It is worth noting that </w:t>
      </w:r>
      <w:r w:rsidR="0029166B" w:rsidRPr="0029166B">
        <w:rPr>
          <w:sz w:val="24"/>
        </w:rPr>
        <w:t>these regulations contain t</w:t>
      </w:r>
      <w:r w:rsidR="00434BC4">
        <w:rPr>
          <w:sz w:val="24"/>
        </w:rPr>
        <w:t xml:space="preserve">he methodologies established in </w:t>
      </w:r>
      <w:r w:rsidR="0029166B" w:rsidRPr="0029166B">
        <w:rPr>
          <w:sz w:val="24"/>
        </w:rPr>
        <w:t>Annex III of the Cartagena Protocol</w:t>
      </w:r>
      <w:r w:rsidR="0029166B">
        <w:rPr>
          <w:sz w:val="24"/>
        </w:rPr>
        <w:t>.</w:t>
      </w:r>
      <w:r w:rsidR="0029166B" w:rsidRPr="0029166B">
        <w:rPr>
          <w:sz w:val="24"/>
        </w:rPr>
        <w:t xml:space="preserve"> </w:t>
      </w:r>
      <w:r w:rsidR="0029166B">
        <w:rPr>
          <w:sz w:val="24"/>
        </w:rPr>
        <w:t>R</w:t>
      </w:r>
      <w:r w:rsidR="0029166B" w:rsidRPr="0029166B">
        <w:rPr>
          <w:sz w:val="24"/>
        </w:rPr>
        <w:t>esearch activities include projects developed by public and private institutions</w:t>
      </w:r>
      <w:r w:rsidR="00434BC4">
        <w:rPr>
          <w:sz w:val="24"/>
        </w:rPr>
        <w:t>,</w:t>
      </w:r>
      <w:r w:rsidR="0029166B" w:rsidRPr="0029166B">
        <w:rPr>
          <w:sz w:val="24"/>
        </w:rPr>
        <w:t xml:space="preserve"> and all the requirements and biosafe</w:t>
      </w:r>
      <w:r w:rsidR="00434BC4">
        <w:rPr>
          <w:sz w:val="24"/>
        </w:rPr>
        <w:t xml:space="preserve">ty measures are described in </w:t>
      </w:r>
      <w:r w:rsidR="0029166B" w:rsidRPr="0029166B">
        <w:rPr>
          <w:sz w:val="24"/>
        </w:rPr>
        <w:t xml:space="preserve"> </w:t>
      </w:r>
      <w:r w:rsidR="00434BC4" w:rsidRPr="00434BC4">
        <w:rPr>
          <w:sz w:val="24"/>
        </w:rPr>
        <w:t xml:space="preserve">National Biosafety Technical </w:t>
      </w:r>
      <w:proofErr w:type="spellStart"/>
      <w:r w:rsidR="00434BC4" w:rsidRPr="00434BC4">
        <w:rPr>
          <w:sz w:val="24"/>
        </w:rPr>
        <w:t>Comission</w:t>
      </w:r>
      <w:proofErr w:type="spellEnd"/>
      <w:r w:rsidR="00434BC4" w:rsidRPr="00434BC4">
        <w:rPr>
          <w:sz w:val="24"/>
        </w:rPr>
        <w:t xml:space="preserve"> </w:t>
      </w:r>
      <w:r w:rsidR="00434BC4">
        <w:rPr>
          <w:sz w:val="24"/>
        </w:rPr>
        <w:t>(</w:t>
      </w:r>
      <w:proofErr w:type="spellStart"/>
      <w:r w:rsidR="0029166B" w:rsidRPr="0029166B">
        <w:rPr>
          <w:sz w:val="24"/>
        </w:rPr>
        <w:t>CTNBio</w:t>
      </w:r>
      <w:proofErr w:type="spellEnd"/>
      <w:r w:rsidR="00434BC4">
        <w:rPr>
          <w:sz w:val="24"/>
        </w:rPr>
        <w:t>)</w:t>
      </w:r>
      <w:r w:rsidR="0029166B" w:rsidRPr="0029166B">
        <w:rPr>
          <w:sz w:val="24"/>
        </w:rPr>
        <w:t xml:space="preserve"> Normative Resolution</w:t>
      </w:r>
      <w:r w:rsidR="00434BC4">
        <w:rPr>
          <w:sz w:val="24"/>
        </w:rPr>
        <w:t>s</w:t>
      </w:r>
      <w:r w:rsidR="0029166B" w:rsidRPr="0029166B">
        <w:rPr>
          <w:sz w:val="24"/>
        </w:rPr>
        <w:t xml:space="preserve"> No. 01/2006 and No. 02/2006.</w:t>
      </w:r>
      <w:r w:rsidR="0029166B">
        <w:rPr>
          <w:sz w:val="24"/>
        </w:rPr>
        <w:t xml:space="preserve"> </w:t>
      </w:r>
    </w:p>
    <w:p w:rsidR="0029166B" w:rsidRDefault="0029166B" w:rsidP="0029166B">
      <w:pPr>
        <w:jc w:val="both"/>
        <w:rPr>
          <w:sz w:val="24"/>
        </w:rPr>
      </w:pPr>
    </w:p>
    <w:p w:rsidR="0074111A" w:rsidRPr="0074111A" w:rsidRDefault="0029166B" w:rsidP="0074111A">
      <w:pPr>
        <w:jc w:val="both"/>
        <w:rPr>
          <w:sz w:val="24"/>
        </w:rPr>
      </w:pPr>
      <w:r w:rsidRPr="0029166B">
        <w:rPr>
          <w:sz w:val="24"/>
        </w:rPr>
        <w:t xml:space="preserve">It is important to emphasize that the process of risk assessments conducted in Brazil includes meetings with </w:t>
      </w:r>
      <w:r>
        <w:rPr>
          <w:sz w:val="24"/>
        </w:rPr>
        <w:t>relevant</w:t>
      </w:r>
      <w:r w:rsidRPr="0029166B">
        <w:rPr>
          <w:sz w:val="24"/>
        </w:rPr>
        <w:t xml:space="preserve"> sectors (civil society,</w:t>
      </w:r>
      <w:r>
        <w:rPr>
          <w:sz w:val="24"/>
        </w:rPr>
        <w:t xml:space="preserve"> academia, and private sector</w:t>
      </w:r>
      <w:r w:rsidR="00377FDC">
        <w:rPr>
          <w:sz w:val="24"/>
        </w:rPr>
        <w:t>)</w:t>
      </w:r>
      <w:r w:rsidRPr="0029166B">
        <w:rPr>
          <w:sz w:val="24"/>
        </w:rPr>
        <w:t xml:space="preserve"> and public consultation</w:t>
      </w:r>
      <w:r w:rsidR="000C60DC">
        <w:rPr>
          <w:sz w:val="24"/>
        </w:rPr>
        <w:t>s</w:t>
      </w:r>
      <w:r w:rsidR="00377FDC">
        <w:rPr>
          <w:sz w:val="24"/>
        </w:rPr>
        <w:t xml:space="preserve">. </w:t>
      </w:r>
      <w:r w:rsidR="0074111A" w:rsidRPr="0074111A">
        <w:rPr>
          <w:sz w:val="24"/>
        </w:rPr>
        <w:t>The public and multi-stakeholder dialogues include bilateral meetings with different countries, the publication of all previous and final decisions about GMOs on the internet (http://ctnbio.mcti.gov.br</w:t>
      </w:r>
      <w:r w:rsidR="00AB061E">
        <w:rPr>
          <w:sz w:val="24"/>
        </w:rPr>
        <w:t xml:space="preserve">/) and in </w:t>
      </w:r>
      <w:r>
        <w:rPr>
          <w:sz w:val="24"/>
        </w:rPr>
        <w:t>official</w:t>
      </w:r>
      <w:r w:rsidR="00AB061E">
        <w:rPr>
          <w:sz w:val="24"/>
        </w:rPr>
        <w:t xml:space="preserve"> documents</w:t>
      </w:r>
      <w:r w:rsidR="0074111A" w:rsidRPr="0074111A">
        <w:rPr>
          <w:sz w:val="24"/>
        </w:rPr>
        <w:t>, public hearings about ne</w:t>
      </w:r>
      <w:r w:rsidR="00AB061E">
        <w:rPr>
          <w:sz w:val="24"/>
        </w:rPr>
        <w:t>w events, open</w:t>
      </w:r>
      <w:r w:rsidR="0074111A" w:rsidRPr="0074111A">
        <w:rPr>
          <w:sz w:val="24"/>
        </w:rPr>
        <w:t xml:space="preserve"> Nationa</w:t>
      </w:r>
      <w:r w:rsidR="00AB061E">
        <w:rPr>
          <w:sz w:val="24"/>
        </w:rPr>
        <w:t xml:space="preserve">l Biosafety Technical </w:t>
      </w:r>
      <w:proofErr w:type="spellStart"/>
      <w:r w:rsidR="00AB061E">
        <w:rPr>
          <w:sz w:val="24"/>
        </w:rPr>
        <w:t>Comission</w:t>
      </w:r>
      <w:proofErr w:type="spellEnd"/>
      <w:r w:rsidR="0074111A" w:rsidRPr="0074111A">
        <w:rPr>
          <w:sz w:val="24"/>
        </w:rPr>
        <w:t xml:space="preserve"> meetings</w:t>
      </w:r>
      <w:r w:rsidR="00AB061E">
        <w:rPr>
          <w:sz w:val="24"/>
        </w:rPr>
        <w:t xml:space="preserve"> (</w:t>
      </w:r>
      <w:proofErr w:type="spellStart"/>
      <w:r w:rsidR="00AB061E" w:rsidRPr="00AB061E">
        <w:rPr>
          <w:sz w:val="24"/>
        </w:rPr>
        <w:t>CTNBio</w:t>
      </w:r>
      <w:proofErr w:type="spellEnd"/>
      <w:r w:rsidR="00AB061E">
        <w:rPr>
          <w:sz w:val="24"/>
        </w:rPr>
        <w:t>)</w:t>
      </w:r>
      <w:r w:rsidR="00AB061E" w:rsidRPr="00AB061E">
        <w:rPr>
          <w:sz w:val="24"/>
        </w:rPr>
        <w:t xml:space="preserve"> </w:t>
      </w:r>
      <w:r w:rsidR="0074111A" w:rsidRPr="0074111A">
        <w:rPr>
          <w:sz w:val="24"/>
        </w:rPr>
        <w:t xml:space="preserve">with public participation, government-industry dialogues about biotech themes, </w:t>
      </w:r>
      <w:r w:rsidR="00AB061E">
        <w:rPr>
          <w:sz w:val="24"/>
        </w:rPr>
        <w:t xml:space="preserve">and </w:t>
      </w:r>
      <w:r w:rsidR="0074111A" w:rsidRPr="0074111A">
        <w:rPr>
          <w:sz w:val="24"/>
        </w:rPr>
        <w:t>government particip</w:t>
      </w:r>
      <w:r w:rsidR="00AB061E">
        <w:rPr>
          <w:sz w:val="24"/>
        </w:rPr>
        <w:t>ation in different biotech forum</w:t>
      </w:r>
      <w:r w:rsidR="0074111A" w:rsidRPr="0074111A">
        <w:rPr>
          <w:sz w:val="24"/>
        </w:rPr>
        <w:t>s.</w:t>
      </w:r>
    </w:p>
    <w:p w:rsidR="0074111A" w:rsidRPr="0074111A" w:rsidRDefault="0074111A" w:rsidP="0074111A">
      <w:pPr>
        <w:jc w:val="both"/>
        <w:rPr>
          <w:sz w:val="24"/>
        </w:rPr>
      </w:pPr>
      <w:r w:rsidRPr="0074111A">
        <w:rPr>
          <w:sz w:val="24"/>
        </w:rPr>
        <w:t>      </w:t>
      </w:r>
    </w:p>
    <w:p w:rsidR="0074111A" w:rsidRPr="001A22EC" w:rsidRDefault="0074111A" w:rsidP="001A22EC">
      <w:pPr>
        <w:jc w:val="both"/>
        <w:rPr>
          <w:sz w:val="24"/>
        </w:rPr>
      </w:pPr>
    </w:p>
    <w:p w:rsidR="001A22EC" w:rsidRDefault="001A22EC" w:rsidP="001A22EC">
      <w:pPr>
        <w:jc w:val="both"/>
        <w:rPr>
          <w:b/>
          <w:sz w:val="24"/>
        </w:rPr>
      </w:pPr>
      <w:r w:rsidRPr="001A22EC">
        <w:rPr>
          <w:b/>
          <w:sz w:val="24"/>
        </w:rPr>
        <w:t>(B) Evidence of benefits and adverse effects of synthetic biology vis-à-vis the three objectives of the Convention;</w:t>
      </w:r>
    </w:p>
    <w:p w:rsidR="00B0421F" w:rsidRPr="001A22EC" w:rsidRDefault="00B0421F" w:rsidP="001A22EC">
      <w:pPr>
        <w:jc w:val="both"/>
        <w:rPr>
          <w:b/>
          <w:sz w:val="24"/>
        </w:rPr>
      </w:pPr>
    </w:p>
    <w:p w:rsidR="00B0421F" w:rsidRDefault="00B0421F" w:rsidP="00B0421F">
      <w:pPr>
        <w:jc w:val="both"/>
        <w:rPr>
          <w:sz w:val="24"/>
        </w:rPr>
      </w:pPr>
      <w:r w:rsidRPr="00B0421F">
        <w:rPr>
          <w:sz w:val="24"/>
        </w:rPr>
        <w:t>Organisms produced by nucleic acid synthesis, as well as GM organisms, are designed for a specific application, in such a way that they may contribute to a large variety of uses. Through the use of synthetic biology</w:t>
      </w:r>
      <w:r w:rsidR="00377FDC">
        <w:rPr>
          <w:sz w:val="24"/>
        </w:rPr>
        <w:t>,</w:t>
      </w:r>
      <w:r w:rsidRPr="00B0421F">
        <w:rPr>
          <w:sz w:val="24"/>
        </w:rPr>
        <w:t xml:space="preserve"> scientists </w:t>
      </w:r>
      <w:r w:rsidR="00377FDC">
        <w:rPr>
          <w:sz w:val="24"/>
        </w:rPr>
        <w:t>are</w:t>
      </w:r>
      <w:r w:rsidRPr="00B0421F">
        <w:rPr>
          <w:sz w:val="24"/>
        </w:rPr>
        <w:t xml:space="preserve"> able to design and build engineered biological systems that process information, manipulate chemicals, fabricate materials and structures (e.g., chemicals, proteins, enzymes, and fibers), produce energy (e.g., new fuels, biofuels, low-carbon fuels, energy security), provide food (e.g., plants and animals resistant to diseases and pests and/or adapted to different regions with high productivity), and maintain or enhance human health (e.g., pharmaceuticals, vaccines, hormones, diagnostic agents) and the environment (e.g., detection, treatment and pollutant degradation, bioremediation, </w:t>
      </w:r>
      <w:proofErr w:type="spellStart"/>
      <w:r w:rsidRPr="00B0421F">
        <w:rPr>
          <w:sz w:val="24"/>
        </w:rPr>
        <w:t>biomining</w:t>
      </w:r>
      <w:proofErr w:type="spellEnd"/>
      <w:r w:rsidRPr="00B0421F">
        <w:rPr>
          <w:sz w:val="24"/>
        </w:rPr>
        <w:t xml:space="preserve">, reduction of greenhouse gas emissions, development of environmentally-friendly plastic, </w:t>
      </w:r>
      <w:proofErr w:type="spellStart"/>
      <w:r w:rsidRPr="00B0421F">
        <w:rPr>
          <w:sz w:val="24"/>
        </w:rPr>
        <w:t>etc</w:t>
      </w:r>
      <w:proofErr w:type="spellEnd"/>
      <w:r w:rsidRPr="00B0421F">
        <w:rPr>
          <w:sz w:val="24"/>
        </w:rPr>
        <w:t>). I</w:t>
      </w:r>
      <w:r w:rsidR="00377FDC">
        <w:rPr>
          <w:sz w:val="24"/>
        </w:rPr>
        <w:t>t is important to mention that synthetic b</w:t>
      </w:r>
      <w:r w:rsidRPr="00B0421F">
        <w:rPr>
          <w:sz w:val="24"/>
        </w:rPr>
        <w:t xml:space="preserve">iology also can be used to address some of the </w:t>
      </w:r>
      <w:r w:rsidR="00377FDC">
        <w:rPr>
          <w:sz w:val="24"/>
        </w:rPr>
        <w:t>main</w:t>
      </w:r>
      <w:r w:rsidRPr="00B0421F">
        <w:rPr>
          <w:sz w:val="24"/>
        </w:rPr>
        <w:t xml:space="preserve"> challenges facing soc</w:t>
      </w:r>
      <w:r w:rsidR="00377FDC">
        <w:rPr>
          <w:sz w:val="24"/>
        </w:rPr>
        <w:t>iety: climate change mitigation; energy security;</w:t>
      </w:r>
      <w:r w:rsidRPr="00B0421F">
        <w:rPr>
          <w:sz w:val="24"/>
        </w:rPr>
        <w:t xml:space="preserve"> </w:t>
      </w:r>
      <w:r w:rsidR="00377FDC">
        <w:rPr>
          <w:sz w:val="24"/>
        </w:rPr>
        <w:t>water, soil and food security;</w:t>
      </w:r>
      <w:r w:rsidRPr="00B0421F">
        <w:rPr>
          <w:sz w:val="24"/>
        </w:rPr>
        <w:t xml:space="preserve"> im</w:t>
      </w:r>
      <w:r w:rsidR="00377FDC">
        <w:rPr>
          <w:sz w:val="24"/>
        </w:rPr>
        <w:t>proving the health of the world'</w:t>
      </w:r>
      <w:r w:rsidRPr="00B0421F">
        <w:rPr>
          <w:sz w:val="24"/>
        </w:rPr>
        <w:t>s</w:t>
      </w:r>
      <w:r w:rsidR="00377FDC">
        <w:rPr>
          <w:sz w:val="24"/>
        </w:rPr>
        <w:t xml:space="preserve"> poor and of ageing populations;</w:t>
      </w:r>
      <w:r w:rsidRPr="00B0421F">
        <w:rPr>
          <w:sz w:val="24"/>
        </w:rPr>
        <w:t xml:space="preserve"> and environmental protection.</w:t>
      </w:r>
    </w:p>
    <w:p w:rsidR="00B0421F" w:rsidRPr="00B0421F" w:rsidRDefault="00B0421F" w:rsidP="00B0421F">
      <w:pPr>
        <w:jc w:val="both"/>
        <w:rPr>
          <w:sz w:val="24"/>
        </w:rPr>
      </w:pPr>
    </w:p>
    <w:p w:rsidR="00B0421F" w:rsidRDefault="00725744" w:rsidP="00B0421F">
      <w:pPr>
        <w:jc w:val="both"/>
        <w:rPr>
          <w:sz w:val="24"/>
        </w:rPr>
      </w:pPr>
      <w:r>
        <w:rPr>
          <w:sz w:val="24"/>
        </w:rPr>
        <w:t>It is not ye</w:t>
      </w:r>
      <w:r w:rsidR="00434BC4">
        <w:rPr>
          <w:sz w:val="24"/>
        </w:rPr>
        <w:t>t</w:t>
      </w:r>
      <w:r>
        <w:rPr>
          <w:sz w:val="24"/>
        </w:rPr>
        <w:t xml:space="preserve"> scientifically proven if</w:t>
      </w:r>
      <w:r w:rsidR="00434BC4">
        <w:rPr>
          <w:sz w:val="24"/>
        </w:rPr>
        <w:t xml:space="preserve"> risks that derive</w:t>
      </w:r>
      <w:r w:rsidR="00B0421F" w:rsidRPr="00B0421F">
        <w:rPr>
          <w:sz w:val="24"/>
        </w:rPr>
        <w:t xml:space="preserve"> from synthetic biology are the same as risks presented by GMO</w:t>
      </w:r>
      <w:r w:rsidR="00B0421F">
        <w:rPr>
          <w:sz w:val="24"/>
        </w:rPr>
        <w:t>s</w:t>
      </w:r>
      <w:r>
        <w:rPr>
          <w:sz w:val="24"/>
        </w:rPr>
        <w:t>,</w:t>
      </w:r>
      <w:r w:rsidR="00B0421F" w:rsidRPr="00B0421F">
        <w:rPr>
          <w:sz w:val="24"/>
        </w:rPr>
        <w:t xml:space="preserve"> and</w:t>
      </w:r>
      <w:r w:rsidR="00377FDC">
        <w:rPr>
          <w:sz w:val="24"/>
        </w:rPr>
        <w:t xml:space="preserve"> should </w:t>
      </w:r>
      <w:r>
        <w:rPr>
          <w:sz w:val="24"/>
        </w:rPr>
        <w:t xml:space="preserve">therefore </w:t>
      </w:r>
      <w:r w:rsidR="00377FDC">
        <w:rPr>
          <w:sz w:val="24"/>
        </w:rPr>
        <w:t>be</w:t>
      </w:r>
      <w:r w:rsidR="00B0421F" w:rsidRPr="00B0421F">
        <w:rPr>
          <w:sz w:val="24"/>
        </w:rPr>
        <w:t xml:space="preserve"> approached</w:t>
      </w:r>
      <w:r w:rsidR="00377FDC">
        <w:rPr>
          <w:sz w:val="24"/>
        </w:rPr>
        <w:t xml:space="preserve"> by</w:t>
      </w:r>
      <w:r w:rsidR="00B0421F" w:rsidRPr="00B0421F">
        <w:rPr>
          <w:sz w:val="24"/>
        </w:rPr>
        <w:t xml:space="preserve"> applying th</w:t>
      </w:r>
      <w:r w:rsidR="00434BC4">
        <w:rPr>
          <w:sz w:val="24"/>
        </w:rPr>
        <w:t>e correct risk hypothesis. The</w:t>
      </w:r>
      <w:r w:rsidR="00B0421F" w:rsidRPr="00B0421F">
        <w:rPr>
          <w:sz w:val="24"/>
        </w:rPr>
        <w:t xml:space="preserve"> risks related with the three objectives of the Convention are:</w:t>
      </w:r>
    </w:p>
    <w:p w:rsidR="00434BC4" w:rsidRPr="00B0421F" w:rsidRDefault="00434BC4" w:rsidP="00B0421F">
      <w:pPr>
        <w:jc w:val="both"/>
        <w:rPr>
          <w:sz w:val="24"/>
        </w:rPr>
      </w:pPr>
    </w:p>
    <w:p w:rsidR="00B0421F" w:rsidRPr="00B0421F" w:rsidRDefault="00B0421F" w:rsidP="00B0421F">
      <w:pPr>
        <w:jc w:val="both"/>
        <w:rPr>
          <w:sz w:val="24"/>
        </w:rPr>
      </w:pPr>
      <w:r w:rsidRPr="00B0421F">
        <w:rPr>
          <w:sz w:val="24"/>
        </w:rPr>
        <w:t xml:space="preserve">-          </w:t>
      </w:r>
      <w:proofErr w:type="spellStart"/>
      <w:r w:rsidRPr="00B0421F">
        <w:rPr>
          <w:sz w:val="24"/>
        </w:rPr>
        <w:t>Weediness</w:t>
      </w:r>
      <w:proofErr w:type="spellEnd"/>
      <w:r w:rsidRPr="00B0421F">
        <w:rPr>
          <w:sz w:val="24"/>
        </w:rPr>
        <w:t>, invasiveness and persistence</w:t>
      </w:r>
    </w:p>
    <w:p w:rsidR="00B0421F" w:rsidRPr="00B0421F" w:rsidRDefault="00B0421F" w:rsidP="00B0421F">
      <w:pPr>
        <w:jc w:val="both"/>
        <w:rPr>
          <w:sz w:val="24"/>
        </w:rPr>
      </w:pPr>
      <w:r w:rsidRPr="00B0421F">
        <w:rPr>
          <w:sz w:val="24"/>
        </w:rPr>
        <w:lastRenderedPageBreak/>
        <w:t>-          Gene flow</w:t>
      </w:r>
    </w:p>
    <w:p w:rsidR="00B0421F" w:rsidRPr="00B0421F" w:rsidRDefault="00B0421F" w:rsidP="00B0421F">
      <w:pPr>
        <w:jc w:val="both"/>
        <w:rPr>
          <w:sz w:val="24"/>
        </w:rPr>
      </w:pPr>
      <w:r w:rsidRPr="00B0421F">
        <w:rPr>
          <w:sz w:val="24"/>
        </w:rPr>
        <w:t>-          Soil function</w:t>
      </w:r>
    </w:p>
    <w:p w:rsidR="00B0421F" w:rsidRPr="00B0421F" w:rsidRDefault="00B0421F" w:rsidP="00B0421F">
      <w:pPr>
        <w:jc w:val="both"/>
        <w:rPr>
          <w:sz w:val="24"/>
        </w:rPr>
      </w:pPr>
      <w:r w:rsidRPr="00B0421F">
        <w:rPr>
          <w:sz w:val="24"/>
        </w:rPr>
        <w:t>-          Plant health</w:t>
      </w:r>
    </w:p>
    <w:p w:rsidR="00B0421F" w:rsidRDefault="00B0421F" w:rsidP="00B0421F">
      <w:pPr>
        <w:jc w:val="both"/>
        <w:rPr>
          <w:sz w:val="24"/>
        </w:rPr>
      </w:pPr>
      <w:r w:rsidRPr="00B0421F">
        <w:rPr>
          <w:sz w:val="24"/>
        </w:rPr>
        <w:t>-          Biodiversity (potential impacts of transgenic plants on threatened species and threatened habitats)</w:t>
      </w:r>
    </w:p>
    <w:p w:rsidR="00B0421F" w:rsidRPr="00B0421F" w:rsidRDefault="00B0421F" w:rsidP="00B0421F">
      <w:pPr>
        <w:jc w:val="both"/>
        <w:rPr>
          <w:sz w:val="24"/>
        </w:rPr>
      </w:pPr>
    </w:p>
    <w:p w:rsidR="00B0421F" w:rsidRDefault="00B0421F" w:rsidP="00B0421F">
      <w:pPr>
        <w:jc w:val="both"/>
        <w:rPr>
          <w:sz w:val="24"/>
        </w:rPr>
      </w:pPr>
      <w:r w:rsidRPr="00B0421F">
        <w:rPr>
          <w:sz w:val="24"/>
        </w:rPr>
        <w:t>In order to maximize potential benefits and avoid possible risks,</w:t>
      </w:r>
      <w:r>
        <w:rPr>
          <w:sz w:val="24"/>
        </w:rPr>
        <w:t xml:space="preserve"> the use of this technology should</w:t>
      </w:r>
      <w:r w:rsidRPr="00B0421F">
        <w:rPr>
          <w:sz w:val="24"/>
        </w:rPr>
        <w:t xml:space="preserve"> be based on a precautionary approach, with a science-based case-by-case risk assessment, as stated in </w:t>
      </w:r>
      <w:r w:rsidR="00A77904">
        <w:rPr>
          <w:sz w:val="24"/>
        </w:rPr>
        <w:t>Brazilian</w:t>
      </w:r>
      <w:r w:rsidRPr="00B0421F">
        <w:rPr>
          <w:sz w:val="24"/>
        </w:rPr>
        <w:t xml:space="preserve"> legislation and the Cartagena P</w:t>
      </w:r>
      <w:r w:rsidR="00377FDC">
        <w:rPr>
          <w:sz w:val="24"/>
        </w:rPr>
        <w:t>rotocol</w:t>
      </w:r>
      <w:r w:rsidRPr="00B0421F">
        <w:rPr>
          <w:sz w:val="24"/>
        </w:rPr>
        <w:t>.</w:t>
      </w:r>
    </w:p>
    <w:p w:rsidR="00725744" w:rsidRDefault="00725744" w:rsidP="00B0421F">
      <w:pPr>
        <w:jc w:val="both"/>
        <w:rPr>
          <w:sz w:val="24"/>
        </w:rPr>
      </w:pPr>
    </w:p>
    <w:p w:rsidR="00725744" w:rsidRDefault="00725744" w:rsidP="00725744">
      <w:pPr>
        <w:jc w:val="both"/>
        <w:rPr>
          <w:sz w:val="24"/>
        </w:rPr>
      </w:pPr>
      <w:r>
        <w:rPr>
          <w:sz w:val="24"/>
        </w:rPr>
        <w:t>In accordance with Decision XIII/17 adopted by the 13</w:t>
      </w:r>
      <w:r w:rsidRPr="00725744">
        <w:rPr>
          <w:sz w:val="24"/>
          <w:vertAlign w:val="superscript"/>
        </w:rPr>
        <w:t>th</w:t>
      </w:r>
      <w:r>
        <w:rPr>
          <w:sz w:val="24"/>
        </w:rPr>
        <w:t xml:space="preserve"> Conference of the Parties to the CBD, it is not possible to conclude </w:t>
      </w:r>
      <w:r w:rsidR="004B6AE2">
        <w:rPr>
          <w:sz w:val="24"/>
        </w:rPr>
        <w:t>whether all products deriving from</w:t>
      </w:r>
      <w:r w:rsidRPr="00725744">
        <w:rPr>
          <w:sz w:val="24"/>
        </w:rPr>
        <w:t xml:space="preserve"> Synthetic Biology techniques could be covered by the Cartagena Protocol.</w:t>
      </w:r>
    </w:p>
    <w:p w:rsidR="004B6AE2" w:rsidRPr="00725744" w:rsidRDefault="004B6AE2" w:rsidP="00725744">
      <w:pPr>
        <w:jc w:val="both"/>
        <w:rPr>
          <w:sz w:val="24"/>
        </w:rPr>
      </w:pPr>
    </w:p>
    <w:p w:rsidR="004B6AE2" w:rsidRDefault="00725744" w:rsidP="00725744">
      <w:pPr>
        <w:jc w:val="both"/>
        <w:rPr>
          <w:sz w:val="24"/>
        </w:rPr>
      </w:pPr>
      <w:r w:rsidRPr="00725744">
        <w:rPr>
          <w:sz w:val="24"/>
        </w:rPr>
        <w:t>I</w:t>
      </w:r>
      <w:r w:rsidR="004B6AE2">
        <w:rPr>
          <w:sz w:val="24"/>
        </w:rPr>
        <w:t>n accordance with Decision XIII/</w:t>
      </w:r>
      <w:r w:rsidRPr="00725744">
        <w:rPr>
          <w:sz w:val="24"/>
        </w:rPr>
        <w:t xml:space="preserve">24, </w:t>
      </w:r>
      <w:r w:rsidR="004B6AE2">
        <w:rPr>
          <w:sz w:val="24"/>
        </w:rPr>
        <w:t xml:space="preserve">which invited </w:t>
      </w:r>
      <w:r w:rsidRPr="00725744">
        <w:rPr>
          <w:sz w:val="24"/>
        </w:rPr>
        <w:t>Parties and other Governments</w:t>
      </w:r>
      <w:r w:rsidR="004B6AE2">
        <w:rPr>
          <w:sz w:val="24"/>
        </w:rPr>
        <w:t xml:space="preserve"> </w:t>
      </w:r>
      <w:r w:rsidRPr="00725744">
        <w:rPr>
          <w:sz w:val="24"/>
        </w:rPr>
        <w:t>t</w:t>
      </w:r>
      <w:r w:rsidR="004B6AE2">
        <w:rPr>
          <w:sz w:val="24"/>
        </w:rPr>
        <w:t xml:space="preserve">o take a precautionary approach </w:t>
      </w:r>
      <w:r w:rsidRPr="00725744">
        <w:rPr>
          <w:sz w:val="24"/>
        </w:rPr>
        <w:t>and the</w:t>
      </w:r>
      <w:r w:rsidR="004B6AE2">
        <w:rPr>
          <w:sz w:val="24"/>
        </w:rPr>
        <w:t xml:space="preserve"> principle of</w:t>
      </w:r>
      <w:r w:rsidRPr="00725744">
        <w:rPr>
          <w:sz w:val="24"/>
        </w:rPr>
        <w:t xml:space="preserve"> best available information</w:t>
      </w:r>
      <w:r w:rsidR="004B6AE2">
        <w:rPr>
          <w:sz w:val="24"/>
        </w:rPr>
        <w:t xml:space="preserve">, and due to </w:t>
      </w:r>
      <w:r w:rsidRPr="00725744">
        <w:rPr>
          <w:sz w:val="24"/>
        </w:rPr>
        <w:t>the lack of scientific certainty about the possible environmental impacts of this technology</w:t>
      </w:r>
      <w:r w:rsidR="004B6AE2">
        <w:rPr>
          <w:sz w:val="24"/>
        </w:rPr>
        <w:t>, the Brazilian government suggests the following:</w:t>
      </w:r>
    </w:p>
    <w:p w:rsidR="004B6AE2" w:rsidRDefault="004B6AE2" w:rsidP="004B6AE2">
      <w:pPr>
        <w:pStyle w:val="PargrafodaLista"/>
        <w:numPr>
          <w:ilvl w:val="0"/>
          <w:numId w:val="10"/>
        </w:numPr>
        <w:jc w:val="both"/>
        <w:rPr>
          <w:sz w:val="24"/>
        </w:rPr>
      </w:pPr>
      <w:r>
        <w:rPr>
          <w:sz w:val="24"/>
        </w:rPr>
        <w:t>S</w:t>
      </w:r>
      <w:r w:rsidR="00725744" w:rsidRPr="004B6AE2">
        <w:rPr>
          <w:sz w:val="24"/>
        </w:rPr>
        <w:t xml:space="preserve">ynthetic </w:t>
      </w:r>
      <w:r w:rsidRPr="004B6AE2">
        <w:rPr>
          <w:sz w:val="24"/>
        </w:rPr>
        <w:t>b</w:t>
      </w:r>
      <w:r w:rsidR="00725744" w:rsidRPr="004B6AE2">
        <w:rPr>
          <w:sz w:val="24"/>
        </w:rPr>
        <w:t>iology should continue to be considered as a "new emerging issue"</w:t>
      </w:r>
      <w:r w:rsidR="00E70347">
        <w:rPr>
          <w:sz w:val="24"/>
        </w:rPr>
        <w:t>,</w:t>
      </w:r>
      <w:r w:rsidRPr="004B6AE2">
        <w:rPr>
          <w:sz w:val="24"/>
        </w:rPr>
        <w:t xml:space="preserve"> </w:t>
      </w:r>
      <w:r w:rsidR="00725744" w:rsidRPr="004B6AE2">
        <w:rPr>
          <w:sz w:val="24"/>
        </w:rPr>
        <w:t>relevant to the achievement of CBD objectives, its thematic programs of work and cross-cutting issues, as it meets the criteria established by COP 9 Decision IX/29, and in view of possible new te</w:t>
      </w:r>
      <w:r w:rsidR="00E70347">
        <w:rPr>
          <w:sz w:val="24"/>
        </w:rPr>
        <w:t>chniques that can be discovered;</w:t>
      </w:r>
    </w:p>
    <w:p w:rsidR="00E70347" w:rsidRDefault="00E70347" w:rsidP="00725744">
      <w:pPr>
        <w:pStyle w:val="PargrafodaLista"/>
        <w:numPr>
          <w:ilvl w:val="0"/>
          <w:numId w:val="10"/>
        </w:numPr>
        <w:jc w:val="both"/>
        <w:rPr>
          <w:sz w:val="24"/>
        </w:rPr>
      </w:pPr>
      <w:r>
        <w:rPr>
          <w:sz w:val="24"/>
        </w:rPr>
        <w:t xml:space="preserve">The </w:t>
      </w:r>
      <w:r w:rsidR="00725744" w:rsidRPr="004B6AE2">
        <w:rPr>
          <w:sz w:val="24"/>
        </w:rPr>
        <w:t xml:space="preserve">AHTEG of synthetic biology </w:t>
      </w:r>
      <w:r w:rsidR="004B6AE2" w:rsidRPr="004B6AE2">
        <w:rPr>
          <w:sz w:val="24"/>
        </w:rPr>
        <w:t xml:space="preserve">should be maintained </w:t>
      </w:r>
      <w:r w:rsidR="00725744" w:rsidRPr="004B6AE2">
        <w:rPr>
          <w:sz w:val="24"/>
        </w:rPr>
        <w:t>for a continuous monitoring of new techniques or products of synthetic biology th</w:t>
      </w:r>
      <w:r>
        <w:rPr>
          <w:sz w:val="24"/>
        </w:rPr>
        <w:t>at require specific evaluations;</w:t>
      </w:r>
    </w:p>
    <w:p w:rsidR="004B6AE2" w:rsidRDefault="00E70347" w:rsidP="00725744">
      <w:pPr>
        <w:pStyle w:val="PargrafodaLista"/>
        <w:numPr>
          <w:ilvl w:val="0"/>
          <w:numId w:val="10"/>
        </w:numPr>
        <w:jc w:val="both"/>
        <w:rPr>
          <w:sz w:val="24"/>
        </w:rPr>
      </w:pPr>
      <w:r>
        <w:rPr>
          <w:sz w:val="24"/>
        </w:rPr>
        <w:t>It is necessary to identify whether r</w:t>
      </w:r>
      <w:r w:rsidR="00725744" w:rsidRPr="004B6AE2">
        <w:rPr>
          <w:sz w:val="24"/>
        </w:rPr>
        <w:t xml:space="preserve">isk assessment carried out by the countries under the Cartagena Protocol is sufficient for the effective evaluation of living organisms obtained through </w:t>
      </w:r>
      <w:r>
        <w:rPr>
          <w:sz w:val="24"/>
        </w:rPr>
        <w:t>the synthetic biology technique;</w:t>
      </w:r>
    </w:p>
    <w:p w:rsidR="004B6AE2" w:rsidRDefault="00E70347" w:rsidP="00725744">
      <w:pPr>
        <w:pStyle w:val="PargrafodaLista"/>
        <w:numPr>
          <w:ilvl w:val="0"/>
          <w:numId w:val="10"/>
        </w:numPr>
        <w:jc w:val="both"/>
        <w:rPr>
          <w:sz w:val="24"/>
        </w:rPr>
      </w:pPr>
      <w:r>
        <w:rPr>
          <w:sz w:val="24"/>
        </w:rPr>
        <w:t>It is</w:t>
      </w:r>
      <w:r>
        <w:rPr>
          <w:sz w:val="24"/>
        </w:rPr>
        <w:t xml:space="preserve"> also</w:t>
      </w:r>
      <w:r>
        <w:rPr>
          <w:sz w:val="24"/>
        </w:rPr>
        <w:t xml:space="preserve"> necessary to identify</w:t>
      </w:r>
      <w:r w:rsidR="00725744" w:rsidRPr="004B6AE2">
        <w:rPr>
          <w:sz w:val="24"/>
        </w:rPr>
        <w:t xml:space="preserve"> if there are products and components created through synthetic biology that do not fall within the scope of Cartagena. If the</w:t>
      </w:r>
      <w:r>
        <w:rPr>
          <w:sz w:val="24"/>
        </w:rPr>
        <w:t>se</w:t>
      </w:r>
      <w:r w:rsidR="00725744" w:rsidRPr="004B6AE2">
        <w:rPr>
          <w:sz w:val="24"/>
        </w:rPr>
        <w:t xml:space="preserve"> exist, an international instrument should be chosen for the control of components and products (non-living)</w:t>
      </w:r>
      <w:r>
        <w:rPr>
          <w:sz w:val="24"/>
        </w:rPr>
        <w:t xml:space="preserve"> derived from synthetic biology;</w:t>
      </w:r>
    </w:p>
    <w:p w:rsidR="004B6AE2" w:rsidRDefault="00725744" w:rsidP="00725744">
      <w:pPr>
        <w:pStyle w:val="PargrafodaLista"/>
        <w:numPr>
          <w:ilvl w:val="0"/>
          <w:numId w:val="10"/>
        </w:numPr>
        <w:jc w:val="both"/>
        <w:rPr>
          <w:sz w:val="24"/>
        </w:rPr>
      </w:pPr>
      <w:r w:rsidRPr="004B6AE2">
        <w:rPr>
          <w:sz w:val="24"/>
        </w:rPr>
        <w:t>Considering the potential for accidental release of products from new techniques, in view of the ease of access by non-trained citizens to new techniques, such as the purchase of kits containing "genetic parts", it is</w:t>
      </w:r>
      <w:r w:rsidR="00E70347">
        <w:rPr>
          <w:sz w:val="24"/>
        </w:rPr>
        <w:t xml:space="preserve"> </w:t>
      </w:r>
      <w:r w:rsidRPr="004B6AE2">
        <w:rPr>
          <w:sz w:val="24"/>
        </w:rPr>
        <w:t>necessary to establish a Guide to good laboratory practices and characterization of the environment appropriate to the develo</w:t>
      </w:r>
      <w:r w:rsidR="00E70347">
        <w:rPr>
          <w:sz w:val="24"/>
        </w:rPr>
        <w:t>pment of these new technologies;</w:t>
      </w:r>
    </w:p>
    <w:p w:rsidR="004B6AE2" w:rsidRDefault="00725744" w:rsidP="00725744">
      <w:pPr>
        <w:pStyle w:val="PargrafodaLista"/>
        <w:numPr>
          <w:ilvl w:val="0"/>
          <w:numId w:val="10"/>
        </w:numPr>
        <w:jc w:val="both"/>
        <w:rPr>
          <w:sz w:val="24"/>
        </w:rPr>
      </w:pPr>
      <w:r w:rsidRPr="004B6AE2">
        <w:rPr>
          <w:sz w:val="24"/>
        </w:rPr>
        <w:t>Considering the cross-border potential of products derived from the new techniques, in particular gene drives, a risk assessment guide with minimum criteria should be established under Cartagena for living organisms and under the CBD for cases that d</w:t>
      </w:r>
      <w:r w:rsidR="00E70347">
        <w:rPr>
          <w:sz w:val="24"/>
        </w:rPr>
        <w:t>o not fit under Cartagena;</w:t>
      </w:r>
    </w:p>
    <w:p w:rsidR="004B6AE2" w:rsidRDefault="00725744" w:rsidP="00725744">
      <w:pPr>
        <w:pStyle w:val="PargrafodaLista"/>
        <w:numPr>
          <w:ilvl w:val="0"/>
          <w:numId w:val="10"/>
        </w:numPr>
        <w:jc w:val="both"/>
        <w:rPr>
          <w:sz w:val="24"/>
        </w:rPr>
      </w:pPr>
      <w:r w:rsidRPr="004B6AE2">
        <w:rPr>
          <w:sz w:val="24"/>
        </w:rPr>
        <w:t xml:space="preserve">The CBD and the Cartagena Protocol, according to their competencies, should adopt the procedures suggested by </w:t>
      </w:r>
      <w:proofErr w:type="spellStart"/>
      <w:r w:rsidRPr="004B6AE2">
        <w:rPr>
          <w:sz w:val="24"/>
        </w:rPr>
        <w:t>Oye</w:t>
      </w:r>
      <w:proofErr w:type="spellEnd"/>
      <w:r w:rsidRPr="004B6AE2">
        <w:rPr>
          <w:sz w:val="24"/>
        </w:rPr>
        <w:t xml:space="preserve"> 2014 for the release of o</w:t>
      </w:r>
      <w:r w:rsidR="00E70347">
        <w:rPr>
          <w:sz w:val="24"/>
        </w:rPr>
        <w:t>rganisms containing gene drives; and</w:t>
      </w:r>
    </w:p>
    <w:p w:rsidR="00725744" w:rsidRPr="004B6AE2" w:rsidRDefault="00E70347" w:rsidP="00725744">
      <w:pPr>
        <w:pStyle w:val="PargrafodaLista"/>
        <w:numPr>
          <w:ilvl w:val="0"/>
          <w:numId w:val="10"/>
        </w:numPr>
        <w:jc w:val="both"/>
        <w:rPr>
          <w:sz w:val="24"/>
        </w:rPr>
      </w:pPr>
      <w:r>
        <w:rPr>
          <w:sz w:val="24"/>
        </w:rPr>
        <w:t>T</w:t>
      </w:r>
      <w:r w:rsidR="00725744" w:rsidRPr="004B6AE2">
        <w:rPr>
          <w:sz w:val="24"/>
        </w:rPr>
        <w:t>he AHTEG of Socioeconomic Considerations of the Cartagena Protocol should analyze the impact of synthetic biology on productive chains of socio-biodiversity in face-to-face or online meetings.</w:t>
      </w:r>
    </w:p>
    <w:p w:rsidR="00725744" w:rsidRDefault="00725744" w:rsidP="00B0421F">
      <w:pPr>
        <w:jc w:val="both"/>
        <w:rPr>
          <w:sz w:val="24"/>
        </w:rPr>
      </w:pPr>
    </w:p>
    <w:p w:rsidR="00725744" w:rsidRPr="00725744" w:rsidRDefault="00725744" w:rsidP="00B0421F">
      <w:pPr>
        <w:jc w:val="both"/>
        <w:rPr>
          <w:sz w:val="24"/>
        </w:rPr>
      </w:pPr>
    </w:p>
    <w:p w:rsidR="00B0421F" w:rsidRPr="00725744" w:rsidRDefault="00B0421F" w:rsidP="001A22EC">
      <w:pPr>
        <w:jc w:val="both"/>
        <w:rPr>
          <w:sz w:val="24"/>
        </w:rPr>
      </w:pPr>
    </w:p>
    <w:p w:rsidR="00B0421F" w:rsidRPr="00725744" w:rsidRDefault="00B0421F" w:rsidP="001A22EC">
      <w:pPr>
        <w:jc w:val="both"/>
        <w:rPr>
          <w:sz w:val="24"/>
        </w:rPr>
      </w:pPr>
    </w:p>
    <w:p w:rsidR="001A22EC" w:rsidRDefault="001A22EC" w:rsidP="001A22EC">
      <w:pPr>
        <w:jc w:val="both"/>
        <w:rPr>
          <w:sz w:val="24"/>
        </w:rPr>
      </w:pPr>
      <w:r w:rsidRPr="001A22EC">
        <w:rPr>
          <w:b/>
          <w:sz w:val="24"/>
        </w:rPr>
        <w:t>(C) Experiences in conducting risk assessments of organisms, components and products of synthetic biology, including any challenges encountered, lessons learned and implications for risk assessment frameworks</w:t>
      </w:r>
      <w:r w:rsidRPr="001A22EC">
        <w:rPr>
          <w:sz w:val="24"/>
        </w:rPr>
        <w:t>;</w:t>
      </w:r>
    </w:p>
    <w:p w:rsidR="00FF0A8F" w:rsidRPr="001A22EC" w:rsidRDefault="00FF0A8F" w:rsidP="001A22EC">
      <w:pPr>
        <w:jc w:val="both"/>
        <w:rPr>
          <w:sz w:val="24"/>
        </w:rPr>
      </w:pPr>
    </w:p>
    <w:p w:rsidR="008B66B7" w:rsidRPr="008B66B7" w:rsidRDefault="002B5C0B" w:rsidP="008B66B7">
      <w:pPr>
        <w:jc w:val="both"/>
        <w:rPr>
          <w:bCs/>
          <w:sz w:val="24"/>
        </w:rPr>
      </w:pPr>
      <w:r>
        <w:rPr>
          <w:bCs/>
          <w:sz w:val="24"/>
        </w:rPr>
        <w:t>As aforementioned, in Brazil the national Biosafety Law (Law n</w:t>
      </w:r>
      <w:r w:rsidR="008B66B7" w:rsidRPr="008B66B7">
        <w:rPr>
          <w:bCs/>
          <w:sz w:val="24"/>
        </w:rPr>
        <w:t>. 11.105/2005) regulates activities related to research, development and</w:t>
      </w:r>
      <w:r w:rsidR="005B50A0">
        <w:rPr>
          <w:bCs/>
          <w:sz w:val="24"/>
        </w:rPr>
        <w:t xml:space="preserve"> the</w:t>
      </w:r>
      <w:r w:rsidR="008B66B7" w:rsidRPr="008B66B7">
        <w:rPr>
          <w:bCs/>
          <w:sz w:val="24"/>
        </w:rPr>
        <w:t xml:space="preserve"> commercial release of Genetically Modified Organisms (GMOs), according to international guidelines (e.g. </w:t>
      </w:r>
      <w:r w:rsidR="008B66B7" w:rsidRPr="008B66B7">
        <w:rPr>
          <w:bCs/>
          <w:i/>
          <w:iCs/>
          <w:sz w:val="24"/>
        </w:rPr>
        <w:t xml:space="preserve">Codex </w:t>
      </w:r>
      <w:proofErr w:type="spellStart"/>
      <w:r w:rsidR="008B66B7" w:rsidRPr="008B66B7">
        <w:rPr>
          <w:bCs/>
          <w:i/>
          <w:iCs/>
          <w:sz w:val="24"/>
        </w:rPr>
        <w:t>Alimentarius</w:t>
      </w:r>
      <w:proofErr w:type="spellEnd"/>
      <w:r w:rsidR="008B66B7" w:rsidRPr="008B66B7">
        <w:rPr>
          <w:bCs/>
          <w:sz w:val="24"/>
        </w:rPr>
        <w:t>, Cartagena Protocol on Biosafety).</w:t>
      </w:r>
    </w:p>
    <w:p w:rsidR="002B5C0B" w:rsidRDefault="002B5C0B" w:rsidP="008B66B7">
      <w:pPr>
        <w:jc w:val="both"/>
        <w:rPr>
          <w:bCs/>
          <w:sz w:val="24"/>
        </w:rPr>
      </w:pPr>
    </w:p>
    <w:p w:rsidR="002B5C0B" w:rsidRDefault="007139C3" w:rsidP="008B66B7">
      <w:pPr>
        <w:jc w:val="both"/>
        <w:rPr>
          <w:bCs/>
          <w:sz w:val="24"/>
        </w:rPr>
      </w:pPr>
      <w:r>
        <w:rPr>
          <w:bCs/>
          <w:sz w:val="24"/>
        </w:rPr>
        <w:t>I</w:t>
      </w:r>
      <w:r w:rsidR="002B5C0B">
        <w:rPr>
          <w:bCs/>
          <w:sz w:val="24"/>
        </w:rPr>
        <w:t xml:space="preserve">t should be highlighted that </w:t>
      </w:r>
      <w:r w:rsidR="008B66B7" w:rsidRPr="008B66B7">
        <w:rPr>
          <w:bCs/>
          <w:sz w:val="24"/>
        </w:rPr>
        <w:t>the</w:t>
      </w:r>
      <w:r w:rsidR="002B5C0B">
        <w:rPr>
          <w:bCs/>
          <w:sz w:val="24"/>
        </w:rPr>
        <w:t xml:space="preserve"> national</w:t>
      </w:r>
      <w:r w:rsidR="008B66B7" w:rsidRPr="008B66B7">
        <w:rPr>
          <w:bCs/>
          <w:sz w:val="24"/>
        </w:rPr>
        <w:t xml:space="preserve"> Biosafety Law </w:t>
      </w:r>
      <w:r>
        <w:rPr>
          <w:bCs/>
          <w:sz w:val="24"/>
        </w:rPr>
        <w:t>(C</w:t>
      </w:r>
      <w:r w:rsidR="002B5C0B">
        <w:rPr>
          <w:bCs/>
          <w:sz w:val="24"/>
        </w:rPr>
        <w:t xml:space="preserve">hapter I, article 3) </w:t>
      </w:r>
      <w:r w:rsidR="00377FDC">
        <w:rPr>
          <w:bCs/>
          <w:sz w:val="24"/>
        </w:rPr>
        <w:t xml:space="preserve">defines </w:t>
      </w:r>
      <w:r w:rsidR="008B66B7" w:rsidRPr="008B66B7">
        <w:rPr>
          <w:bCs/>
          <w:sz w:val="24"/>
        </w:rPr>
        <w:t>recombinant</w:t>
      </w:r>
      <w:r w:rsidR="002B5C0B">
        <w:rPr>
          <w:bCs/>
          <w:sz w:val="24"/>
        </w:rPr>
        <w:t xml:space="preserve"> DNA/RNA</w:t>
      </w:r>
      <w:r w:rsidR="00377FDC">
        <w:rPr>
          <w:bCs/>
          <w:sz w:val="24"/>
        </w:rPr>
        <w:t xml:space="preserve"> molecules</w:t>
      </w:r>
      <w:r w:rsidR="008B66B7" w:rsidRPr="008B66B7">
        <w:rPr>
          <w:bCs/>
          <w:sz w:val="24"/>
        </w:rPr>
        <w:t xml:space="preserve"> </w:t>
      </w:r>
      <w:r w:rsidR="002B5C0B">
        <w:rPr>
          <w:bCs/>
          <w:sz w:val="24"/>
        </w:rPr>
        <w:t>as "the molecules manipulated</w:t>
      </w:r>
      <w:r w:rsidR="002B5C0B" w:rsidRPr="002B5C0B">
        <w:rPr>
          <w:bCs/>
          <w:sz w:val="24"/>
        </w:rPr>
        <w:t xml:space="preserve"> outside living cells through the modification of segments of</w:t>
      </w:r>
      <w:r w:rsidR="002B5C0B" w:rsidRPr="002B5C0B">
        <w:rPr>
          <w:bCs/>
          <w:sz w:val="24"/>
          <w:u w:val="single"/>
        </w:rPr>
        <w:t xml:space="preserve"> natural or synthetic</w:t>
      </w:r>
      <w:r>
        <w:rPr>
          <w:bCs/>
          <w:sz w:val="24"/>
        </w:rPr>
        <w:t xml:space="preserve"> DNA/RNA </w:t>
      </w:r>
      <w:r w:rsidR="002B5C0B" w:rsidRPr="002B5C0B">
        <w:rPr>
          <w:bCs/>
          <w:sz w:val="24"/>
        </w:rPr>
        <w:t xml:space="preserve">and which are capable of multiplying in a living cell, or even DNA/RNA molecules resulting from this multiplication; </w:t>
      </w:r>
      <w:r w:rsidR="002B5C0B" w:rsidRPr="002B5C0B">
        <w:rPr>
          <w:bCs/>
          <w:sz w:val="24"/>
          <w:u w:val="single"/>
        </w:rPr>
        <w:t>segments of synthetic DNA/RNA shall also be considered equivalent to natural DNA/RNA</w:t>
      </w:r>
      <w:r w:rsidR="002B5C0B">
        <w:rPr>
          <w:bCs/>
          <w:sz w:val="24"/>
        </w:rPr>
        <w:t xml:space="preserve"> segments". </w:t>
      </w:r>
    </w:p>
    <w:p w:rsidR="002B5C0B" w:rsidRDefault="002B5C0B" w:rsidP="008B66B7">
      <w:pPr>
        <w:jc w:val="both"/>
        <w:rPr>
          <w:bCs/>
          <w:sz w:val="24"/>
        </w:rPr>
      </w:pPr>
    </w:p>
    <w:p w:rsidR="007139C3" w:rsidRDefault="007139C3" w:rsidP="007139C3">
      <w:pPr>
        <w:jc w:val="both"/>
        <w:rPr>
          <w:bCs/>
          <w:sz w:val="24"/>
        </w:rPr>
      </w:pPr>
      <w:r w:rsidRPr="007139C3">
        <w:rPr>
          <w:bCs/>
          <w:sz w:val="24"/>
        </w:rPr>
        <w:t xml:space="preserve">Therefore, activities and projects related to Synthetic Biology are regulated by </w:t>
      </w:r>
      <w:r>
        <w:rPr>
          <w:bCs/>
          <w:sz w:val="24"/>
        </w:rPr>
        <w:t xml:space="preserve">the Biosafety Law in </w:t>
      </w:r>
      <w:r w:rsidR="00377FDC">
        <w:rPr>
          <w:bCs/>
          <w:sz w:val="24"/>
        </w:rPr>
        <w:t xml:space="preserve">its </w:t>
      </w:r>
      <w:r>
        <w:rPr>
          <w:bCs/>
          <w:sz w:val="24"/>
        </w:rPr>
        <w:t>Chapter I</w:t>
      </w:r>
      <w:r w:rsidRPr="007139C3">
        <w:rPr>
          <w:bCs/>
          <w:sz w:val="24"/>
        </w:rPr>
        <w:t>, Article 1:</w:t>
      </w:r>
      <w:r>
        <w:rPr>
          <w:bCs/>
          <w:sz w:val="24"/>
        </w:rPr>
        <w:t xml:space="preserve"> “</w:t>
      </w:r>
      <w:r w:rsidRPr="007139C3">
        <w:rPr>
          <w:bCs/>
          <w:i/>
          <w:iCs/>
          <w:sz w:val="24"/>
        </w:rPr>
        <w:t>This Law provides for safety norms and inspection mechanisms for the construction, culture, production, manipulation, transportation, transfer, import, export, storage, research, marketing, environmental release and discharge of genetically modified organisms – GMOs and their by-products, guided by the drive for attaining scientific development in the biosafety and biotechnology area, the protection of life and human beings, of animal and plant health, and the compliance with the principal of environmental precaution</w:t>
      </w:r>
      <w:r w:rsidRPr="007139C3">
        <w:rPr>
          <w:bCs/>
          <w:sz w:val="24"/>
        </w:rPr>
        <w:t>.”</w:t>
      </w:r>
    </w:p>
    <w:p w:rsidR="007139C3" w:rsidRDefault="007139C3" w:rsidP="007139C3">
      <w:pPr>
        <w:jc w:val="both"/>
        <w:rPr>
          <w:bCs/>
          <w:sz w:val="24"/>
        </w:rPr>
      </w:pPr>
    </w:p>
    <w:p w:rsidR="007139C3" w:rsidRPr="007139C3" w:rsidRDefault="007139C3" w:rsidP="007139C3">
      <w:pPr>
        <w:jc w:val="both"/>
        <w:rPr>
          <w:bCs/>
          <w:sz w:val="24"/>
        </w:rPr>
      </w:pPr>
      <w:r w:rsidRPr="007139C3">
        <w:rPr>
          <w:bCs/>
          <w:sz w:val="24"/>
        </w:rPr>
        <w:t xml:space="preserve">Although the </w:t>
      </w:r>
      <w:r w:rsidR="00377FDC">
        <w:rPr>
          <w:bCs/>
          <w:sz w:val="24"/>
        </w:rPr>
        <w:t xml:space="preserve">aforementioned </w:t>
      </w:r>
      <w:r w:rsidRPr="007139C3">
        <w:rPr>
          <w:bCs/>
          <w:sz w:val="24"/>
        </w:rPr>
        <w:t>legal text clearly distinguish</w:t>
      </w:r>
      <w:r>
        <w:rPr>
          <w:bCs/>
          <w:sz w:val="24"/>
        </w:rPr>
        <w:t xml:space="preserve">es </w:t>
      </w:r>
      <w:r w:rsidR="00377FDC">
        <w:rPr>
          <w:bCs/>
          <w:sz w:val="24"/>
        </w:rPr>
        <w:t xml:space="preserve">between </w:t>
      </w:r>
      <w:r>
        <w:rPr>
          <w:bCs/>
          <w:sz w:val="24"/>
        </w:rPr>
        <w:t>natural and</w:t>
      </w:r>
      <w:r w:rsidRPr="007139C3">
        <w:rPr>
          <w:bCs/>
          <w:sz w:val="24"/>
        </w:rPr>
        <w:t xml:space="preserve"> synthetic nucleic acid molecules, its distinction is prescriptive to include those organisms that use synthetic materia</w:t>
      </w:r>
      <w:r w:rsidR="00377FDC">
        <w:rPr>
          <w:bCs/>
          <w:sz w:val="24"/>
        </w:rPr>
        <w:t>l in the GMO category. Thus, GMO</w:t>
      </w:r>
      <w:r w:rsidRPr="007139C3">
        <w:rPr>
          <w:bCs/>
          <w:sz w:val="24"/>
        </w:rPr>
        <w:t xml:space="preserve">s may contain cloned or synthesized nucleic acids. </w:t>
      </w:r>
    </w:p>
    <w:p w:rsidR="007139C3" w:rsidRPr="007139C3" w:rsidRDefault="007139C3" w:rsidP="007139C3">
      <w:pPr>
        <w:jc w:val="both"/>
        <w:rPr>
          <w:bCs/>
          <w:sz w:val="24"/>
        </w:rPr>
      </w:pPr>
    </w:p>
    <w:p w:rsidR="005805C2" w:rsidRDefault="008B66B7" w:rsidP="008B66B7">
      <w:pPr>
        <w:jc w:val="both"/>
        <w:rPr>
          <w:bCs/>
          <w:sz w:val="24"/>
        </w:rPr>
      </w:pPr>
      <w:r w:rsidRPr="008B66B7">
        <w:rPr>
          <w:bCs/>
          <w:sz w:val="24"/>
        </w:rPr>
        <w:t>In addition, components or products derived from synthetic biology techniques are equally regulated in Brazil. However, since these components and products are chemically defined as pure substance, not containing GMOs, heterologous protein nor recombinant DNA, they are not regarded as GMO</w:t>
      </w:r>
      <w:r w:rsidR="007139C3">
        <w:rPr>
          <w:bCs/>
          <w:sz w:val="24"/>
        </w:rPr>
        <w:t>s</w:t>
      </w:r>
      <w:r w:rsidRPr="008B66B7">
        <w:rPr>
          <w:bCs/>
          <w:sz w:val="24"/>
        </w:rPr>
        <w:t xml:space="preserve"> in acc</w:t>
      </w:r>
      <w:r w:rsidR="007139C3">
        <w:rPr>
          <w:bCs/>
          <w:sz w:val="24"/>
        </w:rPr>
        <w:t>ordance with the Biosafety Law (</w:t>
      </w:r>
      <w:r w:rsidRPr="008B66B7">
        <w:rPr>
          <w:bCs/>
          <w:sz w:val="24"/>
        </w:rPr>
        <w:t>Chapter I, Paragraph 2</w:t>
      </w:r>
      <w:r w:rsidR="007139C3">
        <w:rPr>
          <w:bCs/>
          <w:sz w:val="24"/>
        </w:rPr>
        <w:t>)</w:t>
      </w:r>
      <w:r w:rsidRPr="008B66B7">
        <w:rPr>
          <w:bCs/>
          <w:sz w:val="24"/>
        </w:rPr>
        <w:t>:</w:t>
      </w:r>
      <w:r w:rsidR="007139C3">
        <w:rPr>
          <w:bCs/>
          <w:sz w:val="24"/>
        </w:rPr>
        <w:t xml:space="preserve"> </w:t>
      </w:r>
      <w:r w:rsidR="005805C2">
        <w:rPr>
          <w:bCs/>
          <w:sz w:val="24"/>
        </w:rPr>
        <w:t>"</w:t>
      </w:r>
      <w:r w:rsidR="005805C2" w:rsidRPr="005805C2">
        <w:rPr>
          <w:bCs/>
          <w:i/>
          <w:sz w:val="24"/>
        </w:rPr>
        <w:t>The GMO derivative category shall not include a pure substance, chemically defined, obtained by means of bio</w:t>
      </w:r>
      <w:r w:rsidR="00687B08">
        <w:rPr>
          <w:bCs/>
          <w:i/>
          <w:sz w:val="24"/>
        </w:rPr>
        <w:t>logical processes and which does</w:t>
      </w:r>
      <w:r w:rsidR="005805C2" w:rsidRPr="005805C2">
        <w:rPr>
          <w:bCs/>
          <w:i/>
          <w:sz w:val="24"/>
        </w:rPr>
        <w:t xml:space="preserve"> not contain a GMO, heterologous protein or recombinant DNA.</w:t>
      </w:r>
      <w:r w:rsidR="005805C2">
        <w:rPr>
          <w:bCs/>
          <w:sz w:val="24"/>
        </w:rPr>
        <w:t>"</w:t>
      </w:r>
    </w:p>
    <w:p w:rsidR="009B023E" w:rsidRDefault="009B023E" w:rsidP="008B66B7">
      <w:pPr>
        <w:jc w:val="both"/>
        <w:rPr>
          <w:bCs/>
          <w:sz w:val="24"/>
        </w:rPr>
      </w:pPr>
    </w:p>
    <w:p w:rsidR="008B66B7" w:rsidRPr="008B66B7" w:rsidRDefault="008B66B7" w:rsidP="008B66B7">
      <w:pPr>
        <w:jc w:val="both"/>
        <w:rPr>
          <w:bCs/>
          <w:sz w:val="24"/>
        </w:rPr>
      </w:pPr>
      <w:r w:rsidRPr="008B66B7">
        <w:rPr>
          <w:bCs/>
          <w:sz w:val="24"/>
        </w:rPr>
        <w:t xml:space="preserve">Therefore, these components and products do not differ from components and products obtained from organic or inorganic synthesis and are regulated in accordance with their use for </w:t>
      </w:r>
      <w:r w:rsidR="00377FDC">
        <w:rPr>
          <w:bCs/>
          <w:sz w:val="24"/>
        </w:rPr>
        <w:t xml:space="preserve">a </w:t>
      </w:r>
      <w:r w:rsidRPr="008B66B7">
        <w:rPr>
          <w:bCs/>
          <w:sz w:val="24"/>
        </w:rPr>
        <w:t>specific agency/Institute/Ministry, which already sets a wide range of regulations that must be complied with:</w:t>
      </w:r>
    </w:p>
    <w:p w:rsidR="008B66B7" w:rsidRPr="008B66B7" w:rsidRDefault="008B66B7" w:rsidP="008B66B7">
      <w:pPr>
        <w:numPr>
          <w:ilvl w:val="0"/>
          <w:numId w:val="8"/>
        </w:numPr>
        <w:jc w:val="both"/>
        <w:rPr>
          <w:bCs/>
          <w:sz w:val="24"/>
        </w:rPr>
      </w:pPr>
      <w:r w:rsidRPr="008B66B7">
        <w:rPr>
          <w:b/>
          <w:bCs/>
          <w:sz w:val="24"/>
        </w:rPr>
        <w:t>ANVISA</w:t>
      </w:r>
      <w:r w:rsidRPr="008B66B7">
        <w:rPr>
          <w:bCs/>
          <w:sz w:val="24"/>
        </w:rPr>
        <w:t> (Brazilian Health Surveillance Agency) regulates products intended for human use and health;</w:t>
      </w:r>
    </w:p>
    <w:p w:rsidR="008B66B7" w:rsidRPr="008B66B7" w:rsidRDefault="008B66B7" w:rsidP="008B66B7">
      <w:pPr>
        <w:numPr>
          <w:ilvl w:val="0"/>
          <w:numId w:val="8"/>
        </w:numPr>
        <w:jc w:val="both"/>
        <w:rPr>
          <w:bCs/>
          <w:sz w:val="24"/>
        </w:rPr>
      </w:pPr>
      <w:r w:rsidRPr="008B66B7">
        <w:rPr>
          <w:b/>
          <w:bCs/>
          <w:sz w:val="24"/>
        </w:rPr>
        <w:t>IBAMA</w:t>
      </w:r>
      <w:r w:rsidR="00377FDC">
        <w:rPr>
          <w:bCs/>
          <w:sz w:val="24"/>
        </w:rPr>
        <w:t> (Brazilian Institute for the</w:t>
      </w:r>
      <w:r w:rsidRPr="008B66B7">
        <w:rPr>
          <w:bCs/>
          <w:sz w:val="24"/>
        </w:rPr>
        <w:t xml:space="preserve"> Environment and Renewable Natural Resources) regulates products intended for use in the environment;</w:t>
      </w:r>
    </w:p>
    <w:p w:rsidR="008B66B7" w:rsidRPr="008B66B7" w:rsidRDefault="008B66B7" w:rsidP="008B66B7">
      <w:pPr>
        <w:numPr>
          <w:ilvl w:val="0"/>
          <w:numId w:val="8"/>
        </w:numPr>
        <w:jc w:val="both"/>
        <w:rPr>
          <w:bCs/>
          <w:sz w:val="24"/>
        </w:rPr>
      </w:pPr>
      <w:r w:rsidRPr="008B66B7">
        <w:rPr>
          <w:b/>
          <w:bCs/>
          <w:sz w:val="24"/>
        </w:rPr>
        <w:lastRenderedPageBreak/>
        <w:t>MAPA</w:t>
      </w:r>
      <w:r w:rsidRPr="008B66B7">
        <w:rPr>
          <w:bCs/>
          <w:sz w:val="24"/>
        </w:rPr>
        <w:t> (Ministry of Agriculture, Livestock and Food Supply) regulates products intended for use in agriculture.</w:t>
      </w:r>
    </w:p>
    <w:p w:rsidR="001A22EC" w:rsidRDefault="001A22EC" w:rsidP="001A22EC">
      <w:pPr>
        <w:jc w:val="both"/>
        <w:rPr>
          <w:sz w:val="24"/>
        </w:rPr>
      </w:pPr>
    </w:p>
    <w:p w:rsidR="001A22EC" w:rsidRPr="001A22EC" w:rsidRDefault="001A22EC" w:rsidP="001A22EC">
      <w:pPr>
        <w:jc w:val="both"/>
        <w:rPr>
          <w:b/>
          <w:sz w:val="24"/>
        </w:rPr>
      </w:pPr>
      <w:r w:rsidRPr="001A22EC">
        <w:rPr>
          <w:b/>
          <w:sz w:val="24"/>
        </w:rPr>
        <w:t>(D) Examples of risk management and other measures that have been put in place to avoid or minimize the potential adverse effects of organisms, components and products of synthetic biology, including experiences of safe use and best practices for the safe handling of organisms developed through synthetic biology;</w:t>
      </w:r>
    </w:p>
    <w:p w:rsidR="001A22EC" w:rsidRPr="001A22EC" w:rsidRDefault="001A22EC" w:rsidP="001A22EC">
      <w:pPr>
        <w:jc w:val="both"/>
        <w:rPr>
          <w:sz w:val="24"/>
        </w:rPr>
      </w:pPr>
    </w:p>
    <w:p w:rsidR="00E33D45" w:rsidRPr="00E33D45" w:rsidRDefault="00E33D45" w:rsidP="00E33D45">
      <w:pPr>
        <w:jc w:val="both"/>
        <w:rPr>
          <w:sz w:val="24"/>
        </w:rPr>
      </w:pPr>
      <w:r w:rsidRPr="00E33D45">
        <w:rPr>
          <w:sz w:val="24"/>
        </w:rPr>
        <w:t>In Brazil, the principles guiding risk assessment analysis under the Brazilian regulation include</w:t>
      </w:r>
      <w:r w:rsidR="00DB6C99">
        <w:rPr>
          <w:sz w:val="24"/>
        </w:rPr>
        <w:t>:  (</w:t>
      </w:r>
      <w:proofErr w:type="spellStart"/>
      <w:r w:rsidR="00DB6C99">
        <w:rPr>
          <w:sz w:val="24"/>
        </w:rPr>
        <w:t>i</w:t>
      </w:r>
      <w:proofErr w:type="spellEnd"/>
      <w:r w:rsidR="00DB6C99">
        <w:rPr>
          <w:sz w:val="24"/>
        </w:rPr>
        <w:t>) a science-based approach;</w:t>
      </w:r>
      <w:r w:rsidRPr="00E33D45">
        <w:rPr>
          <w:sz w:val="24"/>
        </w:rPr>
        <w:t xml:space="preserve"> (ii)</w:t>
      </w:r>
      <w:r>
        <w:rPr>
          <w:sz w:val="24"/>
        </w:rPr>
        <w:t xml:space="preserve"> </w:t>
      </w:r>
      <w:r w:rsidRPr="00E33D45">
        <w:rPr>
          <w:sz w:val="24"/>
        </w:rPr>
        <w:t>a case-by-case assessment</w:t>
      </w:r>
      <w:r w:rsidR="00DB6C99">
        <w:rPr>
          <w:sz w:val="24"/>
        </w:rPr>
        <w:t>;</w:t>
      </w:r>
      <w:r w:rsidRPr="00E33D45">
        <w:rPr>
          <w:sz w:val="24"/>
        </w:rPr>
        <w:t xml:space="preserve"> and (iii) a comparative analysis, according to international principles and guidelines adopted by other countries. There is also a monitoring system </w:t>
      </w:r>
      <w:r>
        <w:rPr>
          <w:sz w:val="24"/>
        </w:rPr>
        <w:t>that includes inspection measures conducted</w:t>
      </w:r>
      <w:r w:rsidRPr="00E33D45">
        <w:rPr>
          <w:sz w:val="24"/>
        </w:rPr>
        <w:t xml:space="preserve"> by official inspectors in the research and commercial activities with GMOs and a post-release monitoring plan approved by the competent authority and implemented by the applicant.</w:t>
      </w:r>
    </w:p>
    <w:p w:rsidR="00E33D45" w:rsidRDefault="00E33D45" w:rsidP="00E33D45">
      <w:pPr>
        <w:jc w:val="both"/>
        <w:rPr>
          <w:sz w:val="24"/>
        </w:rPr>
      </w:pPr>
    </w:p>
    <w:p w:rsidR="00E33D45" w:rsidRPr="00E33D45" w:rsidRDefault="00E33D45" w:rsidP="00E33D45">
      <w:pPr>
        <w:jc w:val="both"/>
        <w:rPr>
          <w:sz w:val="24"/>
        </w:rPr>
      </w:pPr>
      <w:r w:rsidRPr="00E33D45">
        <w:rPr>
          <w:sz w:val="24"/>
        </w:rPr>
        <w:t>The only example of an organism that could be considered a Synthetic Biology o</w:t>
      </w:r>
      <w:r>
        <w:rPr>
          <w:sz w:val="24"/>
        </w:rPr>
        <w:t xml:space="preserve">rganism approved in Brazil is </w:t>
      </w:r>
      <w:r w:rsidR="00DB6C99">
        <w:rPr>
          <w:sz w:val="24"/>
        </w:rPr>
        <w:t>genetically</w:t>
      </w:r>
      <w:r w:rsidRPr="00E33D45">
        <w:rPr>
          <w:sz w:val="24"/>
        </w:rPr>
        <w:t xml:space="preserve"> modified yeast (strain Y1979 a</w:t>
      </w:r>
      <w:r>
        <w:rPr>
          <w:sz w:val="24"/>
        </w:rPr>
        <w:t>nd Y5056 - Technical Reports n. 2281/2010 and n</w:t>
      </w:r>
      <w:r w:rsidRPr="00E33D45">
        <w:rPr>
          <w:sz w:val="24"/>
        </w:rPr>
        <w:t>. 3287/2012, respectively). Those are GM organisms under contained use and there are specific requirements and rules</w:t>
      </w:r>
      <w:r w:rsidR="00DB6C99">
        <w:rPr>
          <w:sz w:val="24"/>
        </w:rPr>
        <w:t xml:space="preserve"> regarding these organisms</w:t>
      </w:r>
      <w:r w:rsidRPr="00E33D45">
        <w:rPr>
          <w:sz w:val="24"/>
        </w:rPr>
        <w:t xml:space="preserve"> according to th</w:t>
      </w:r>
      <w:r>
        <w:rPr>
          <w:sz w:val="24"/>
        </w:rPr>
        <w:t xml:space="preserve">e </w:t>
      </w:r>
      <w:proofErr w:type="spellStart"/>
      <w:r>
        <w:rPr>
          <w:sz w:val="24"/>
        </w:rPr>
        <w:t>CTNBio</w:t>
      </w:r>
      <w:proofErr w:type="spellEnd"/>
      <w:r>
        <w:rPr>
          <w:sz w:val="24"/>
        </w:rPr>
        <w:t xml:space="preserve"> Normative Resolution n. 01/2006 and n</w:t>
      </w:r>
      <w:r w:rsidRPr="00E33D45">
        <w:rPr>
          <w:sz w:val="24"/>
        </w:rPr>
        <w:t>. 02/2006. These organisms are used to produce biofuels</w:t>
      </w:r>
      <w:r>
        <w:rPr>
          <w:sz w:val="24"/>
        </w:rPr>
        <w:t>.</w:t>
      </w:r>
    </w:p>
    <w:p w:rsidR="00E33D45" w:rsidRPr="001A22EC" w:rsidRDefault="00E33D45" w:rsidP="001A22EC">
      <w:pPr>
        <w:jc w:val="both"/>
        <w:rPr>
          <w:sz w:val="24"/>
        </w:rPr>
      </w:pPr>
    </w:p>
    <w:p w:rsidR="001A22EC" w:rsidRPr="001A22EC" w:rsidRDefault="001A22EC" w:rsidP="001A22EC">
      <w:pPr>
        <w:jc w:val="both"/>
        <w:rPr>
          <w:sz w:val="24"/>
        </w:rPr>
      </w:pPr>
    </w:p>
    <w:p w:rsidR="001A22EC" w:rsidRPr="001A22EC" w:rsidRDefault="001A22EC" w:rsidP="001A22EC">
      <w:pPr>
        <w:jc w:val="both"/>
        <w:rPr>
          <w:b/>
          <w:sz w:val="24"/>
        </w:rPr>
      </w:pPr>
      <w:r w:rsidRPr="001A22EC">
        <w:rPr>
          <w:b/>
          <w:sz w:val="24"/>
        </w:rPr>
        <w:t xml:space="preserve">(E) Regulations, policies and guidelines in place or under development which are directly relevant to synthetic biology; </w:t>
      </w:r>
    </w:p>
    <w:p w:rsidR="001A22EC" w:rsidRPr="001A22EC" w:rsidRDefault="001A22EC" w:rsidP="001A22EC">
      <w:pPr>
        <w:jc w:val="both"/>
        <w:rPr>
          <w:sz w:val="24"/>
        </w:rPr>
      </w:pPr>
    </w:p>
    <w:p w:rsidR="00E40BC4" w:rsidRDefault="001A22EC" w:rsidP="001A22EC">
      <w:pPr>
        <w:jc w:val="both"/>
        <w:rPr>
          <w:sz w:val="24"/>
        </w:rPr>
      </w:pPr>
      <w:r w:rsidRPr="001A22EC">
        <w:rPr>
          <w:sz w:val="24"/>
        </w:rPr>
        <w:t>T</w:t>
      </w:r>
      <w:r w:rsidR="00E40BC4">
        <w:rPr>
          <w:sz w:val="24"/>
        </w:rPr>
        <w:t>he Cartagena Protocol defines 'LMOs' as "</w:t>
      </w:r>
      <w:r w:rsidRPr="00DB6C99">
        <w:rPr>
          <w:sz w:val="24"/>
        </w:rPr>
        <w:t xml:space="preserve">any living organism that possesses a novel combination of genetic material obtained through </w:t>
      </w:r>
      <w:r w:rsidR="00E40BC4" w:rsidRPr="00DB6C99">
        <w:rPr>
          <w:sz w:val="24"/>
        </w:rPr>
        <w:t>the use of modern biotechnology</w:t>
      </w:r>
      <w:r w:rsidR="00E40BC4">
        <w:rPr>
          <w:i/>
          <w:sz w:val="24"/>
        </w:rPr>
        <w:t>"</w:t>
      </w:r>
      <w:r w:rsidRPr="001A22EC">
        <w:rPr>
          <w:i/>
          <w:sz w:val="24"/>
        </w:rPr>
        <w:t xml:space="preserve">; </w:t>
      </w:r>
      <w:r w:rsidRPr="00E40BC4">
        <w:rPr>
          <w:sz w:val="24"/>
        </w:rPr>
        <w:t>whereas</w:t>
      </w:r>
      <w:r w:rsidR="00E40BC4">
        <w:rPr>
          <w:i/>
          <w:sz w:val="24"/>
        </w:rPr>
        <w:t xml:space="preserve"> "</w:t>
      </w:r>
      <w:r w:rsidRPr="00E40BC4">
        <w:rPr>
          <w:sz w:val="24"/>
        </w:rPr>
        <w:t>modern</w:t>
      </w:r>
      <w:r w:rsidR="00E40BC4">
        <w:rPr>
          <w:sz w:val="24"/>
        </w:rPr>
        <w:t xml:space="preserve"> biotechnology" is defined as</w:t>
      </w:r>
      <w:r w:rsidR="005B50A0">
        <w:rPr>
          <w:sz w:val="24"/>
        </w:rPr>
        <w:t xml:space="preserve">: </w:t>
      </w:r>
      <w:r w:rsidR="00E40BC4" w:rsidRPr="00E40BC4">
        <w:rPr>
          <w:sz w:val="24"/>
        </w:rPr>
        <w:t>"</w:t>
      </w:r>
      <w:r w:rsidR="00E40BC4" w:rsidRPr="00DB6C99">
        <w:rPr>
          <w:iCs/>
          <w:sz w:val="24"/>
        </w:rPr>
        <w:t>the application of: a. In vitro nucleic acid techniques, including recombinant deoxyribonucleic acid (DNA) and direct injection of nucleic acid into cells or organelles, or b. Fusion of cells beyond the taxonomic family, that overcome natural physiological reproductive or recombination barriers and that are not techniques used in traditional breeding and selection</w:t>
      </w:r>
      <w:r w:rsidR="00E40BC4" w:rsidRPr="00DB6C99">
        <w:rPr>
          <w:sz w:val="24"/>
        </w:rPr>
        <w:t>”</w:t>
      </w:r>
      <w:r w:rsidR="00E40BC4" w:rsidRPr="00E40BC4">
        <w:rPr>
          <w:sz w:val="24"/>
        </w:rPr>
        <w:t>.</w:t>
      </w:r>
      <w:r w:rsidR="00E40BC4">
        <w:rPr>
          <w:sz w:val="24"/>
        </w:rPr>
        <w:t xml:space="preserve"> </w:t>
      </w:r>
    </w:p>
    <w:p w:rsidR="00E40BC4" w:rsidRDefault="00E40BC4" w:rsidP="001A22EC">
      <w:pPr>
        <w:jc w:val="both"/>
        <w:rPr>
          <w:sz w:val="24"/>
        </w:rPr>
      </w:pPr>
    </w:p>
    <w:p w:rsidR="001A22EC" w:rsidRDefault="001A22EC" w:rsidP="001A22EC">
      <w:pPr>
        <w:jc w:val="both"/>
        <w:rPr>
          <w:sz w:val="24"/>
        </w:rPr>
      </w:pPr>
      <w:r w:rsidRPr="001A22EC">
        <w:rPr>
          <w:sz w:val="24"/>
        </w:rPr>
        <w:t xml:space="preserve">In Brazil, the Normative Resolutions that are used for the risk assessment of GMOs are also used in the case of </w:t>
      </w:r>
      <w:proofErr w:type="spellStart"/>
      <w:r w:rsidRPr="001A22EC">
        <w:rPr>
          <w:sz w:val="24"/>
        </w:rPr>
        <w:t>SynBio</w:t>
      </w:r>
      <w:proofErr w:type="spellEnd"/>
      <w:r w:rsidRPr="001A22EC">
        <w:rPr>
          <w:sz w:val="24"/>
        </w:rPr>
        <w:t xml:space="preserve"> organisms, without any additional requirement.</w:t>
      </w:r>
    </w:p>
    <w:p w:rsidR="00E40BC4" w:rsidRDefault="00E40BC4" w:rsidP="001A22EC">
      <w:pPr>
        <w:jc w:val="both"/>
        <w:rPr>
          <w:sz w:val="24"/>
        </w:rPr>
      </w:pPr>
    </w:p>
    <w:p w:rsidR="00E40BC4" w:rsidRDefault="00E40BC4" w:rsidP="00E40BC4">
      <w:pPr>
        <w:jc w:val="both"/>
        <w:rPr>
          <w:sz w:val="24"/>
        </w:rPr>
      </w:pPr>
      <w:r w:rsidRPr="00E40BC4">
        <w:rPr>
          <w:sz w:val="24"/>
        </w:rPr>
        <w:t>Based on the text of the Protocol, one can say that:</w:t>
      </w:r>
    </w:p>
    <w:p w:rsidR="005B50A0" w:rsidRPr="00E40BC4" w:rsidRDefault="005B50A0" w:rsidP="00E40BC4">
      <w:pPr>
        <w:jc w:val="both"/>
        <w:rPr>
          <w:sz w:val="24"/>
        </w:rPr>
      </w:pPr>
    </w:p>
    <w:p w:rsidR="00E40BC4" w:rsidRPr="00E40BC4" w:rsidRDefault="00E40BC4" w:rsidP="00E40BC4">
      <w:pPr>
        <w:jc w:val="both"/>
        <w:rPr>
          <w:sz w:val="24"/>
        </w:rPr>
      </w:pPr>
      <w:r w:rsidRPr="00E40BC4">
        <w:rPr>
          <w:sz w:val="24"/>
        </w:rPr>
        <w:t>1. The legal requirement to define a LMO is the presence of genetic modification;</w:t>
      </w:r>
    </w:p>
    <w:p w:rsidR="00E40BC4" w:rsidRPr="00E40BC4" w:rsidRDefault="00E40BC4" w:rsidP="00E40BC4">
      <w:pPr>
        <w:jc w:val="both"/>
        <w:rPr>
          <w:sz w:val="24"/>
        </w:rPr>
      </w:pPr>
      <w:r w:rsidRPr="00E40BC4">
        <w:rPr>
          <w:sz w:val="24"/>
        </w:rPr>
        <w:t xml:space="preserve">2. Modern biotechnology is based on nucleic acids modification, including </w:t>
      </w:r>
      <w:proofErr w:type="gramStart"/>
      <w:r w:rsidRPr="00E40BC4">
        <w:rPr>
          <w:sz w:val="24"/>
        </w:rPr>
        <w:t>DNA,</w:t>
      </w:r>
      <w:proofErr w:type="gramEnd"/>
      <w:r w:rsidRPr="00E40BC4">
        <w:rPr>
          <w:sz w:val="24"/>
        </w:rPr>
        <w:t xml:space="preserve"> therefore, the technique also includes the use of RNA;</w:t>
      </w:r>
    </w:p>
    <w:p w:rsidR="00E40BC4" w:rsidRPr="00E40BC4" w:rsidRDefault="00E40BC4" w:rsidP="00E40BC4">
      <w:pPr>
        <w:jc w:val="both"/>
        <w:rPr>
          <w:sz w:val="24"/>
        </w:rPr>
      </w:pPr>
      <w:r w:rsidRPr="00E40BC4">
        <w:rPr>
          <w:sz w:val="24"/>
        </w:rPr>
        <w:t>3. The nucleic acids direct introduction (DNA/RNA) in cells or organelles is also covered by the text;</w:t>
      </w:r>
    </w:p>
    <w:p w:rsidR="00E40BC4" w:rsidRDefault="00E40BC4" w:rsidP="00E40BC4">
      <w:pPr>
        <w:jc w:val="both"/>
        <w:rPr>
          <w:sz w:val="24"/>
        </w:rPr>
      </w:pPr>
      <w:r w:rsidRPr="00E40BC4">
        <w:rPr>
          <w:sz w:val="24"/>
        </w:rPr>
        <w:t xml:space="preserve">4. The definition considers LMOs that are able to replicate or transfer genetic material including viruses and </w:t>
      </w:r>
      <w:proofErr w:type="spellStart"/>
      <w:r w:rsidRPr="00E40BC4">
        <w:rPr>
          <w:sz w:val="24"/>
        </w:rPr>
        <w:t>viroids</w:t>
      </w:r>
      <w:proofErr w:type="spellEnd"/>
      <w:r w:rsidRPr="00E40BC4">
        <w:rPr>
          <w:sz w:val="24"/>
        </w:rPr>
        <w:t>.</w:t>
      </w:r>
    </w:p>
    <w:p w:rsidR="00E40BC4" w:rsidRPr="00E40BC4" w:rsidRDefault="00E40BC4" w:rsidP="00E40BC4">
      <w:pPr>
        <w:jc w:val="both"/>
        <w:rPr>
          <w:sz w:val="24"/>
        </w:rPr>
      </w:pPr>
    </w:p>
    <w:p w:rsidR="00E40BC4" w:rsidRDefault="00E40BC4" w:rsidP="00E40BC4">
      <w:pPr>
        <w:jc w:val="both"/>
        <w:rPr>
          <w:sz w:val="24"/>
        </w:rPr>
      </w:pPr>
      <w:r w:rsidRPr="00E40BC4">
        <w:rPr>
          <w:sz w:val="24"/>
        </w:rPr>
        <w:t xml:space="preserve">For these reasons, in most cases, a LMO derived from Synthetic Biology is not different from a LMO derived from rDNA techniques. The possible differences between a LMO and an organism </w:t>
      </w:r>
      <w:r w:rsidRPr="00E40BC4">
        <w:rPr>
          <w:sz w:val="24"/>
        </w:rPr>
        <w:lastRenderedPageBreak/>
        <w:t>produced through the application of synthetic biology lies mainly on its complexity. Such complexity may be a result of the combination of several techniques of genetic engineering to produce an organism.</w:t>
      </w:r>
    </w:p>
    <w:p w:rsidR="00E40BC4" w:rsidRPr="00E40BC4" w:rsidRDefault="00E40BC4" w:rsidP="00E40BC4">
      <w:pPr>
        <w:jc w:val="both"/>
        <w:rPr>
          <w:sz w:val="24"/>
        </w:rPr>
      </w:pPr>
    </w:p>
    <w:p w:rsidR="00E40BC4" w:rsidRPr="00E40BC4" w:rsidRDefault="00E40BC4" w:rsidP="00E40BC4">
      <w:pPr>
        <w:jc w:val="both"/>
        <w:rPr>
          <w:sz w:val="24"/>
        </w:rPr>
      </w:pPr>
      <w:r w:rsidRPr="00E40BC4">
        <w:rPr>
          <w:sz w:val="24"/>
        </w:rPr>
        <w:t>Therefore, the central question remains on assessing whether the new organism may present a risk to the conservation and sustainable use of biodiversity, independently if this organism is engineered using rDNA or Synthetic Biology techniques.</w:t>
      </w:r>
    </w:p>
    <w:p w:rsidR="00E40BC4" w:rsidRDefault="00E40BC4" w:rsidP="00E40BC4">
      <w:pPr>
        <w:jc w:val="both"/>
        <w:rPr>
          <w:sz w:val="24"/>
        </w:rPr>
      </w:pPr>
    </w:p>
    <w:p w:rsidR="00E40BC4" w:rsidRPr="00E40BC4" w:rsidRDefault="00E40BC4" w:rsidP="00E40BC4">
      <w:pPr>
        <w:jc w:val="both"/>
        <w:rPr>
          <w:sz w:val="24"/>
        </w:rPr>
      </w:pPr>
      <w:r w:rsidRPr="00E40BC4">
        <w:rPr>
          <w:sz w:val="24"/>
        </w:rPr>
        <w:t>In Brazil, the same Normative Resolutions that are used for GMO risk assessment</w:t>
      </w:r>
      <w:r w:rsidR="005B50A0">
        <w:rPr>
          <w:sz w:val="24"/>
        </w:rPr>
        <w:t>s</w:t>
      </w:r>
      <w:r w:rsidRPr="00E40BC4">
        <w:rPr>
          <w:sz w:val="24"/>
        </w:rPr>
        <w:t xml:space="preserve"> are used in the case of Synthetic Biology organisms without any additional requirement</w:t>
      </w:r>
      <w:r w:rsidR="0027767A">
        <w:rPr>
          <w:sz w:val="24"/>
        </w:rPr>
        <w:t xml:space="preserve">: </w:t>
      </w:r>
      <w:proofErr w:type="spellStart"/>
      <w:r w:rsidR="0027767A">
        <w:rPr>
          <w:sz w:val="24"/>
        </w:rPr>
        <w:t>CTNBio</w:t>
      </w:r>
      <w:proofErr w:type="spellEnd"/>
      <w:r w:rsidR="0027767A">
        <w:rPr>
          <w:sz w:val="24"/>
        </w:rPr>
        <w:t xml:space="preserve"> Normative Resolution n</w:t>
      </w:r>
      <w:r w:rsidRPr="00E40BC4">
        <w:rPr>
          <w:sz w:val="24"/>
        </w:rPr>
        <w:t>. 01/2006 (requirements for activities with GMOs)</w:t>
      </w:r>
      <w:r w:rsidR="0027767A">
        <w:rPr>
          <w:sz w:val="24"/>
        </w:rPr>
        <w:t xml:space="preserve">, </w:t>
      </w:r>
      <w:proofErr w:type="spellStart"/>
      <w:r w:rsidR="0027767A">
        <w:rPr>
          <w:sz w:val="24"/>
        </w:rPr>
        <w:t>CTNBio</w:t>
      </w:r>
      <w:proofErr w:type="spellEnd"/>
      <w:r w:rsidR="0027767A">
        <w:rPr>
          <w:sz w:val="24"/>
        </w:rPr>
        <w:t xml:space="preserve"> Normative Resolution n</w:t>
      </w:r>
      <w:r w:rsidRPr="00E40BC4">
        <w:rPr>
          <w:sz w:val="24"/>
        </w:rPr>
        <w:t>. 02/2006 (requirements for contained use)</w:t>
      </w:r>
      <w:r w:rsidR="0027767A">
        <w:rPr>
          <w:sz w:val="24"/>
        </w:rPr>
        <w:t xml:space="preserve">, </w:t>
      </w:r>
      <w:proofErr w:type="spellStart"/>
      <w:r w:rsidR="0027767A">
        <w:rPr>
          <w:sz w:val="24"/>
        </w:rPr>
        <w:t>CTNBio</w:t>
      </w:r>
      <w:proofErr w:type="spellEnd"/>
      <w:r w:rsidR="0027767A">
        <w:rPr>
          <w:sz w:val="24"/>
        </w:rPr>
        <w:t xml:space="preserve"> Normative Resolution n</w:t>
      </w:r>
      <w:r w:rsidRPr="00E40BC4">
        <w:rPr>
          <w:sz w:val="24"/>
        </w:rPr>
        <w:t>. 05/2008 (requirements for commercial releas</w:t>
      </w:r>
      <w:r w:rsidR="0027767A">
        <w:rPr>
          <w:sz w:val="24"/>
        </w:rPr>
        <w:t xml:space="preserve">e). These Resolutions </w:t>
      </w:r>
      <w:r w:rsidRPr="00E40BC4">
        <w:rPr>
          <w:sz w:val="24"/>
        </w:rPr>
        <w:t xml:space="preserve">are under continuous review by the National Biosafety Technical </w:t>
      </w:r>
      <w:proofErr w:type="spellStart"/>
      <w:r w:rsidRPr="00E40BC4">
        <w:rPr>
          <w:sz w:val="24"/>
        </w:rPr>
        <w:t>Comission</w:t>
      </w:r>
      <w:proofErr w:type="spellEnd"/>
      <w:r w:rsidR="0027767A">
        <w:rPr>
          <w:sz w:val="24"/>
        </w:rPr>
        <w:t>,</w:t>
      </w:r>
      <w:r w:rsidRPr="00E40BC4">
        <w:rPr>
          <w:sz w:val="24"/>
        </w:rPr>
        <w:t xml:space="preserve"> according to scientific advances and technical requirements.</w:t>
      </w:r>
    </w:p>
    <w:p w:rsidR="00E40BC4" w:rsidRPr="001A22EC" w:rsidRDefault="00E40BC4" w:rsidP="001A22EC">
      <w:pPr>
        <w:jc w:val="both"/>
        <w:rPr>
          <w:sz w:val="24"/>
        </w:rPr>
      </w:pPr>
    </w:p>
    <w:p w:rsidR="001A22EC" w:rsidRPr="001A22EC" w:rsidRDefault="001A22EC" w:rsidP="001A22EC">
      <w:pPr>
        <w:jc w:val="both"/>
        <w:rPr>
          <w:sz w:val="24"/>
        </w:rPr>
      </w:pPr>
    </w:p>
    <w:p w:rsidR="001A22EC" w:rsidRPr="001A22EC" w:rsidRDefault="001A22EC" w:rsidP="001A22EC">
      <w:pPr>
        <w:jc w:val="both"/>
        <w:rPr>
          <w:b/>
          <w:sz w:val="24"/>
        </w:rPr>
      </w:pPr>
      <w:r w:rsidRPr="001A22EC">
        <w:rPr>
          <w:b/>
          <w:sz w:val="24"/>
        </w:rPr>
        <w:t>(F) Knowledge, experience and perspectives of indigenous peoples and local communities in the context of living in harmony with nature for comparison and better understanding of the potential benefits and adverse effects of synthetic biology.</w:t>
      </w:r>
    </w:p>
    <w:p w:rsidR="001A22EC" w:rsidRPr="001A22EC" w:rsidRDefault="001A22EC" w:rsidP="001A22EC">
      <w:pPr>
        <w:jc w:val="both"/>
        <w:rPr>
          <w:sz w:val="24"/>
        </w:rPr>
      </w:pPr>
    </w:p>
    <w:p w:rsidR="001A22EC" w:rsidRPr="001A22EC" w:rsidRDefault="00124D50" w:rsidP="001A22EC">
      <w:pPr>
        <w:jc w:val="both"/>
        <w:rPr>
          <w:sz w:val="24"/>
        </w:rPr>
      </w:pPr>
      <w:r>
        <w:rPr>
          <w:sz w:val="24"/>
        </w:rPr>
        <w:t>As mentioned in item (B)</w:t>
      </w:r>
      <w:r w:rsidR="001A22EC" w:rsidRPr="001A22EC">
        <w:rPr>
          <w:sz w:val="24"/>
        </w:rPr>
        <w:t xml:space="preserve">, </w:t>
      </w:r>
      <w:r w:rsidR="00AC6427">
        <w:rPr>
          <w:sz w:val="24"/>
        </w:rPr>
        <w:t xml:space="preserve">it </w:t>
      </w:r>
      <w:r w:rsidR="00AC6427" w:rsidRPr="00AC6427">
        <w:rPr>
          <w:sz w:val="24"/>
        </w:rPr>
        <w:t xml:space="preserve">is not yet scientifically proven </w:t>
      </w:r>
      <w:r w:rsidR="00AC6427">
        <w:rPr>
          <w:sz w:val="24"/>
        </w:rPr>
        <w:t xml:space="preserve">that </w:t>
      </w:r>
      <w:r>
        <w:rPr>
          <w:sz w:val="24"/>
        </w:rPr>
        <w:t xml:space="preserve">the </w:t>
      </w:r>
      <w:r w:rsidR="001A22EC" w:rsidRPr="001A22EC">
        <w:rPr>
          <w:sz w:val="24"/>
        </w:rPr>
        <w:t>potential adverse effects of organisms resulting from synthetic biology</w:t>
      </w:r>
      <w:r w:rsidR="00AC6427" w:rsidRPr="00AC6427">
        <w:rPr>
          <w:sz w:val="24"/>
        </w:rPr>
        <w:t xml:space="preserve"> are the same as risks presented by GMOs</w:t>
      </w:r>
      <w:r w:rsidR="001A22EC" w:rsidRPr="001A22EC">
        <w:rPr>
          <w:sz w:val="24"/>
        </w:rPr>
        <w:t xml:space="preserve">. In Brazil, the cultivation of genetically modified organisms is forbidden in indigenous lands. The potential benefits of this technology are mainly focused on the conservation of endangered species, including the possibility of genomic reconstruction of extinct species. </w:t>
      </w:r>
    </w:p>
    <w:p w:rsidR="001A22EC" w:rsidRPr="001A22EC" w:rsidRDefault="001A22EC" w:rsidP="001A22EC">
      <w:pPr>
        <w:jc w:val="both"/>
        <w:rPr>
          <w:sz w:val="24"/>
        </w:rPr>
      </w:pPr>
    </w:p>
    <w:p w:rsidR="00587624" w:rsidRPr="00124D50" w:rsidRDefault="00124D50" w:rsidP="00587624">
      <w:pPr>
        <w:jc w:val="both"/>
        <w:rPr>
          <w:sz w:val="24"/>
        </w:rPr>
      </w:pPr>
      <w:r w:rsidRPr="00124D50">
        <w:rPr>
          <w:sz w:val="24"/>
        </w:rPr>
        <w:t xml:space="preserve">It is also important to highlight </w:t>
      </w:r>
      <w:r>
        <w:rPr>
          <w:sz w:val="24"/>
        </w:rPr>
        <w:t xml:space="preserve">that </w:t>
      </w:r>
      <w:r w:rsidR="001A22EC" w:rsidRPr="001A22EC">
        <w:rPr>
          <w:sz w:val="24"/>
        </w:rPr>
        <w:t xml:space="preserve">Brazil also has a law entitled "Access and Benefit Sharing Law" (Law </w:t>
      </w:r>
      <w:r>
        <w:rPr>
          <w:sz w:val="24"/>
        </w:rPr>
        <w:t xml:space="preserve">n. 1.123/2015), which addresses </w:t>
      </w:r>
      <w:r w:rsidR="001A22EC" w:rsidRPr="001A22EC">
        <w:rPr>
          <w:sz w:val="24"/>
        </w:rPr>
        <w:t xml:space="preserve">access to genetic resources, protection and access to associated traditional knowledge and benefit sharing for the conservation and sustainable use of the Brazilian biodiversity. </w:t>
      </w:r>
      <w:r>
        <w:rPr>
          <w:sz w:val="24"/>
        </w:rPr>
        <w:t xml:space="preserve">This legislation makes evident </w:t>
      </w:r>
      <w:r w:rsidR="00587624" w:rsidRPr="00124D50">
        <w:rPr>
          <w:sz w:val="24"/>
        </w:rPr>
        <w:t>another potential benefit of Synthetic Biology for indigenous and local communities</w:t>
      </w:r>
      <w:r w:rsidRPr="00124D50">
        <w:rPr>
          <w:sz w:val="24"/>
        </w:rPr>
        <w:t>, since the domestic ABS Law</w:t>
      </w:r>
      <w:r w:rsidR="00587624" w:rsidRPr="00124D50">
        <w:rPr>
          <w:sz w:val="24"/>
        </w:rPr>
        <w:t xml:space="preserve"> s</w:t>
      </w:r>
      <w:r w:rsidRPr="00124D50">
        <w:rPr>
          <w:sz w:val="24"/>
        </w:rPr>
        <w:t>ets forth the basis for benefit</w:t>
      </w:r>
      <w:r w:rsidR="00587624" w:rsidRPr="00124D50">
        <w:rPr>
          <w:sz w:val="24"/>
        </w:rPr>
        <w:t xml:space="preserve"> shari</w:t>
      </w:r>
      <w:r w:rsidRPr="00124D50">
        <w:rPr>
          <w:sz w:val="24"/>
        </w:rPr>
        <w:t>ng resulting from economic use </w:t>
      </w:r>
      <w:r w:rsidR="00587624" w:rsidRPr="00124D50">
        <w:rPr>
          <w:sz w:val="24"/>
        </w:rPr>
        <w:t>of a finished product or reproductive material resulting from access of national genetic heritage or associated traditional knowledge.</w:t>
      </w:r>
    </w:p>
    <w:p w:rsidR="00124D50" w:rsidRPr="00124D50" w:rsidRDefault="00124D50" w:rsidP="00587624">
      <w:pPr>
        <w:jc w:val="both"/>
        <w:rPr>
          <w:sz w:val="24"/>
        </w:rPr>
      </w:pPr>
    </w:p>
    <w:p w:rsidR="00587624" w:rsidRPr="00124D50" w:rsidRDefault="00587624" w:rsidP="00587624">
      <w:pPr>
        <w:jc w:val="both"/>
        <w:rPr>
          <w:sz w:val="24"/>
        </w:rPr>
      </w:pPr>
      <w:r w:rsidRPr="00124D50">
        <w:rPr>
          <w:sz w:val="24"/>
        </w:rPr>
        <w:t>The development of Synthetic Biology technologies and the application of access a</w:t>
      </w:r>
      <w:r w:rsidR="005B50A0">
        <w:rPr>
          <w:sz w:val="24"/>
        </w:rPr>
        <w:t xml:space="preserve">nd benefit sharing regulations </w:t>
      </w:r>
      <w:r w:rsidRPr="00124D50">
        <w:rPr>
          <w:sz w:val="24"/>
        </w:rPr>
        <w:t>could prompt the use of genetic resources and/or traditional knowledge in ways that indigenous people could benefit from the development and future deployment of new technologies and products.</w:t>
      </w:r>
    </w:p>
    <w:p w:rsidR="00124D50" w:rsidRPr="00124D50" w:rsidRDefault="00124D50" w:rsidP="00587624">
      <w:pPr>
        <w:jc w:val="both"/>
        <w:rPr>
          <w:sz w:val="24"/>
        </w:rPr>
      </w:pPr>
    </w:p>
    <w:p w:rsidR="00587624" w:rsidRPr="00587624" w:rsidRDefault="008F5298" w:rsidP="00587624">
      <w:pPr>
        <w:jc w:val="both"/>
        <w:rPr>
          <w:sz w:val="24"/>
        </w:rPr>
      </w:pPr>
      <w:r>
        <w:rPr>
          <w:sz w:val="24"/>
        </w:rPr>
        <w:t>As aforementioned, the AHTEG</w:t>
      </w:r>
      <w:bookmarkStart w:id="0" w:name="_GoBack"/>
      <w:bookmarkEnd w:id="0"/>
      <w:r>
        <w:rPr>
          <w:sz w:val="24"/>
        </w:rPr>
        <w:t xml:space="preserve"> on</w:t>
      </w:r>
      <w:r w:rsidR="00725744" w:rsidRPr="008F5298">
        <w:rPr>
          <w:sz w:val="24"/>
        </w:rPr>
        <w:t xml:space="preserve"> Socioeconomic Considerations of the Cartagena Protocol should analyze the impact of synthetic biology on productive chains of socio-biodiversity in face-to-face or online meetings</w:t>
      </w:r>
      <w:r>
        <w:rPr>
          <w:sz w:val="24"/>
        </w:rPr>
        <w:t xml:space="preserve">. </w:t>
      </w:r>
      <w:r w:rsidR="00587624" w:rsidRPr="00124D50">
        <w:rPr>
          <w:sz w:val="24"/>
        </w:rPr>
        <w:t xml:space="preserve">Parties should follow a precautionary approach, </w:t>
      </w:r>
      <w:r w:rsidR="00124D50" w:rsidRPr="00124D50">
        <w:rPr>
          <w:sz w:val="24"/>
        </w:rPr>
        <w:t>bearing</w:t>
      </w:r>
      <w:r w:rsidR="00587624" w:rsidRPr="00124D50">
        <w:rPr>
          <w:sz w:val="24"/>
        </w:rPr>
        <w:t xml:space="preserve"> in mind that it requires experience, information sharing, risk assessment</w:t>
      </w:r>
      <w:r w:rsidR="0027767A">
        <w:rPr>
          <w:sz w:val="24"/>
        </w:rPr>
        <w:t xml:space="preserve"> and practical cases as the basis</w:t>
      </w:r>
      <w:r w:rsidR="00587624" w:rsidRPr="00124D50">
        <w:rPr>
          <w:sz w:val="24"/>
        </w:rPr>
        <w:t xml:space="preserve"> to deal with any new technology.</w:t>
      </w:r>
      <w:r w:rsidR="00587624" w:rsidRPr="00587624">
        <w:rPr>
          <w:sz w:val="24"/>
        </w:rPr>
        <w:t xml:space="preserve">  </w:t>
      </w:r>
    </w:p>
    <w:p w:rsidR="00587624" w:rsidRPr="009F4597" w:rsidRDefault="00587624" w:rsidP="009F4597">
      <w:pPr>
        <w:jc w:val="both"/>
        <w:rPr>
          <w:sz w:val="24"/>
        </w:rPr>
      </w:pPr>
    </w:p>
    <w:sectPr w:rsidR="00587624" w:rsidRPr="009F4597">
      <w:headerReference w:type="default" r:id="rId9"/>
      <w:footerReference w:type="default" r:id="rId10"/>
      <w:pgSz w:w="11907" w:h="16840" w:code="9"/>
      <w:pgMar w:top="1418" w:right="851" w:bottom="1418" w:left="1701" w:header="720"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316" w:rsidRDefault="00102316">
      <w:r>
        <w:separator/>
      </w:r>
    </w:p>
  </w:endnote>
  <w:endnote w:type="continuationSeparator" w:id="0">
    <w:p w:rsidR="00102316" w:rsidRDefault="00102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69" w:rsidRPr="002B77E6" w:rsidRDefault="009147A8">
    <w:pPr>
      <w:autoSpaceDE w:val="0"/>
      <w:autoSpaceDN w:val="0"/>
      <w:adjustRightInd w:val="0"/>
      <w:rPr>
        <w:sz w:val="18"/>
        <w:lang w:val="pt-BR"/>
      </w:rPr>
    </w:pPr>
    <w:r w:rsidRPr="002B77E6">
      <w:rPr>
        <w:sz w:val="18"/>
        <w:lang w:val="pt-BR"/>
      </w:rPr>
      <w:t>SPO – Área 05 – Quadra 03 Bloco B – Térreo – Salas 08</w:t>
    </w:r>
    <w:r w:rsidRPr="002B77E6">
      <w:rPr>
        <w:sz w:val="18"/>
        <w:lang w:val="pt-BR"/>
      </w:rPr>
      <w:tab/>
    </w:r>
    <w:proofErr w:type="gramStart"/>
    <w:r w:rsidRPr="002B77E6">
      <w:rPr>
        <w:sz w:val="18"/>
        <w:lang w:val="pt-BR"/>
      </w:rPr>
      <w:t xml:space="preserve"> </w:t>
    </w:r>
    <w:r w:rsidRPr="002B77E6">
      <w:rPr>
        <w:lang w:val="pt-BR"/>
      </w:rPr>
      <w:t xml:space="preserve"> </w:t>
    </w:r>
    <w:proofErr w:type="gramEnd"/>
    <w:r w:rsidRPr="002B77E6">
      <w:rPr>
        <w:lang w:val="pt-BR"/>
      </w:rPr>
      <w:t xml:space="preserve">TELEFONE </w:t>
    </w:r>
    <w:r w:rsidRPr="002B77E6">
      <w:rPr>
        <w:sz w:val="18"/>
        <w:lang w:val="pt-BR"/>
      </w:rPr>
      <w:t>: (61) 2033 5516              FAX (61) 2033-7475</w:t>
    </w:r>
  </w:p>
  <w:p w:rsidR="00FB1969" w:rsidRPr="002B77E6" w:rsidRDefault="009147A8">
    <w:pPr>
      <w:autoSpaceDE w:val="0"/>
      <w:autoSpaceDN w:val="0"/>
      <w:adjustRightInd w:val="0"/>
      <w:rPr>
        <w:sz w:val="18"/>
        <w:lang w:val="pt-BR"/>
      </w:rPr>
    </w:pPr>
    <w:r w:rsidRPr="002B77E6">
      <w:rPr>
        <w:sz w:val="18"/>
        <w:lang w:val="pt-BR"/>
      </w:rPr>
      <w:t>CEP 70610-200 – BRASÍLIA – DF                                                                                                                            GDS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316" w:rsidRDefault="00102316">
      <w:r>
        <w:separator/>
      </w:r>
    </w:p>
  </w:footnote>
  <w:footnote w:type="continuationSeparator" w:id="0">
    <w:p w:rsidR="00102316" w:rsidRDefault="00102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8" w:type="dxa"/>
      <w:tblInd w:w="-108" w:type="dxa"/>
      <w:tblLayout w:type="fixed"/>
      <w:tblCellMar>
        <w:left w:w="0" w:type="dxa"/>
        <w:right w:w="0" w:type="dxa"/>
      </w:tblCellMar>
      <w:tblLook w:val="0000" w:firstRow="0" w:lastRow="0" w:firstColumn="0" w:lastColumn="0" w:noHBand="0" w:noVBand="0"/>
    </w:tblPr>
    <w:tblGrid>
      <w:gridCol w:w="1101"/>
      <w:gridCol w:w="6662"/>
      <w:gridCol w:w="1985"/>
    </w:tblGrid>
    <w:tr w:rsidR="00FB1969">
      <w:trPr>
        <w:cantSplit/>
      </w:trPr>
      <w:tc>
        <w:tcPr>
          <w:tcW w:w="1101" w:type="dxa"/>
        </w:tcPr>
        <w:p w:rsidR="00FB1969" w:rsidRDefault="00FB1969">
          <w:pPr>
            <w:pStyle w:val="Cabealho"/>
            <w:snapToGrid w:val="0"/>
            <w:rPr>
              <w:color w:val="FFFFFF"/>
            </w:rPr>
          </w:pPr>
        </w:p>
        <w:p w:rsidR="00FB1969" w:rsidRDefault="00FB1969">
          <w:pPr>
            <w:pStyle w:val="Cabealho"/>
            <w:snapToGrid w:val="0"/>
            <w:rPr>
              <w:b/>
              <w:sz w:val="24"/>
            </w:rPr>
          </w:pPr>
        </w:p>
      </w:tc>
      <w:tc>
        <w:tcPr>
          <w:tcW w:w="6662" w:type="dxa"/>
          <w:vAlign w:val="center"/>
        </w:tcPr>
        <w:p w:rsidR="00FB1969" w:rsidRPr="00BC4707" w:rsidRDefault="009147A8">
          <w:pPr>
            <w:pStyle w:val="Cabealho"/>
            <w:ind w:left="-142"/>
            <w:jc w:val="center"/>
            <w:rPr>
              <w:sz w:val="24"/>
            </w:rPr>
          </w:pPr>
          <w:r w:rsidRPr="00BC4707">
            <w:rPr>
              <w:b/>
              <w:sz w:val="24"/>
            </w:rPr>
            <w:t xml:space="preserve">Ministry of </w:t>
          </w:r>
          <w:r w:rsidR="00BC4707" w:rsidRPr="00BC4707">
            <w:rPr>
              <w:b/>
              <w:sz w:val="24"/>
            </w:rPr>
            <w:t>Foreign Affairs of Brazil</w:t>
          </w:r>
        </w:p>
        <w:p w:rsidR="00FB1969" w:rsidRPr="00BC4707" w:rsidRDefault="00BC4707">
          <w:pPr>
            <w:pStyle w:val="Cabealho"/>
            <w:jc w:val="center"/>
            <w:rPr>
              <w:sz w:val="22"/>
            </w:rPr>
          </w:pPr>
          <w:r>
            <w:rPr>
              <w:sz w:val="22"/>
            </w:rPr>
            <w:t xml:space="preserve">Environment Division </w:t>
          </w:r>
        </w:p>
      </w:tc>
      <w:tc>
        <w:tcPr>
          <w:tcW w:w="1985" w:type="dxa"/>
          <w:vAlign w:val="center"/>
        </w:tcPr>
        <w:p w:rsidR="00FB1969" w:rsidRDefault="00BC4707">
          <w:pPr>
            <w:pStyle w:val="Cabealho"/>
            <w:snapToGrid w:val="0"/>
            <w:jc w:val="center"/>
          </w:pPr>
          <w:r w:rsidRPr="00BC4707">
            <w:rPr>
              <w:noProof/>
              <w:lang w:val="pt-BR"/>
            </w:rPr>
            <w:drawing>
              <wp:inline distT="0" distB="0" distL="0" distR="0" wp14:anchorId="1C94DDDA" wp14:editId="160FAF3E">
                <wp:extent cx="1050052" cy="723662"/>
                <wp:effectExtent l="0" t="0" r="0" b="635"/>
                <wp:docPr id="2" name="Imagem 2" descr="http://eventos.dpr.gov.br/Sites/EtiopiaMarrocosTunisia/src/img/img-logo-m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ventos.dpr.gov.br/Sites/EtiopiaMarrocosTunisia/src/img/img-logo-m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179" cy="723750"/>
                        </a:xfrm>
                        <a:prstGeom prst="rect">
                          <a:avLst/>
                        </a:prstGeom>
                        <a:noFill/>
                        <a:ln>
                          <a:noFill/>
                        </a:ln>
                      </pic:spPr>
                    </pic:pic>
                  </a:graphicData>
                </a:graphic>
              </wp:inline>
            </w:drawing>
          </w:r>
        </w:p>
      </w:tc>
    </w:tr>
  </w:tbl>
  <w:p w:rsidR="00FB1969" w:rsidRDefault="009147A8">
    <w:pPr>
      <w:pStyle w:val="Cabealho"/>
      <w:tabs>
        <w:tab w:val="clear" w:pos="4419"/>
        <w:tab w:val="clear" w:pos="8838"/>
        <w:tab w:val="left" w:pos="39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36625"/>
    <w:multiLevelType w:val="hybridMultilevel"/>
    <w:tmpl w:val="58CE6406"/>
    <w:lvl w:ilvl="0" w:tplc="0416000F">
      <w:start w:val="1"/>
      <w:numFmt w:val="decimal"/>
      <w:lvlText w:val="%1."/>
      <w:lvlJc w:val="left"/>
      <w:pPr>
        <w:ind w:left="1428" w:hanging="360"/>
      </w:pPr>
      <w:rPr>
        <w:rFonts w:hint="default"/>
      </w:r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
    <w:nsid w:val="1A316D4E"/>
    <w:multiLevelType w:val="hybridMultilevel"/>
    <w:tmpl w:val="4C7ECE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C761D35"/>
    <w:multiLevelType w:val="hybridMultilevel"/>
    <w:tmpl w:val="1F8A61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5BC3DCD"/>
    <w:multiLevelType w:val="hybridMultilevel"/>
    <w:tmpl w:val="3E6E73B4"/>
    <w:lvl w:ilvl="0" w:tplc="0416000F">
      <w:start w:val="1"/>
      <w:numFmt w:val="decimal"/>
      <w:lvlText w:val="%1."/>
      <w:lvlJc w:val="left"/>
      <w:pPr>
        <w:ind w:left="12048" w:hanging="360"/>
      </w:pPr>
      <w:rPr>
        <w:rFonts w:hint="default"/>
      </w:rPr>
    </w:lvl>
    <w:lvl w:ilvl="1" w:tplc="04160019" w:tentative="1">
      <w:start w:val="1"/>
      <w:numFmt w:val="lowerLetter"/>
      <w:lvlText w:val="%2."/>
      <w:lvlJc w:val="left"/>
      <w:pPr>
        <w:ind w:left="12768" w:hanging="360"/>
      </w:pPr>
    </w:lvl>
    <w:lvl w:ilvl="2" w:tplc="0416001B" w:tentative="1">
      <w:start w:val="1"/>
      <w:numFmt w:val="lowerRoman"/>
      <w:lvlText w:val="%3."/>
      <w:lvlJc w:val="right"/>
      <w:pPr>
        <w:ind w:left="13488" w:hanging="180"/>
      </w:pPr>
    </w:lvl>
    <w:lvl w:ilvl="3" w:tplc="0416000F" w:tentative="1">
      <w:start w:val="1"/>
      <w:numFmt w:val="decimal"/>
      <w:lvlText w:val="%4."/>
      <w:lvlJc w:val="left"/>
      <w:pPr>
        <w:ind w:left="14208" w:hanging="360"/>
      </w:pPr>
    </w:lvl>
    <w:lvl w:ilvl="4" w:tplc="04160019" w:tentative="1">
      <w:start w:val="1"/>
      <w:numFmt w:val="lowerLetter"/>
      <w:lvlText w:val="%5."/>
      <w:lvlJc w:val="left"/>
      <w:pPr>
        <w:ind w:left="14928" w:hanging="360"/>
      </w:pPr>
    </w:lvl>
    <w:lvl w:ilvl="5" w:tplc="0416001B" w:tentative="1">
      <w:start w:val="1"/>
      <w:numFmt w:val="lowerRoman"/>
      <w:lvlText w:val="%6."/>
      <w:lvlJc w:val="right"/>
      <w:pPr>
        <w:ind w:left="15648" w:hanging="180"/>
      </w:pPr>
    </w:lvl>
    <w:lvl w:ilvl="6" w:tplc="0416000F" w:tentative="1">
      <w:start w:val="1"/>
      <w:numFmt w:val="decimal"/>
      <w:lvlText w:val="%7."/>
      <w:lvlJc w:val="left"/>
      <w:pPr>
        <w:ind w:left="16368" w:hanging="360"/>
      </w:pPr>
    </w:lvl>
    <w:lvl w:ilvl="7" w:tplc="04160019" w:tentative="1">
      <w:start w:val="1"/>
      <w:numFmt w:val="lowerLetter"/>
      <w:lvlText w:val="%8."/>
      <w:lvlJc w:val="left"/>
      <w:pPr>
        <w:ind w:left="17088" w:hanging="360"/>
      </w:pPr>
    </w:lvl>
    <w:lvl w:ilvl="8" w:tplc="0416001B" w:tentative="1">
      <w:start w:val="1"/>
      <w:numFmt w:val="lowerRoman"/>
      <w:lvlText w:val="%9."/>
      <w:lvlJc w:val="right"/>
      <w:pPr>
        <w:ind w:left="17808" w:hanging="180"/>
      </w:pPr>
    </w:lvl>
  </w:abstractNum>
  <w:abstractNum w:abstractNumId="4">
    <w:nsid w:val="385250F5"/>
    <w:multiLevelType w:val="multilevel"/>
    <w:tmpl w:val="3AB81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196EE1"/>
    <w:multiLevelType w:val="hybridMultilevel"/>
    <w:tmpl w:val="E3EC574A"/>
    <w:lvl w:ilvl="0" w:tplc="F58ECD8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F831801"/>
    <w:multiLevelType w:val="hybridMultilevel"/>
    <w:tmpl w:val="1F706656"/>
    <w:lvl w:ilvl="0" w:tplc="0416000F">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7">
    <w:nsid w:val="541F6B42"/>
    <w:multiLevelType w:val="multilevel"/>
    <w:tmpl w:val="462C9C1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E005203"/>
    <w:multiLevelType w:val="hybridMultilevel"/>
    <w:tmpl w:val="187474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706F1E47"/>
    <w:multiLevelType w:val="hybridMultilevel"/>
    <w:tmpl w:val="8468EA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9"/>
  </w:num>
  <w:num w:numId="5">
    <w:abstractNumId w:val="8"/>
  </w:num>
  <w:num w:numId="6">
    <w:abstractNumId w:val="1"/>
  </w:num>
  <w:num w:numId="7">
    <w:abstractNumId w:val="2"/>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418"/>
  <w:hyphenationZone w:val="425"/>
  <w:drawingGridHorizontalSpacing w:val="75"/>
  <w:drawingGridVerticalSpacing w:val="102"/>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714"/>
    <w:rsid w:val="00021234"/>
    <w:rsid w:val="00047A07"/>
    <w:rsid w:val="00091B23"/>
    <w:rsid w:val="00093B30"/>
    <w:rsid w:val="000B3BA7"/>
    <w:rsid w:val="000C60DC"/>
    <w:rsid w:val="000E1A41"/>
    <w:rsid w:val="000F1E45"/>
    <w:rsid w:val="00102316"/>
    <w:rsid w:val="00124D50"/>
    <w:rsid w:val="00130CF0"/>
    <w:rsid w:val="00151742"/>
    <w:rsid w:val="001676DA"/>
    <w:rsid w:val="00171A7C"/>
    <w:rsid w:val="00172280"/>
    <w:rsid w:val="00173507"/>
    <w:rsid w:val="00173F78"/>
    <w:rsid w:val="00184D86"/>
    <w:rsid w:val="001A22EC"/>
    <w:rsid w:val="001C2714"/>
    <w:rsid w:val="00244482"/>
    <w:rsid w:val="0025773B"/>
    <w:rsid w:val="0027767A"/>
    <w:rsid w:val="0029166B"/>
    <w:rsid w:val="002B3202"/>
    <w:rsid w:val="002B5C0B"/>
    <w:rsid w:val="002B77E6"/>
    <w:rsid w:val="003114DA"/>
    <w:rsid w:val="00360ADB"/>
    <w:rsid w:val="003646E9"/>
    <w:rsid w:val="0037150C"/>
    <w:rsid w:val="00377FDC"/>
    <w:rsid w:val="00391239"/>
    <w:rsid w:val="0039392A"/>
    <w:rsid w:val="003C29A2"/>
    <w:rsid w:val="004112CF"/>
    <w:rsid w:val="00434B33"/>
    <w:rsid w:val="00434BC4"/>
    <w:rsid w:val="00441B63"/>
    <w:rsid w:val="004A298C"/>
    <w:rsid w:val="004B1613"/>
    <w:rsid w:val="004B6AE2"/>
    <w:rsid w:val="004D7FBF"/>
    <w:rsid w:val="0053087B"/>
    <w:rsid w:val="00544158"/>
    <w:rsid w:val="00550640"/>
    <w:rsid w:val="00570D75"/>
    <w:rsid w:val="005805C2"/>
    <w:rsid w:val="00587624"/>
    <w:rsid w:val="005901FA"/>
    <w:rsid w:val="005B50A0"/>
    <w:rsid w:val="005C01AA"/>
    <w:rsid w:val="005D38AF"/>
    <w:rsid w:val="005E73F0"/>
    <w:rsid w:val="005F2AE6"/>
    <w:rsid w:val="005F5ED9"/>
    <w:rsid w:val="0060334A"/>
    <w:rsid w:val="0061407D"/>
    <w:rsid w:val="00615092"/>
    <w:rsid w:val="00621DC5"/>
    <w:rsid w:val="00654A4A"/>
    <w:rsid w:val="00687B08"/>
    <w:rsid w:val="00692C8C"/>
    <w:rsid w:val="007139C3"/>
    <w:rsid w:val="00721A39"/>
    <w:rsid w:val="00725744"/>
    <w:rsid w:val="00725EDE"/>
    <w:rsid w:val="0074111A"/>
    <w:rsid w:val="00791126"/>
    <w:rsid w:val="007C2A57"/>
    <w:rsid w:val="007C672C"/>
    <w:rsid w:val="00821A09"/>
    <w:rsid w:val="0082464B"/>
    <w:rsid w:val="00834DFA"/>
    <w:rsid w:val="00867E8B"/>
    <w:rsid w:val="00880775"/>
    <w:rsid w:val="008B66B7"/>
    <w:rsid w:val="008C1CB6"/>
    <w:rsid w:val="008F5298"/>
    <w:rsid w:val="009147A8"/>
    <w:rsid w:val="0091682C"/>
    <w:rsid w:val="009A6CA3"/>
    <w:rsid w:val="009B023E"/>
    <w:rsid w:val="009E0C80"/>
    <w:rsid w:val="009E2B2F"/>
    <w:rsid w:val="009F4597"/>
    <w:rsid w:val="00A4461A"/>
    <w:rsid w:val="00A77904"/>
    <w:rsid w:val="00AB061E"/>
    <w:rsid w:val="00AC6427"/>
    <w:rsid w:val="00AE39CE"/>
    <w:rsid w:val="00B0421F"/>
    <w:rsid w:val="00B37E28"/>
    <w:rsid w:val="00B416E5"/>
    <w:rsid w:val="00B61654"/>
    <w:rsid w:val="00B70210"/>
    <w:rsid w:val="00B84A18"/>
    <w:rsid w:val="00BC4707"/>
    <w:rsid w:val="00BF18EC"/>
    <w:rsid w:val="00BF3286"/>
    <w:rsid w:val="00C32F35"/>
    <w:rsid w:val="00C55FA7"/>
    <w:rsid w:val="00C60AD7"/>
    <w:rsid w:val="00C64811"/>
    <w:rsid w:val="00CC54C2"/>
    <w:rsid w:val="00CD5E94"/>
    <w:rsid w:val="00CF2F62"/>
    <w:rsid w:val="00CF6EDE"/>
    <w:rsid w:val="00D17A9F"/>
    <w:rsid w:val="00D50CC8"/>
    <w:rsid w:val="00D871A3"/>
    <w:rsid w:val="00DA100A"/>
    <w:rsid w:val="00DB1F2A"/>
    <w:rsid w:val="00DB6C99"/>
    <w:rsid w:val="00DE0585"/>
    <w:rsid w:val="00E24EDD"/>
    <w:rsid w:val="00E33BEA"/>
    <w:rsid w:val="00E33D45"/>
    <w:rsid w:val="00E40BC4"/>
    <w:rsid w:val="00E5674D"/>
    <w:rsid w:val="00E573C4"/>
    <w:rsid w:val="00E70347"/>
    <w:rsid w:val="00E8309B"/>
    <w:rsid w:val="00EA5226"/>
    <w:rsid w:val="00EB1B89"/>
    <w:rsid w:val="00EC2BE2"/>
    <w:rsid w:val="00F6773D"/>
    <w:rsid w:val="00F93534"/>
    <w:rsid w:val="00FA6C9B"/>
    <w:rsid w:val="00FB1969"/>
    <w:rsid w:val="00FC5FA6"/>
    <w:rsid w:val="00FD5056"/>
    <w:rsid w:val="00FE6366"/>
    <w:rsid w:val="00FF0A8F"/>
    <w:rsid w:val="00FF2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B30"/>
    <w:pPr>
      <w:spacing w:after="0" w:line="240" w:lineRule="auto"/>
    </w:pPr>
    <w:rPr>
      <w:rFonts w:ascii="Times New Roman" w:eastAsia="Times New Roman" w:hAnsi="Times New Roman" w:cs="Times New Roman"/>
      <w:sz w:val="15"/>
      <w:szCs w:val="20"/>
      <w:lang w:eastAsia="pt-BR"/>
    </w:rPr>
  </w:style>
  <w:style w:type="paragraph" w:styleId="Ttulo1">
    <w:name w:val="heading 1"/>
    <w:basedOn w:val="Normal"/>
    <w:next w:val="Normal"/>
    <w:link w:val="Ttulo1Char"/>
    <w:qFormat/>
    <w:rsid w:val="00093B30"/>
    <w:pPr>
      <w:keepNext/>
      <w:outlineLvl w:val="0"/>
    </w:pPr>
    <w:rPr>
      <w:b/>
      <w:sz w:val="28"/>
    </w:rPr>
  </w:style>
  <w:style w:type="paragraph" w:styleId="Ttulo3">
    <w:name w:val="heading 3"/>
    <w:basedOn w:val="Normal"/>
    <w:next w:val="Normal"/>
    <w:link w:val="Ttulo3Char"/>
    <w:uiPriority w:val="9"/>
    <w:semiHidden/>
    <w:unhideWhenUsed/>
    <w:qFormat/>
    <w:rsid w:val="007139C3"/>
    <w:pPr>
      <w:keepNext/>
      <w:keepLines/>
      <w:spacing w:before="200"/>
      <w:outlineLvl w:val="2"/>
    </w:pPr>
    <w:rPr>
      <w:rFonts w:asciiTheme="majorHAnsi" w:eastAsiaTheme="majorEastAsia" w:hAnsiTheme="majorHAnsi" w:cstheme="majorBidi"/>
      <w:b/>
      <w:bCs/>
      <w:color w:val="4F81BD" w:themeColor="accent1"/>
    </w:rPr>
  </w:style>
  <w:style w:type="paragraph" w:styleId="Ttulo9">
    <w:name w:val="heading 9"/>
    <w:basedOn w:val="Normal"/>
    <w:next w:val="Normal"/>
    <w:link w:val="Ttulo9Char"/>
    <w:qFormat/>
    <w:rsid w:val="00093B30"/>
    <w:pPr>
      <w:keepNext/>
      <w:ind w:firstLine="720"/>
      <w:jc w:val="both"/>
      <w:outlineLvl w:val="8"/>
    </w:pPr>
    <w:rPr>
      <w:rFonts w:ascii="Arial" w:hAnsi="Arial"/>
      <w:b/>
      <w:sz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93B30"/>
    <w:rPr>
      <w:rFonts w:ascii="Times New Roman" w:eastAsia="Times New Roman" w:hAnsi="Times New Roman" w:cs="Times New Roman"/>
      <w:b/>
      <w:sz w:val="28"/>
      <w:szCs w:val="20"/>
      <w:lang w:eastAsia="pt-BR"/>
    </w:rPr>
  </w:style>
  <w:style w:type="character" w:customStyle="1" w:styleId="Ttulo9Char">
    <w:name w:val="Título 9 Char"/>
    <w:basedOn w:val="Fontepargpadro"/>
    <w:link w:val="Ttulo9"/>
    <w:rsid w:val="00093B30"/>
    <w:rPr>
      <w:rFonts w:ascii="Arial" w:eastAsia="Times New Roman" w:hAnsi="Arial" w:cs="Times New Roman"/>
      <w:b/>
      <w:sz w:val="24"/>
      <w:szCs w:val="20"/>
      <w:lang w:eastAsia="pt-BR"/>
    </w:rPr>
  </w:style>
  <w:style w:type="paragraph" w:styleId="Cabealho">
    <w:name w:val="header"/>
    <w:basedOn w:val="Normal"/>
    <w:link w:val="CabealhoChar"/>
    <w:rsid w:val="00093B30"/>
    <w:pPr>
      <w:tabs>
        <w:tab w:val="center" w:pos="4419"/>
        <w:tab w:val="right" w:pos="8838"/>
      </w:tabs>
    </w:pPr>
  </w:style>
  <w:style w:type="character" w:customStyle="1" w:styleId="CabealhoChar">
    <w:name w:val="Cabeçalho Char"/>
    <w:basedOn w:val="Fontepargpadro"/>
    <w:link w:val="Cabealho"/>
    <w:rsid w:val="00093B30"/>
    <w:rPr>
      <w:rFonts w:ascii="Times New Roman" w:eastAsia="Times New Roman" w:hAnsi="Times New Roman" w:cs="Times New Roman"/>
      <w:sz w:val="15"/>
      <w:szCs w:val="20"/>
      <w:lang w:eastAsia="pt-BR"/>
    </w:rPr>
  </w:style>
  <w:style w:type="paragraph" w:styleId="Textodebalo">
    <w:name w:val="Balloon Text"/>
    <w:basedOn w:val="Normal"/>
    <w:link w:val="TextodebaloChar"/>
    <w:uiPriority w:val="99"/>
    <w:semiHidden/>
    <w:unhideWhenUsed/>
    <w:rsid w:val="00093B30"/>
    <w:rPr>
      <w:rFonts w:ascii="Tahoma" w:hAnsi="Tahoma" w:cs="Tahoma"/>
      <w:sz w:val="16"/>
      <w:szCs w:val="16"/>
    </w:rPr>
  </w:style>
  <w:style w:type="character" w:customStyle="1" w:styleId="TextodebaloChar">
    <w:name w:val="Texto de balão Char"/>
    <w:basedOn w:val="Fontepargpadro"/>
    <w:link w:val="Textodebalo"/>
    <w:uiPriority w:val="99"/>
    <w:semiHidden/>
    <w:rsid w:val="00093B30"/>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093B30"/>
    <w:rPr>
      <w:color w:val="808080"/>
    </w:rPr>
  </w:style>
  <w:style w:type="paragraph" w:styleId="Rodap">
    <w:name w:val="footer"/>
    <w:basedOn w:val="Normal"/>
    <w:link w:val="RodapChar"/>
    <w:uiPriority w:val="99"/>
    <w:unhideWhenUsed/>
    <w:rsid w:val="00C32F35"/>
    <w:pPr>
      <w:tabs>
        <w:tab w:val="center" w:pos="4252"/>
        <w:tab w:val="right" w:pos="8504"/>
      </w:tabs>
    </w:pPr>
  </w:style>
  <w:style w:type="character" w:customStyle="1" w:styleId="RodapChar">
    <w:name w:val="Rodapé Char"/>
    <w:basedOn w:val="Fontepargpadro"/>
    <w:link w:val="Rodap"/>
    <w:uiPriority w:val="99"/>
    <w:rsid w:val="00C32F35"/>
    <w:rPr>
      <w:rFonts w:ascii="Times New Roman" w:eastAsia="Times New Roman" w:hAnsi="Times New Roman" w:cs="Times New Roman"/>
      <w:sz w:val="15"/>
      <w:szCs w:val="20"/>
      <w:lang w:eastAsia="pt-BR"/>
    </w:rPr>
  </w:style>
  <w:style w:type="paragraph" w:styleId="PargrafodaLista">
    <w:name w:val="List Paragraph"/>
    <w:basedOn w:val="Normal"/>
    <w:uiPriority w:val="34"/>
    <w:qFormat/>
    <w:rsid w:val="00171A7C"/>
    <w:pPr>
      <w:ind w:left="720"/>
      <w:contextualSpacing/>
    </w:pPr>
  </w:style>
  <w:style w:type="paragraph" w:styleId="Corpodetexto2">
    <w:name w:val="Body Text 2"/>
    <w:basedOn w:val="Normal"/>
    <w:link w:val="Corpodetexto2Char"/>
    <w:semiHidden/>
    <w:rsid w:val="00DE0585"/>
    <w:rPr>
      <w:rFonts w:ascii="Arial" w:hAnsi="Arial"/>
      <w:sz w:val="20"/>
    </w:rPr>
  </w:style>
  <w:style w:type="character" w:customStyle="1" w:styleId="Corpodetexto2Char">
    <w:name w:val="Corpo de texto 2 Char"/>
    <w:basedOn w:val="Fontepargpadro"/>
    <w:link w:val="Corpodetexto2"/>
    <w:semiHidden/>
    <w:rsid w:val="00DE0585"/>
    <w:rPr>
      <w:rFonts w:ascii="Arial" w:eastAsia="Times New Roman" w:hAnsi="Arial" w:cs="Times New Roman"/>
      <w:sz w:val="20"/>
      <w:szCs w:val="20"/>
      <w:lang w:eastAsia="pt-BR"/>
    </w:rPr>
  </w:style>
  <w:style w:type="paragraph" w:customStyle="1" w:styleId="Default">
    <w:name w:val="Default"/>
    <w:rsid w:val="00621DC5"/>
    <w:pPr>
      <w:autoSpaceDE w:val="0"/>
      <w:autoSpaceDN w:val="0"/>
      <w:adjustRightInd w:val="0"/>
      <w:spacing w:after="0" w:line="240" w:lineRule="auto"/>
    </w:pPr>
    <w:rPr>
      <w:rFonts w:ascii="Calibri" w:hAnsi="Calibri" w:cs="Calibri"/>
      <w:color w:val="000000"/>
      <w:sz w:val="24"/>
      <w:szCs w:val="24"/>
    </w:rPr>
  </w:style>
  <w:style w:type="character" w:styleId="Hyperlink">
    <w:name w:val="Hyperlink"/>
    <w:semiHidden/>
    <w:unhideWhenUsed/>
    <w:rsid w:val="00FF2FBA"/>
    <w:rPr>
      <w:color w:val="0000FF"/>
      <w:u w:val="single"/>
    </w:rPr>
  </w:style>
  <w:style w:type="character" w:customStyle="1" w:styleId="Ttulo3Char">
    <w:name w:val="Título 3 Char"/>
    <w:basedOn w:val="Fontepargpadro"/>
    <w:link w:val="Ttulo3"/>
    <w:uiPriority w:val="9"/>
    <w:semiHidden/>
    <w:rsid w:val="007139C3"/>
    <w:rPr>
      <w:rFonts w:asciiTheme="majorHAnsi" w:eastAsiaTheme="majorEastAsia" w:hAnsiTheme="majorHAnsi" w:cstheme="majorBidi"/>
      <w:b/>
      <w:bCs/>
      <w:color w:val="4F81BD" w:themeColor="accent1"/>
      <w:sz w:val="15"/>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B30"/>
    <w:pPr>
      <w:spacing w:after="0" w:line="240" w:lineRule="auto"/>
    </w:pPr>
    <w:rPr>
      <w:rFonts w:ascii="Times New Roman" w:eastAsia="Times New Roman" w:hAnsi="Times New Roman" w:cs="Times New Roman"/>
      <w:sz w:val="15"/>
      <w:szCs w:val="20"/>
      <w:lang w:eastAsia="pt-BR"/>
    </w:rPr>
  </w:style>
  <w:style w:type="paragraph" w:styleId="Ttulo1">
    <w:name w:val="heading 1"/>
    <w:basedOn w:val="Normal"/>
    <w:next w:val="Normal"/>
    <w:link w:val="Ttulo1Char"/>
    <w:qFormat/>
    <w:rsid w:val="00093B30"/>
    <w:pPr>
      <w:keepNext/>
      <w:outlineLvl w:val="0"/>
    </w:pPr>
    <w:rPr>
      <w:b/>
      <w:sz w:val="28"/>
    </w:rPr>
  </w:style>
  <w:style w:type="paragraph" w:styleId="Ttulo3">
    <w:name w:val="heading 3"/>
    <w:basedOn w:val="Normal"/>
    <w:next w:val="Normal"/>
    <w:link w:val="Ttulo3Char"/>
    <w:uiPriority w:val="9"/>
    <w:semiHidden/>
    <w:unhideWhenUsed/>
    <w:qFormat/>
    <w:rsid w:val="007139C3"/>
    <w:pPr>
      <w:keepNext/>
      <w:keepLines/>
      <w:spacing w:before="200"/>
      <w:outlineLvl w:val="2"/>
    </w:pPr>
    <w:rPr>
      <w:rFonts w:asciiTheme="majorHAnsi" w:eastAsiaTheme="majorEastAsia" w:hAnsiTheme="majorHAnsi" w:cstheme="majorBidi"/>
      <w:b/>
      <w:bCs/>
      <w:color w:val="4F81BD" w:themeColor="accent1"/>
    </w:rPr>
  </w:style>
  <w:style w:type="paragraph" w:styleId="Ttulo9">
    <w:name w:val="heading 9"/>
    <w:basedOn w:val="Normal"/>
    <w:next w:val="Normal"/>
    <w:link w:val="Ttulo9Char"/>
    <w:qFormat/>
    <w:rsid w:val="00093B30"/>
    <w:pPr>
      <w:keepNext/>
      <w:ind w:firstLine="720"/>
      <w:jc w:val="both"/>
      <w:outlineLvl w:val="8"/>
    </w:pPr>
    <w:rPr>
      <w:rFonts w:ascii="Arial" w:hAnsi="Arial"/>
      <w:b/>
      <w:sz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93B30"/>
    <w:rPr>
      <w:rFonts w:ascii="Times New Roman" w:eastAsia="Times New Roman" w:hAnsi="Times New Roman" w:cs="Times New Roman"/>
      <w:b/>
      <w:sz w:val="28"/>
      <w:szCs w:val="20"/>
      <w:lang w:eastAsia="pt-BR"/>
    </w:rPr>
  </w:style>
  <w:style w:type="character" w:customStyle="1" w:styleId="Ttulo9Char">
    <w:name w:val="Título 9 Char"/>
    <w:basedOn w:val="Fontepargpadro"/>
    <w:link w:val="Ttulo9"/>
    <w:rsid w:val="00093B30"/>
    <w:rPr>
      <w:rFonts w:ascii="Arial" w:eastAsia="Times New Roman" w:hAnsi="Arial" w:cs="Times New Roman"/>
      <w:b/>
      <w:sz w:val="24"/>
      <w:szCs w:val="20"/>
      <w:lang w:eastAsia="pt-BR"/>
    </w:rPr>
  </w:style>
  <w:style w:type="paragraph" w:styleId="Cabealho">
    <w:name w:val="header"/>
    <w:basedOn w:val="Normal"/>
    <w:link w:val="CabealhoChar"/>
    <w:rsid w:val="00093B30"/>
    <w:pPr>
      <w:tabs>
        <w:tab w:val="center" w:pos="4419"/>
        <w:tab w:val="right" w:pos="8838"/>
      </w:tabs>
    </w:pPr>
  </w:style>
  <w:style w:type="character" w:customStyle="1" w:styleId="CabealhoChar">
    <w:name w:val="Cabeçalho Char"/>
    <w:basedOn w:val="Fontepargpadro"/>
    <w:link w:val="Cabealho"/>
    <w:rsid w:val="00093B30"/>
    <w:rPr>
      <w:rFonts w:ascii="Times New Roman" w:eastAsia="Times New Roman" w:hAnsi="Times New Roman" w:cs="Times New Roman"/>
      <w:sz w:val="15"/>
      <w:szCs w:val="20"/>
      <w:lang w:eastAsia="pt-BR"/>
    </w:rPr>
  </w:style>
  <w:style w:type="paragraph" w:styleId="Textodebalo">
    <w:name w:val="Balloon Text"/>
    <w:basedOn w:val="Normal"/>
    <w:link w:val="TextodebaloChar"/>
    <w:uiPriority w:val="99"/>
    <w:semiHidden/>
    <w:unhideWhenUsed/>
    <w:rsid w:val="00093B30"/>
    <w:rPr>
      <w:rFonts w:ascii="Tahoma" w:hAnsi="Tahoma" w:cs="Tahoma"/>
      <w:sz w:val="16"/>
      <w:szCs w:val="16"/>
    </w:rPr>
  </w:style>
  <w:style w:type="character" w:customStyle="1" w:styleId="TextodebaloChar">
    <w:name w:val="Texto de balão Char"/>
    <w:basedOn w:val="Fontepargpadro"/>
    <w:link w:val="Textodebalo"/>
    <w:uiPriority w:val="99"/>
    <w:semiHidden/>
    <w:rsid w:val="00093B30"/>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093B30"/>
    <w:rPr>
      <w:color w:val="808080"/>
    </w:rPr>
  </w:style>
  <w:style w:type="paragraph" w:styleId="Rodap">
    <w:name w:val="footer"/>
    <w:basedOn w:val="Normal"/>
    <w:link w:val="RodapChar"/>
    <w:uiPriority w:val="99"/>
    <w:unhideWhenUsed/>
    <w:rsid w:val="00C32F35"/>
    <w:pPr>
      <w:tabs>
        <w:tab w:val="center" w:pos="4252"/>
        <w:tab w:val="right" w:pos="8504"/>
      </w:tabs>
    </w:pPr>
  </w:style>
  <w:style w:type="character" w:customStyle="1" w:styleId="RodapChar">
    <w:name w:val="Rodapé Char"/>
    <w:basedOn w:val="Fontepargpadro"/>
    <w:link w:val="Rodap"/>
    <w:uiPriority w:val="99"/>
    <w:rsid w:val="00C32F35"/>
    <w:rPr>
      <w:rFonts w:ascii="Times New Roman" w:eastAsia="Times New Roman" w:hAnsi="Times New Roman" w:cs="Times New Roman"/>
      <w:sz w:val="15"/>
      <w:szCs w:val="20"/>
      <w:lang w:eastAsia="pt-BR"/>
    </w:rPr>
  </w:style>
  <w:style w:type="paragraph" w:styleId="PargrafodaLista">
    <w:name w:val="List Paragraph"/>
    <w:basedOn w:val="Normal"/>
    <w:uiPriority w:val="34"/>
    <w:qFormat/>
    <w:rsid w:val="00171A7C"/>
    <w:pPr>
      <w:ind w:left="720"/>
      <w:contextualSpacing/>
    </w:pPr>
  </w:style>
  <w:style w:type="paragraph" w:styleId="Corpodetexto2">
    <w:name w:val="Body Text 2"/>
    <w:basedOn w:val="Normal"/>
    <w:link w:val="Corpodetexto2Char"/>
    <w:semiHidden/>
    <w:rsid w:val="00DE0585"/>
    <w:rPr>
      <w:rFonts w:ascii="Arial" w:hAnsi="Arial"/>
      <w:sz w:val="20"/>
    </w:rPr>
  </w:style>
  <w:style w:type="character" w:customStyle="1" w:styleId="Corpodetexto2Char">
    <w:name w:val="Corpo de texto 2 Char"/>
    <w:basedOn w:val="Fontepargpadro"/>
    <w:link w:val="Corpodetexto2"/>
    <w:semiHidden/>
    <w:rsid w:val="00DE0585"/>
    <w:rPr>
      <w:rFonts w:ascii="Arial" w:eastAsia="Times New Roman" w:hAnsi="Arial" w:cs="Times New Roman"/>
      <w:sz w:val="20"/>
      <w:szCs w:val="20"/>
      <w:lang w:eastAsia="pt-BR"/>
    </w:rPr>
  </w:style>
  <w:style w:type="paragraph" w:customStyle="1" w:styleId="Default">
    <w:name w:val="Default"/>
    <w:rsid w:val="00621DC5"/>
    <w:pPr>
      <w:autoSpaceDE w:val="0"/>
      <w:autoSpaceDN w:val="0"/>
      <w:adjustRightInd w:val="0"/>
      <w:spacing w:after="0" w:line="240" w:lineRule="auto"/>
    </w:pPr>
    <w:rPr>
      <w:rFonts w:ascii="Calibri" w:hAnsi="Calibri" w:cs="Calibri"/>
      <w:color w:val="000000"/>
      <w:sz w:val="24"/>
      <w:szCs w:val="24"/>
    </w:rPr>
  </w:style>
  <w:style w:type="character" w:styleId="Hyperlink">
    <w:name w:val="Hyperlink"/>
    <w:semiHidden/>
    <w:unhideWhenUsed/>
    <w:rsid w:val="00FF2FBA"/>
    <w:rPr>
      <w:color w:val="0000FF"/>
      <w:u w:val="single"/>
    </w:rPr>
  </w:style>
  <w:style w:type="character" w:customStyle="1" w:styleId="Ttulo3Char">
    <w:name w:val="Título 3 Char"/>
    <w:basedOn w:val="Fontepargpadro"/>
    <w:link w:val="Ttulo3"/>
    <w:uiPriority w:val="9"/>
    <w:semiHidden/>
    <w:rsid w:val="007139C3"/>
    <w:rPr>
      <w:rFonts w:asciiTheme="majorHAnsi" w:eastAsiaTheme="majorEastAsia" w:hAnsiTheme="majorHAnsi" w:cstheme="majorBidi"/>
      <w:b/>
      <w:bCs/>
      <w:color w:val="4F81BD" w:themeColor="accent1"/>
      <w:sz w:val="15"/>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4937">
      <w:bodyDiv w:val="1"/>
      <w:marLeft w:val="0"/>
      <w:marRight w:val="0"/>
      <w:marTop w:val="0"/>
      <w:marBottom w:val="0"/>
      <w:divBdr>
        <w:top w:val="none" w:sz="0" w:space="0" w:color="auto"/>
        <w:left w:val="none" w:sz="0" w:space="0" w:color="auto"/>
        <w:bottom w:val="none" w:sz="0" w:space="0" w:color="auto"/>
        <w:right w:val="none" w:sz="0" w:space="0" w:color="auto"/>
      </w:divBdr>
    </w:div>
    <w:div w:id="97409244">
      <w:bodyDiv w:val="1"/>
      <w:marLeft w:val="0"/>
      <w:marRight w:val="0"/>
      <w:marTop w:val="0"/>
      <w:marBottom w:val="0"/>
      <w:divBdr>
        <w:top w:val="none" w:sz="0" w:space="0" w:color="auto"/>
        <w:left w:val="none" w:sz="0" w:space="0" w:color="auto"/>
        <w:bottom w:val="none" w:sz="0" w:space="0" w:color="auto"/>
        <w:right w:val="none" w:sz="0" w:space="0" w:color="auto"/>
      </w:divBdr>
    </w:div>
    <w:div w:id="348529044">
      <w:bodyDiv w:val="1"/>
      <w:marLeft w:val="0"/>
      <w:marRight w:val="0"/>
      <w:marTop w:val="0"/>
      <w:marBottom w:val="0"/>
      <w:divBdr>
        <w:top w:val="none" w:sz="0" w:space="0" w:color="auto"/>
        <w:left w:val="none" w:sz="0" w:space="0" w:color="auto"/>
        <w:bottom w:val="none" w:sz="0" w:space="0" w:color="auto"/>
        <w:right w:val="none" w:sz="0" w:space="0" w:color="auto"/>
      </w:divBdr>
    </w:div>
    <w:div w:id="369915209">
      <w:bodyDiv w:val="1"/>
      <w:marLeft w:val="0"/>
      <w:marRight w:val="0"/>
      <w:marTop w:val="0"/>
      <w:marBottom w:val="0"/>
      <w:divBdr>
        <w:top w:val="none" w:sz="0" w:space="0" w:color="auto"/>
        <w:left w:val="none" w:sz="0" w:space="0" w:color="auto"/>
        <w:bottom w:val="none" w:sz="0" w:space="0" w:color="auto"/>
        <w:right w:val="none" w:sz="0" w:space="0" w:color="auto"/>
      </w:divBdr>
    </w:div>
    <w:div w:id="656496015">
      <w:bodyDiv w:val="1"/>
      <w:marLeft w:val="0"/>
      <w:marRight w:val="0"/>
      <w:marTop w:val="0"/>
      <w:marBottom w:val="0"/>
      <w:divBdr>
        <w:top w:val="none" w:sz="0" w:space="0" w:color="auto"/>
        <w:left w:val="none" w:sz="0" w:space="0" w:color="auto"/>
        <w:bottom w:val="none" w:sz="0" w:space="0" w:color="auto"/>
        <w:right w:val="none" w:sz="0" w:space="0" w:color="auto"/>
      </w:divBdr>
    </w:div>
    <w:div w:id="696853090">
      <w:bodyDiv w:val="1"/>
      <w:marLeft w:val="0"/>
      <w:marRight w:val="0"/>
      <w:marTop w:val="0"/>
      <w:marBottom w:val="0"/>
      <w:divBdr>
        <w:top w:val="none" w:sz="0" w:space="0" w:color="auto"/>
        <w:left w:val="none" w:sz="0" w:space="0" w:color="auto"/>
        <w:bottom w:val="none" w:sz="0" w:space="0" w:color="auto"/>
        <w:right w:val="none" w:sz="0" w:space="0" w:color="auto"/>
      </w:divBdr>
    </w:div>
    <w:div w:id="848056223">
      <w:bodyDiv w:val="1"/>
      <w:marLeft w:val="0"/>
      <w:marRight w:val="0"/>
      <w:marTop w:val="0"/>
      <w:marBottom w:val="0"/>
      <w:divBdr>
        <w:top w:val="none" w:sz="0" w:space="0" w:color="auto"/>
        <w:left w:val="none" w:sz="0" w:space="0" w:color="auto"/>
        <w:bottom w:val="none" w:sz="0" w:space="0" w:color="auto"/>
        <w:right w:val="none" w:sz="0" w:space="0" w:color="auto"/>
      </w:divBdr>
    </w:div>
    <w:div w:id="1393390131">
      <w:bodyDiv w:val="1"/>
      <w:marLeft w:val="0"/>
      <w:marRight w:val="0"/>
      <w:marTop w:val="0"/>
      <w:marBottom w:val="0"/>
      <w:divBdr>
        <w:top w:val="none" w:sz="0" w:space="0" w:color="auto"/>
        <w:left w:val="none" w:sz="0" w:space="0" w:color="auto"/>
        <w:bottom w:val="none" w:sz="0" w:space="0" w:color="auto"/>
        <w:right w:val="none" w:sz="0" w:space="0" w:color="auto"/>
      </w:divBdr>
    </w:div>
    <w:div w:id="1773741902">
      <w:bodyDiv w:val="1"/>
      <w:marLeft w:val="0"/>
      <w:marRight w:val="0"/>
      <w:marTop w:val="0"/>
      <w:marBottom w:val="0"/>
      <w:divBdr>
        <w:top w:val="none" w:sz="0" w:space="0" w:color="auto"/>
        <w:left w:val="none" w:sz="0" w:space="0" w:color="auto"/>
        <w:bottom w:val="none" w:sz="0" w:space="0" w:color="auto"/>
        <w:right w:val="none" w:sz="0" w:space="0" w:color="auto"/>
      </w:divBdr>
    </w:div>
    <w:div w:id="183876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CARDOSO\Documentos%20-%20MCT\Modelos\Of&#237;cio%20n&#186;.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07E77-3413-4114-96FE-2C1792D5A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Ofício nº</Template>
  <TotalTime>1220</TotalTime>
  <Pages>5</Pages>
  <Words>2416</Words>
  <Characters>13048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Ministério das Relações Exteriores</Company>
  <LinksUpToDate>false</LinksUpToDate>
  <CharactersWithSpaces>15434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Rede Local do MCT - RCT</dc:creator>
  <cp:lastModifiedBy>Windows User</cp:lastModifiedBy>
  <cp:revision>27</cp:revision>
  <cp:lastPrinted>2017-06-16T20:16:00Z</cp:lastPrinted>
  <dcterms:created xsi:type="dcterms:W3CDTF">2017-06-13T20:06:00Z</dcterms:created>
  <dcterms:modified xsi:type="dcterms:W3CDTF">2017-06-16T21:32:00Z</dcterms:modified>
</cp:coreProperties>
</file>