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B" w:rsidRPr="00ED15AB" w:rsidRDefault="0077186C" w:rsidP="0077186C">
      <w:pPr>
        <w:pStyle w:val="Heading2"/>
        <w:spacing w:before="240" w:after="0"/>
        <w:rPr>
          <w:rFonts w:asciiTheme="minorHAnsi" w:hAnsiTheme="minorHAnsi" w:cstheme="minorHAnsi"/>
          <w:bCs w:val="0"/>
          <w:i w:val="0"/>
          <w:iCs w:val="0"/>
          <w:caps/>
          <w:kern w:val="22"/>
          <w:sz w:val="28"/>
          <w:szCs w:val="28"/>
        </w:rPr>
      </w:pPr>
      <w:r>
        <w:rPr>
          <w:rFonts w:asciiTheme="minorHAnsi" w:hAnsiTheme="minorHAnsi" w:cstheme="minorHAnsi"/>
          <w:i w:val="0"/>
          <w:color w:val="000000"/>
          <w:sz w:val="28"/>
          <w:szCs w:val="28"/>
        </w:rPr>
        <w:t>CBD NOTIFICATION 2017-025:</w:t>
      </w:r>
    </w:p>
    <w:p w:rsidR="008247D9" w:rsidRPr="0077186C" w:rsidRDefault="0077186C" w:rsidP="0077186C">
      <w:pPr>
        <w:spacing w:after="100" w:afterAutospacing="1" w:line="240" w:lineRule="auto"/>
        <w:jc w:val="center"/>
        <w:rPr>
          <w:rFonts w:cstheme="minorHAnsi"/>
          <w:b/>
          <w:color w:val="000000"/>
          <w:sz w:val="24"/>
          <w:szCs w:val="20"/>
        </w:rPr>
      </w:pPr>
      <w:r w:rsidRPr="0077186C">
        <w:rPr>
          <w:rFonts w:cs="Tahoma"/>
          <w:b/>
          <w:sz w:val="24"/>
          <w:szCs w:val="20"/>
        </w:rPr>
        <w:t>Submission of information on synthetic biology</w:t>
      </w:r>
    </w:p>
    <w:tbl>
      <w:tblPr>
        <w:tblStyle w:val="TableGrid"/>
        <w:tblW w:w="0" w:type="auto"/>
        <w:tblLook w:val="04A0" w:firstRow="1" w:lastRow="0" w:firstColumn="1" w:lastColumn="0" w:noHBand="0" w:noVBand="1"/>
      </w:tblPr>
      <w:tblGrid>
        <w:gridCol w:w="9576"/>
      </w:tblGrid>
      <w:tr w:rsidR="00202BA7" w:rsidRPr="0092000D" w:rsidTr="00202BA7">
        <w:tc>
          <w:tcPr>
            <w:tcW w:w="9576" w:type="dxa"/>
          </w:tcPr>
          <w:p w:rsidR="00546A6F" w:rsidRPr="0077186C" w:rsidRDefault="0077186C" w:rsidP="0077186C">
            <w:pPr>
              <w:pStyle w:val="ListParagraph"/>
              <w:numPr>
                <w:ilvl w:val="0"/>
                <w:numId w:val="11"/>
              </w:numPr>
              <w:rPr>
                <w:rFonts w:cstheme="minorHAnsi"/>
                <w:b/>
                <w:color w:val="000000"/>
              </w:rPr>
            </w:pPr>
            <w:r w:rsidRPr="0077186C">
              <w:rPr>
                <w:rFonts w:cstheme="minorHAnsi"/>
                <w:b/>
              </w:rPr>
              <w:t>R</w:t>
            </w:r>
            <w:r w:rsidRPr="0077186C">
              <w:rPr>
                <w:b/>
              </w:rPr>
              <w:t>esearch, cooperation and activities on the benefits and potential adverse effects of organisms, components and products of synthetic biology on biodiversity</w:t>
            </w:r>
          </w:p>
        </w:tc>
      </w:tr>
      <w:tr w:rsidR="00546A6F" w:rsidRPr="0092000D" w:rsidTr="00202BA7">
        <w:tc>
          <w:tcPr>
            <w:tcW w:w="9576" w:type="dxa"/>
          </w:tcPr>
          <w:p w:rsidR="006314BD" w:rsidRPr="006314BD" w:rsidRDefault="006D2D91" w:rsidP="006314BD">
            <w:pPr>
              <w:rPr>
                <w:rFonts w:cstheme="minorHAnsi"/>
                <w:color w:val="000000"/>
              </w:rPr>
            </w:pPr>
            <w:r>
              <w:rPr>
                <w:rFonts w:cstheme="minorHAnsi"/>
                <w:color w:val="000000"/>
              </w:rPr>
              <w:t>The term synthetic biology is generally not used to classify research and other activities in Canada.  N</w:t>
            </w:r>
            <w:r w:rsidR="006314BD">
              <w:rPr>
                <w:rFonts w:cstheme="minorHAnsi"/>
                <w:color w:val="000000"/>
              </w:rPr>
              <w:t xml:space="preserve">o specific </w:t>
            </w:r>
            <w:r>
              <w:rPr>
                <w:rFonts w:cstheme="minorHAnsi"/>
                <w:color w:val="000000"/>
              </w:rPr>
              <w:t xml:space="preserve">research, cooperation or </w:t>
            </w:r>
            <w:r w:rsidR="006314BD">
              <w:rPr>
                <w:rFonts w:cstheme="minorHAnsi"/>
                <w:color w:val="000000"/>
              </w:rPr>
              <w:t xml:space="preserve">activities have been </w:t>
            </w:r>
            <w:r>
              <w:rPr>
                <w:rFonts w:cstheme="minorHAnsi"/>
                <w:color w:val="000000"/>
              </w:rPr>
              <w:t xml:space="preserve">identified </w:t>
            </w:r>
            <w:r w:rsidR="006314BD">
              <w:rPr>
                <w:rFonts w:cstheme="minorHAnsi"/>
                <w:color w:val="000000"/>
              </w:rPr>
              <w:t xml:space="preserve">by </w:t>
            </w:r>
            <w:r>
              <w:rPr>
                <w:rFonts w:cstheme="minorHAnsi"/>
                <w:color w:val="000000"/>
              </w:rPr>
              <w:t>Federal Government Departments</w:t>
            </w:r>
            <w:r w:rsidR="006314BD">
              <w:rPr>
                <w:rFonts w:cstheme="minorHAnsi"/>
                <w:color w:val="000000"/>
              </w:rPr>
              <w:t xml:space="preserve"> </w:t>
            </w:r>
            <w:r>
              <w:rPr>
                <w:rFonts w:cstheme="minorHAnsi"/>
                <w:color w:val="000000"/>
              </w:rPr>
              <w:t xml:space="preserve">on the benefits and potential adverse effects of organisms, components or products of synthetic biology on biodiversity. </w:t>
            </w:r>
          </w:p>
          <w:p w:rsidR="006314BD" w:rsidRDefault="006314BD" w:rsidP="006314BD">
            <w:pPr>
              <w:rPr>
                <w:rFonts w:cstheme="minorHAnsi"/>
                <w:color w:val="000000"/>
                <w:u w:val="single"/>
              </w:rPr>
            </w:pPr>
          </w:p>
          <w:p w:rsidR="00FB2716" w:rsidRPr="00FB2716" w:rsidRDefault="00FB2716" w:rsidP="00FB2716">
            <w:pPr>
              <w:rPr>
                <w:rFonts w:cstheme="minorHAnsi"/>
                <w:color w:val="000000"/>
                <w:u w:val="single"/>
              </w:rPr>
            </w:pPr>
          </w:p>
          <w:p w:rsidR="00C70469" w:rsidRPr="0092000D" w:rsidRDefault="00C70469" w:rsidP="00C70469">
            <w:pPr>
              <w:ind w:left="1080"/>
              <w:rPr>
                <w:rFonts w:cstheme="minorHAnsi"/>
                <w:color w:val="000000"/>
              </w:rPr>
            </w:pPr>
          </w:p>
        </w:tc>
      </w:tr>
      <w:tr w:rsidR="00202BA7" w:rsidRPr="0092000D" w:rsidTr="00202BA7">
        <w:tc>
          <w:tcPr>
            <w:tcW w:w="9576" w:type="dxa"/>
          </w:tcPr>
          <w:p w:rsidR="00546A6F" w:rsidRPr="00C70469" w:rsidRDefault="00C70469" w:rsidP="00C70469">
            <w:pPr>
              <w:pStyle w:val="ListParagraph"/>
              <w:numPr>
                <w:ilvl w:val="0"/>
                <w:numId w:val="11"/>
              </w:numPr>
              <w:rPr>
                <w:rFonts w:cstheme="minorHAnsi"/>
                <w:b/>
                <w:color w:val="000000"/>
              </w:rPr>
            </w:pPr>
            <w:r>
              <w:rPr>
                <w:rFonts w:cstheme="minorHAnsi"/>
                <w:b/>
                <w:color w:val="000000"/>
              </w:rPr>
              <w:t xml:space="preserve">Evidence </w:t>
            </w:r>
            <w:r w:rsidRPr="00C70469">
              <w:rPr>
                <w:b/>
                <w:lang w:val="en-CA"/>
              </w:rPr>
              <w:t>of benefits and adverse effects of synthetic biology vis-à-vis the three objectives of the Convention</w:t>
            </w:r>
            <w:r w:rsidR="006314BD">
              <w:rPr>
                <w:b/>
                <w:lang w:val="en-CA"/>
              </w:rPr>
              <w:t xml:space="preserve"> (</w:t>
            </w:r>
            <w:r w:rsidR="006314BD" w:rsidRPr="006314BD">
              <w:rPr>
                <w:lang w:val="en-CA"/>
              </w:rPr>
              <w:t xml:space="preserve">namely </w:t>
            </w:r>
            <w:r w:rsidR="006314BD" w:rsidRPr="006314BD">
              <w:rPr>
                <w:rStyle w:val="tgc"/>
              </w:rPr>
              <w:t xml:space="preserve">the </w:t>
            </w:r>
            <w:r w:rsidR="006314BD" w:rsidRPr="006314BD">
              <w:rPr>
                <w:rStyle w:val="tgc"/>
                <w:bCs/>
              </w:rPr>
              <w:t>conservation</w:t>
            </w:r>
            <w:r w:rsidR="006314BD" w:rsidRPr="006314BD">
              <w:rPr>
                <w:rStyle w:val="tgc"/>
              </w:rPr>
              <w:t xml:space="preserve"> of </w:t>
            </w:r>
            <w:r w:rsidR="006314BD" w:rsidRPr="006314BD">
              <w:rPr>
                <w:rStyle w:val="tgc"/>
                <w:bCs/>
              </w:rPr>
              <w:t>biological diversity</w:t>
            </w:r>
            <w:r w:rsidR="006314BD" w:rsidRPr="006314BD">
              <w:rPr>
                <w:rStyle w:val="tgc"/>
              </w:rPr>
              <w:t xml:space="preserve"> (or </w:t>
            </w:r>
            <w:r w:rsidR="006314BD" w:rsidRPr="006314BD">
              <w:rPr>
                <w:rStyle w:val="tgc"/>
                <w:bCs/>
              </w:rPr>
              <w:t>biodiversity</w:t>
            </w:r>
            <w:r w:rsidR="006314BD" w:rsidRPr="006314BD">
              <w:rPr>
                <w:rStyle w:val="tgc"/>
              </w:rPr>
              <w:t xml:space="preserve">); the </w:t>
            </w:r>
            <w:r w:rsidR="006314BD" w:rsidRPr="006314BD">
              <w:rPr>
                <w:rStyle w:val="tgc"/>
                <w:bCs/>
              </w:rPr>
              <w:t>sustainable use</w:t>
            </w:r>
            <w:r w:rsidR="006314BD" w:rsidRPr="006314BD">
              <w:rPr>
                <w:rStyle w:val="tgc"/>
              </w:rPr>
              <w:t xml:space="preserve"> of its components; and the fair and equitable </w:t>
            </w:r>
            <w:r w:rsidR="006314BD" w:rsidRPr="006314BD">
              <w:rPr>
                <w:rStyle w:val="tgc"/>
                <w:bCs/>
              </w:rPr>
              <w:t>sharing</w:t>
            </w:r>
            <w:r w:rsidR="006314BD" w:rsidRPr="006314BD">
              <w:rPr>
                <w:rStyle w:val="tgc"/>
              </w:rPr>
              <w:t xml:space="preserve"> of benefits arising from genetic resources.)</w:t>
            </w:r>
          </w:p>
        </w:tc>
      </w:tr>
      <w:tr w:rsidR="00546A6F" w:rsidRPr="0092000D" w:rsidTr="00202BA7">
        <w:tc>
          <w:tcPr>
            <w:tcW w:w="9576" w:type="dxa"/>
          </w:tcPr>
          <w:p w:rsidR="006E56FE" w:rsidRDefault="006E56FE" w:rsidP="00C70469">
            <w:pPr>
              <w:rPr>
                <w:rFonts w:cstheme="minorHAnsi"/>
                <w:color w:val="000000"/>
              </w:rPr>
            </w:pPr>
          </w:p>
          <w:p w:rsidR="006314BD" w:rsidRDefault="006314BD" w:rsidP="00C70469">
            <w:pPr>
              <w:rPr>
                <w:rFonts w:cstheme="minorHAnsi"/>
                <w:color w:val="000000"/>
                <w:u w:val="single"/>
              </w:rPr>
            </w:pPr>
            <w:r w:rsidRPr="00764F61">
              <w:rPr>
                <w:rFonts w:cstheme="minorHAnsi"/>
                <w:color w:val="000000"/>
                <w:u w:val="single"/>
              </w:rPr>
              <w:t>Environment and Climate Change Canada</w:t>
            </w:r>
            <w:r w:rsidRPr="006E56FE">
              <w:rPr>
                <w:rFonts w:cstheme="minorHAnsi"/>
                <w:color w:val="000000"/>
              </w:rPr>
              <w:t xml:space="preserve">: </w:t>
            </w:r>
            <w:r w:rsidR="00DF09AB">
              <w:rPr>
                <w:rFonts w:cstheme="minorHAnsi"/>
                <w:color w:val="000000"/>
              </w:rPr>
              <w:t>There is no evidence to date that a so-called product</w:t>
            </w:r>
            <w:r w:rsidR="006D2D91">
              <w:rPr>
                <w:rFonts w:cstheme="minorHAnsi"/>
                <w:color w:val="000000"/>
              </w:rPr>
              <w:t xml:space="preserve"> of synthetic biology</w:t>
            </w:r>
            <w:r w:rsidR="00DF09AB">
              <w:rPr>
                <w:rFonts w:cstheme="minorHAnsi"/>
                <w:color w:val="000000"/>
              </w:rPr>
              <w:t xml:space="preserve"> has had an adverse effect.  ECCC does not possess information on evidence of benefits. </w:t>
            </w:r>
          </w:p>
          <w:p w:rsidR="006314BD" w:rsidRDefault="006314BD" w:rsidP="00C70469">
            <w:pPr>
              <w:rPr>
                <w:rFonts w:cstheme="minorHAnsi"/>
                <w:color w:val="000000"/>
                <w:u w:val="single"/>
              </w:rPr>
            </w:pPr>
          </w:p>
          <w:p w:rsidR="00C70469" w:rsidRPr="006A6F68" w:rsidRDefault="00C70469" w:rsidP="00C70469">
            <w:pPr>
              <w:rPr>
                <w:rFonts w:cstheme="minorHAnsi"/>
                <w:color w:val="000000"/>
                <w:u w:val="single"/>
              </w:rPr>
            </w:pPr>
            <w:r w:rsidRPr="006A6F68">
              <w:rPr>
                <w:rFonts w:cstheme="minorHAnsi"/>
                <w:color w:val="000000"/>
                <w:u w:val="single"/>
              </w:rPr>
              <w:t>Canadian Food Inspection Agency</w:t>
            </w:r>
          </w:p>
          <w:p w:rsidR="00C70469" w:rsidRDefault="00C70469" w:rsidP="00C70469">
            <w:pPr>
              <w:rPr>
                <w:rFonts w:cstheme="minorHAnsi"/>
                <w:b/>
                <w:color w:val="000000"/>
              </w:rPr>
            </w:pPr>
            <w:r>
              <w:rPr>
                <w:rFonts w:cstheme="minorHAnsi"/>
                <w:color w:val="000000"/>
              </w:rPr>
              <w:t>The potential benefits and risks are anticipated to be s</w:t>
            </w:r>
            <w:r w:rsidRPr="00BD584E">
              <w:rPr>
                <w:rFonts w:cstheme="minorHAnsi"/>
                <w:color w:val="000000"/>
              </w:rPr>
              <w:t xml:space="preserve">imilar to </w:t>
            </w:r>
            <w:r>
              <w:rPr>
                <w:rFonts w:cstheme="minorHAnsi"/>
                <w:color w:val="000000"/>
              </w:rPr>
              <w:t xml:space="preserve">those observed with </w:t>
            </w:r>
            <w:r w:rsidRPr="00BD584E">
              <w:rPr>
                <w:rFonts w:cstheme="minorHAnsi"/>
                <w:color w:val="000000"/>
              </w:rPr>
              <w:t>LMOs</w:t>
            </w:r>
            <w:r>
              <w:rPr>
                <w:rFonts w:cstheme="minorHAnsi"/>
                <w:color w:val="000000"/>
              </w:rPr>
              <w:t xml:space="preserve"> although some novel phenotypes arising from synthetic biology may provide benefits or risks that cannot be easily anticipated.</w:t>
            </w:r>
          </w:p>
          <w:p w:rsidR="00C70469" w:rsidRDefault="00C70469" w:rsidP="00C70469">
            <w:pPr>
              <w:rPr>
                <w:rFonts w:cstheme="minorHAnsi"/>
                <w:b/>
                <w:color w:val="000000"/>
              </w:rPr>
            </w:pPr>
          </w:p>
          <w:p w:rsidR="00C70469" w:rsidRPr="006A6F68" w:rsidRDefault="00C70469" w:rsidP="00C70469">
            <w:pPr>
              <w:rPr>
                <w:rFonts w:cstheme="minorHAnsi"/>
                <w:color w:val="000000"/>
                <w:u w:val="single"/>
              </w:rPr>
            </w:pPr>
            <w:r w:rsidRPr="006A6F68">
              <w:rPr>
                <w:rFonts w:cstheme="minorHAnsi"/>
                <w:color w:val="000000"/>
                <w:u w:val="single"/>
              </w:rPr>
              <w:t>Agriculture and Agri-Food Canada</w:t>
            </w:r>
          </w:p>
          <w:p w:rsidR="00C70469" w:rsidRPr="008B42DB" w:rsidRDefault="00C70469" w:rsidP="00C70469">
            <w:pPr>
              <w:rPr>
                <w:rFonts w:cstheme="minorHAnsi"/>
                <w:color w:val="000000"/>
              </w:rPr>
            </w:pPr>
            <w:r w:rsidRPr="008B42DB">
              <w:rPr>
                <w:rFonts w:cstheme="minorHAnsi"/>
                <w:color w:val="000000"/>
              </w:rPr>
              <w:t>Synthetic biology techniques, as value-neutral tools, do not present a benefit or risk in and of themselves. Based on (i) the relationship between synthetic biology and biological diversity:</w:t>
            </w:r>
          </w:p>
          <w:p w:rsidR="00C70469" w:rsidRPr="008B42DB" w:rsidRDefault="00C70469" w:rsidP="00C70469">
            <w:pPr>
              <w:rPr>
                <w:rFonts w:cstheme="minorHAnsi"/>
                <w:color w:val="000000"/>
              </w:rPr>
            </w:pPr>
          </w:p>
          <w:p w:rsidR="00C70469" w:rsidRDefault="00C70469" w:rsidP="00C70469">
            <w:pPr>
              <w:rPr>
                <w:rFonts w:cstheme="minorHAnsi"/>
                <w:color w:val="000000"/>
              </w:rPr>
            </w:pPr>
            <w:r>
              <w:rPr>
                <w:rFonts w:cstheme="minorHAnsi"/>
                <w:color w:val="000000"/>
              </w:rPr>
              <w:t>•</w:t>
            </w:r>
            <w:r w:rsidR="00B6679D">
              <w:rPr>
                <w:rFonts w:cstheme="minorHAnsi"/>
                <w:color w:val="000000"/>
              </w:rPr>
              <w:t xml:space="preserve"> </w:t>
            </w:r>
            <w:r w:rsidRPr="008B42DB">
              <w:rPr>
                <w:rFonts w:cstheme="minorHAnsi"/>
                <w:color w:val="000000"/>
              </w:rPr>
              <w:t>Benefits and risks will be determined by the effects of the products’ interaction with other organisms naturally present in the local ecosystem, and the subsequent impacts on the conservation and sustainabl</w:t>
            </w:r>
            <w:r>
              <w:rPr>
                <w:rFonts w:cstheme="minorHAnsi"/>
                <w:color w:val="000000"/>
              </w:rPr>
              <w:t xml:space="preserve">e use of biological diversity. </w:t>
            </w:r>
          </w:p>
          <w:p w:rsidR="00C70469" w:rsidRPr="008B42DB" w:rsidRDefault="00C70469" w:rsidP="00C70469">
            <w:pPr>
              <w:pStyle w:val="ListParagraph"/>
              <w:numPr>
                <w:ilvl w:val="0"/>
                <w:numId w:val="1"/>
              </w:numPr>
              <w:rPr>
                <w:rFonts w:cstheme="minorHAnsi"/>
                <w:color w:val="000000"/>
              </w:rPr>
            </w:pPr>
            <w:r w:rsidRPr="008B42DB">
              <w:rPr>
                <w:rFonts w:cstheme="minorHAnsi"/>
                <w:color w:val="000000"/>
              </w:rPr>
              <w:t>The effects/impacts of an organism, component or product of synthetic biology on the organisms and species native to a particular region or ecosystem should be assessed using science-based criteria according to a precautionary approach, including an evaluation of any health, safety, and, where necessary, socioeconomic considerations, as per the mandate of CBD and its Protocols.</w:t>
            </w:r>
          </w:p>
          <w:p w:rsidR="00C70469" w:rsidRPr="008B42DB" w:rsidRDefault="00C70469" w:rsidP="00C70469">
            <w:pPr>
              <w:rPr>
                <w:rFonts w:cstheme="minorHAnsi"/>
                <w:color w:val="000000"/>
              </w:rPr>
            </w:pPr>
          </w:p>
          <w:p w:rsidR="00C70469" w:rsidRPr="008B42DB" w:rsidRDefault="00C70469" w:rsidP="00C70469">
            <w:pPr>
              <w:rPr>
                <w:rFonts w:cstheme="minorHAnsi"/>
                <w:color w:val="000000"/>
              </w:rPr>
            </w:pPr>
            <w:r w:rsidRPr="008B42DB">
              <w:rPr>
                <w:rFonts w:cstheme="minorHAnsi"/>
                <w:color w:val="000000"/>
              </w:rPr>
              <w:t>As per the mandate of the Convention and its Protocols,</w:t>
            </w:r>
          </w:p>
          <w:p w:rsidR="00C70469" w:rsidRPr="008B42DB" w:rsidRDefault="00C70469" w:rsidP="00C70469">
            <w:pPr>
              <w:rPr>
                <w:rFonts w:cstheme="minorHAnsi"/>
                <w:color w:val="000000"/>
              </w:rPr>
            </w:pPr>
            <w:r>
              <w:rPr>
                <w:rFonts w:cstheme="minorHAnsi"/>
                <w:color w:val="000000"/>
              </w:rPr>
              <w:t>•</w:t>
            </w:r>
            <w:r w:rsidR="00B6679D">
              <w:rPr>
                <w:rFonts w:cstheme="minorHAnsi"/>
                <w:color w:val="000000"/>
              </w:rPr>
              <w:t xml:space="preserve"> </w:t>
            </w:r>
            <w:r w:rsidRPr="008B42DB">
              <w:rPr>
                <w:rFonts w:cstheme="minorHAnsi"/>
                <w:color w:val="000000"/>
              </w:rPr>
              <w:t>Potential benefits of syn</w:t>
            </w:r>
            <w:r w:rsidR="00B6679D">
              <w:rPr>
                <w:rFonts w:cstheme="minorHAnsi"/>
                <w:color w:val="000000"/>
              </w:rPr>
              <w:t xml:space="preserve">thetic </w:t>
            </w:r>
            <w:r w:rsidRPr="008B42DB">
              <w:rPr>
                <w:rFonts w:cstheme="minorHAnsi"/>
                <w:color w:val="000000"/>
              </w:rPr>
              <w:t>bio</w:t>
            </w:r>
            <w:r w:rsidR="00B6679D">
              <w:rPr>
                <w:rFonts w:cstheme="minorHAnsi"/>
                <w:color w:val="000000"/>
              </w:rPr>
              <w:t>logy</w:t>
            </w:r>
            <w:r w:rsidRPr="008B42DB">
              <w:rPr>
                <w:rFonts w:cstheme="minorHAnsi"/>
                <w:color w:val="000000"/>
              </w:rPr>
              <w:t xml:space="preserve"> organisms, components and products:</w:t>
            </w:r>
          </w:p>
          <w:p w:rsidR="00C70469" w:rsidRPr="008B42DB" w:rsidRDefault="00C70469" w:rsidP="00C70469">
            <w:pPr>
              <w:pStyle w:val="ListParagraph"/>
              <w:numPr>
                <w:ilvl w:val="0"/>
                <w:numId w:val="1"/>
              </w:numPr>
              <w:rPr>
                <w:rFonts w:cstheme="minorHAnsi"/>
                <w:color w:val="000000"/>
              </w:rPr>
            </w:pPr>
            <w:r w:rsidRPr="008B42DB">
              <w:rPr>
                <w:rFonts w:cstheme="minorHAnsi"/>
                <w:color w:val="000000"/>
              </w:rPr>
              <w:t>Disaster response to prevent damage to biodiversity (ex: cleaning up oil, chemical spills)</w:t>
            </w:r>
          </w:p>
          <w:p w:rsidR="00C70469" w:rsidRPr="008B42DB" w:rsidRDefault="00C70469" w:rsidP="00C70469">
            <w:pPr>
              <w:pStyle w:val="ListParagraph"/>
              <w:numPr>
                <w:ilvl w:val="0"/>
                <w:numId w:val="1"/>
              </w:numPr>
              <w:rPr>
                <w:rFonts w:cstheme="minorHAnsi"/>
                <w:color w:val="000000"/>
              </w:rPr>
            </w:pPr>
            <w:r w:rsidRPr="008B42DB">
              <w:rPr>
                <w:rFonts w:cstheme="minorHAnsi"/>
                <w:color w:val="000000"/>
              </w:rPr>
              <w:t>Intercepting and/or responding to emerging threats to biodiversity (ex: invasive species)</w:t>
            </w:r>
          </w:p>
          <w:p w:rsidR="00C70469" w:rsidRPr="008B42DB" w:rsidRDefault="00C70469" w:rsidP="00C70469">
            <w:pPr>
              <w:pStyle w:val="ListParagraph"/>
              <w:numPr>
                <w:ilvl w:val="0"/>
                <w:numId w:val="1"/>
              </w:numPr>
              <w:rPr>
                <w:rFonts w:cstheme="minorHAnsi"/>
                <w:color w:val="000000"/>
              </w:rPr>
            </w:pPr>
            <w:r w:rsidRPr="008B42DB">
              <w:rPr>
                <w:rFonts w:cstheme="minorHAnsi"/>
                <w:color w:val="000000"/>
              </w:rPr>
              <w:t>Restoring damaged ecosystems back to their original state (ex: floods, wildfire,  major environmental events)</w:t>
            </w:r>
          </w:p>
          <w:p w:rsidR="00C70469" w:rsidRPr="008B42DB" w:rsidRDefault="00C70469" w:rsidP="00C70469">
            <w:pPr>
              <w:rPr>
                <w:rFonts w:cstheme="minorHAnsi"/>
                <w:color w:val="000000"/>
              </w:rPr>
            </w:pPr>
            <w:r>
              <w:rPr>
                <w:rFonts w:cstheme="minorHAnsi"/>
                <w:color w:val="000000"/>
              </w:rPr>
              <w:t>•</w:t>
            </w:r>
            <w:r w:rsidR="00B6679D">
              <w:rPr>
                <w:rFonts w:cstheme="minorHAnsi"/>
                <w:color w:val="000000"/>
              </w:rPr>
              <w:t xml:space="preserve"> </w:t>
            </w:r>
            <w:r w:rsidRPr="008B42DB">
              <w:rPr>
                <w:rFonts w:cstheme="minorHAnsi"/>
                <w:color w:val="000000"/>
              </w:rPr>
              <w:t>Potential risks of syn</w:t>
            </w:r>
            <w:r w:rsidR="00B6679D">
              <w:rPr>
                <w:rFonts w:cstheme="minorHAnsi"/>
                <w:color w:val="000000"/>
              </w:rPr>
              <w:t xml:space="preserve">thetic </w:t>
            </w:r>
            <w:r w:rsidRPr="008B42DB">
              <w:rPr>
                <w:rFonts w:cstheme="minorHAnsi"/>
                <w:color w:val="000000"/>
              </w:rPr>
              <w:t>bio</w:t>
            </w:r>
            <w:r w:rsidR="00B6679D">
              <w:rPr>
                <w:rFonts w:cstheme="minorHAnsi"/>
                <w:color w:val="000000"/>
              </w:rPr>
              <w:t>logy</w:t>
            </w:r>
            <w:r w:rsidRPr="008B42DB">
              <w:rPr>
                <w:rFonts w:cstheme="minorHAnsi"/>
                <w:color w:val="000000"/>
              </w:rPr>
              <w:t xml:space="preserve"> organisms, components and products:</w:t>
            </w:r>
          </w:p>
          <w:p w:rsidR="00C70469" w:rsidRPr="008B42DB" w:rsidRDefault="00C70469" w:rsidP="00C70469">
            <w:pPr>
              <w:pStyle w:val="ListParagraph"/>
              <w:numPr>
                <w:ilvl w:val="0"/>
                <w:numId w:val="4"/>
              </w:numPr>
              <w:rPr>
                <w:rFonts w:cstheme="minorHAnsi"/>
                <w:color w:val="000000"/>
              </w:rPr>
            </w:pPr>
            <w:r w:rsidRPr="008B42DB">
              <w:rPr>
                <w:rFonts w:cstheme="minorHAnsi"/>
                <w:color w:val="000000"/>
              </w:rPr>
              <w:t>Unintended release outside of a target area/ecosystem</w:t>
            </w:r>
          </w:p>
          <w:p w:rsidR="00C70469" w:rsidRPr="008B42DB" w:rsidRDefault="00C70469" w:rsidP="00C70469">
            <w:pPr>
              <w:pStyle w:val="ListParagraph"/>
              <w:numPr>
                <w:ilvl w:val="0"/>
                <w:numId w:val="4"/>
              </w:numPr>
              <w:rPr>
                <w:rFonts w:cstheme="minorHAnsi"/>
                <w:color w:val="000000"/>
              </w:rPr>
            </w:pPr>
            <w:r w:rsidRPr="008B42DB">
              <w:rPr>
                <w:rFonts w:cstheme="minorHAnsi"/>
                <w:color w:val="000000"/>
              </w:rPr>
              <w:lastRenderedPageBreak/>
              <w:t>This may be caused by failure of biological containment mechanisms or unanticipated genetic drift</w:t>
            </w:r>
          </w:p>
          <w:p w:rsidR="00C70469" w:rsidRPr="008B42DB" w:rsidRDefault="00C70469" w:rsidP="00C70469">
            <w:pPr>
              <w:pStyle w:val="ListParagraph"/>
              <w:numPr>
                <w:ilvl w:val="0"/>
                <w:numId w:val="4"/>
              </w:numPr>
              <w:rPr>
                <w:rFonts w:cstheme="minorHAnsi"/>
                <w:color w:val="000000"/>
              </w:rPr>
            </w:pPr>
            <w:r w:rsidRPr="008B42DB">
              <w:rPr>
                <w:rFonts w:cstheme="minorHAnsi"/>
                <w:color w:val="000000"/>
              </w:rPr>
              <w:t>Unforeseen second- and third-order impacts on biodiversity and local flora/fauna</w:t>
            </w:r>
          </w:p>
          <w:p w:rsidR="00C70469" w:rsidRDefault="00C70469" w:rsidP="00C70469">
            <w:pPr>
              <w:pStyle w:val="ListParagraph"/>
              <w:rPr>
                <w:rFonts w:cstheme="minorHAnsi"/>
                <w:color w:val="000000"/>
              </w:rPr>
            </w:pPr>
          </w:p>
          <w:p w:rsidR="00C70469" w:rsidRDefault="00C70469" w:rsidP="00C70469">
            <w:pPr>
              <w:rPr>
                <w:rFonts w:cstheme="minorHAnsi"/>
                <w:color w:val="000000"/>
              </w:rPr>
            </w:pPr>
            <w:r w:rsidRPr="008B42DB">
              <w:rPr>
                <w:rFonts w:cstheme="minorHAnsi"/>
                <w:color w:val="000000"/>
              </w:rPr>
              <w:t>It should be noted that both of these risks are not unique to syn</w:t>
            </w:r>
            <w:r w:rsidR="00B6679D">
              <w:rPr>
                <w:rFonts w:cstheme="minorHAnsi"/>
                <w:color w:val="000000"/>
              </w:rPr>
              <w:t xml:space="preserve">thetic </w:t>
            </w:r>
            <w:r w:rsidRPr="008B42DB">
              <w:rPr>
                <w:rFonts w:cstheme="minorHAnsi"/>
                <w:color w:val="000000"/>
              </w:rPr>
              <w:t>bio</w:t>
            </w:r>
            <w:r w:rsidR="00B6679D">
              <w:rPr>
                <w:rFonts w:cstheme="minorHAnsi"/>
                <w:color w:val="000000"/>
              </w:rPr>
              <w:t>logy</w:t>
            </w:r>
            <w:r w:rsidRPr="008B42DB">
              <w:rPr>
                <w:rFonts w:cstheme="minorHAnsi"/>
                <w:color w:val="000000"/>
              </w:rPr>
              <w:t xml:space="preserve"> and can also occur with naturally occurring organisms (invasive/alien species)</w:t>
            </w:r>
          </w:p>
          <w:p w:rsidR="00C70469" w:rsidRDefault="00C70469" w:rsidP="00C70469">
            <w:pPr>
              <w:rPr>
                <w:rFonts w:cstheme="minorHAnsi"/>
                <w:color w:val="000000"/>
              </w:rPr>
            </w:pPr>
          </w:p>
          <w:p w:rsidR="00C70469" w:rsidRDefault="00C70469" w:rsidP="00C70469">
            <w:pPr>
              <w:rPr>
                <w:rFonts w:cstheme="minorHAnsi"/>
                <w:color w:val="000000"/>
                <w:u w:val="single"/>
              </w:rPr>
            </w:pPr>
            <w:r>
              <w:rPr>
                <w:rFonts w:cstheme="minorHAnsi"/>
                <w:color w:val="000000"/>
                <w:u w:val="single"/>
              </w:rPr>
              <w:t>Public Health Agency of Canada</w:t>
            </w:r>
          </w:p>
          <w:p w:rsidR="00C70469" w:rsidRDefault="00DF09AB" w:rsidP="00C70469">
            <w:pPr>
              <w:rPr>
                <w:rFonts w:cstheme="minorHAnsi"/>
                <w:color w:val="000000"/>
                <w:u w:val="single"/>
              </w:rPr>
            </w:pPr>
            <w:r>
              <w:rPr>
                <w:rFonts w:cstheme="minorHAnsi"/>
                <w:color w:val="000000"/>
              </w:rPr>
              <w:t>S</w:t>
            </w:r>
            <w:r w:rsidR="00420DFA" w:rsidRPr="00F80AF7">
              <w:rPr>
                <w:rFonts w:cstheme="minorHAnsi"/>
                <w:color w:val="000000"/>
              </w:rPr>
              <w:t>ynthetic biology</w:t>
            </w:r>
            <w:r w:rsidR="00420DFA">
              <w:rPr>
                <w:rFonts w:cstheme="minorHAnsi"/>
                <w:color w:val="000000"/>
              </w:rPr>
              <w:t xml:space="preserve"> has transformative potential to improving human health through disease surveillance, diagnostics, preventative and therapeutic treatments, and response to public health emergencies. </w:t>
            </w:r>
          </w:p>
          <w:p w:rsidR="00C70469" w:rsidRDefault="00C70469" w:rsidP="00C70469">
            <w:pPr>
              <w:rPr>
                <w:rFonts w:cstheme="minorHAnsi"/>
                <w:color w:val="000000"/>
                <w:u w:val="single"/>
              </w:rPr>
            </w:pPr>
          </w:p>
          <w:p w:rsidR="00C70469" w:rsidRPr="0092000D" w:rsidRDefault="00C70469" w:rsidP="00C70469">
            <w:pPr>
              <w:rPr>
                <w:rFonts w:cstheme="minorHAnsi"/>
                <w:color w:val="000000"/>
              </w:rPr>
            </w:pPr>
          </w:p>
        </w:tc>
      </w:tr>
      <w:tr w:rsidR="00202BA7" w:rsidRPr="0092000D" w:rsidTr="00202BA7">
        <w:tc>
          <w:tcPr>
            <w:tcW w:w="9576" w:type="dxa"/>
          </w:tcPr>
          <w:p w:rsidR="00546A6F" w:rsidRPr="00C70469" w:rsidRDefault="00C70469" w:rsidP="00C70469">
            <w:pPr>
              <w:pStyle w:val="ListParagraph"/>
              <w:numPr>
                <w:ilvl w:val="0"/>
                <w:numId w:val="11"/>
              </w:numPr>
              <w:rPr>
                <w:rFonts w:cstheme="minorHAnsi"/>
                <w:b/>
                <w:color w:val="000000"/>
              </w:rPr>
            </w:pPr>
            <w:r w:rsidRPr="00C70469">
              <w:rPr>
                <w:b/>
                <w:lang w:val="en-CA"/>
              </w:rPr>
              <w:lastRenderedPageBreak/>
              <w:t>Experiences in conducting risk assessments of organisms, components and products of synthetic biology, including any challenges encountered, lessons learned and implications</w:t>
            </w:r>
            <w:r>
              <w:rPr>
                <w:b/>
                <w:lang w:val="en-CA"/>
              </w:rPr>
              <w:t xml:space="preserve"> for risk assessment frameworks</w:t>
            </w:r>
          </w:p>
        </w:tc>
      </w:tr>
      <w:tr w:rsidR="00546A6F" w:rsidRPr="0092000D" w:rsidTr="00202BA7">
        <w:tc>
          <w:tcPr>
            <w:tcW w:w="9576" w:type="dxa"/>
          </w:tcPr>
          <w:p w:rsidR="00296E9F" w:rsidRDefault="00296E9F" w:rsidP="00296E9F">
            <w:pPr>
              <w:rPr>
                <w:rFonts w:cstheme="minorHAnsi"/>
                <w:color w:val="000000"/>
                <w:u w:val="single"/>
              </w:rPr>
            </w:pPr>
          </w:p>
          <w:p w:rsidR="00C70469" w:rsidRPr="006A6F68" w:rsidRDefault="00C70469" w:rsidP="00C70469">
            <w:pPr>
              <w:rPr>
                <w:rFonts w:cstheme="minorHAnsi"/>
                <w:color w:val="000000"/>
                <w:u w:val="single"/>
              </w:rPr>
            </w:pPr>
            <w:r w:rsidRPr="006A6F68">
              <w:rPr>
                <w:rFonts w:cstheme="minorHAnsi"/>
                <w:color w:val="000000"/>
                <w:u w:val="single"/>
              </w:rPr>
              <w:t>Canadian Food Inspection Agency</w:t>
            </w:r>
          </w:p>
          <w:p w:rsidR="00C70469" w:rsidRPr="00BD584E" w:rsidRDefault="00402994" w:rsidP="00C70469">
            <w:pPr>
              <w:rPr>
                <w:rFonts w:cstheme="minorHAnsi"/>
                <w:color w:val="000000"/>
              </w:rPr>
            </w:pPr>
            <w:r>
              <w:rPr>
                <w:rFonts w:cstheme="minorHAnsi"/>
                <w:color w:val="000000"/>
              </w:rPr>
              <w:t>A</w:t>
            </w:r>
            <w:r w:rsidR="00C70469">
              <w:rPr>
                <w:rFonts w:cstheme="minorHAnsi"/>
                <w:color w:val="000000"/>
              </w:rPr>
              <w:t xml:space="preserve"> c</w:t>
            </w:r>
            <w:r w:rsidR="00C70469" w:rsidRPr="00BD584E">
              <w:rPr>
                <w:rFonts w:cstheme="minorHAnsi"/>
                <w:color w:val="000000"/>
              </w:rPr>
              <w:t>omparative approach</w:t>
            </w:r>
            <w:r w:rsidR="00C70469">
              <w:rPr>
                <w:rFonts w:cstheme="minorHAnsi"/>
                <w:color w:val="000000"/>
              </w:rPr>
              <w:t xml:space="preserve"> to pre-market safety assessment, such as is currently used for LMOs, is adaptable for use in this domain; however, some advanced products of synthetic biology techniques that differ greatly from existing living organisms </w:t>
            </w:r>
            <w:r w:rsidR="00C70469" w:rsidRPr="00BD584E">
              <w:rPr>
                <w:rFonts w:cstheme="minorHAnsi"/>
                <w:color w:val="000000"/>
              </w:rPr>
              <w:t>may require more than one comparator</w:t>
            </w:r>
            <w:r w:rsidR="00C70469">
              <w:rPr>
                <w:rFonts w:cstheme="minorHAnsi"/>
                <w:color w:val="000000"/>
              </w:rPr>
              <w:t xml:space="preserve"> or some novel approaches. Standard</w:t>
            </w:r>
            <w:r w:rsidR="00C70469" w:rsidRPr="00BD584E">
              <w:rPr>
                <w:rFonts w:cstheme="minorHAnsi"/>
                <w:color w:val="000000"/>
              </w:rPr>
              <w:t xml:space="preserve"> problem formulation approaches to </w:t>
            </w:r>
            <w:r w:rsidR="00C70469">
              <w:rPr>
                <w:rFonts w:cstheme="minorHAnsi"/>
                <w:color w:val="000000"/>
              </w:rPr>
              <w:t>pre-market safety</w:t>
            </w:r>
            <w:r w:rsidR="00C70469" w:rsidRPr="00BD584E">
              <w:rPr>
                <w:rFonts w:cstheme="minorHAnsi"/>
                <w:color w:val="000000"/>
              </w:rPr>
              <w:t xml:space="preserve"> assessment</w:t>
            </w:r>
            <w:r w:rsidR="00C70469">
              <w:rPr>
                <w:rFonts w:cstheme="minorHAnsi"/>
                <w:color w:val="000000"/>
              </w:rPr>
              <w:t>s</w:t>
            </w:r>
            <w:r w:rsidR="00C70469" w:rsidRPr="00BD584E">
              <w:rPr>
                <w:rFonts w:cstheme="minorHAnsi"/>
                <w:color w:val="000000"/>
              </w:rPr>
              <w:t xml:space="preserve"> should still apply</w:t>
            </w:r>
            <w:r w:rsidR="00C70469">
              <w:rPr>
                <w:rFonts w:cstheme="minorHAnsi"/>
                <w:color w:val="000000"/>
              </w:rPr>
              <w:t>.</w:t>
            </w:r>
          </w:p>
          <w:p w:rsidR="00C70469" w:rsidRPr="0092000D" w:rsidRDefault="00C70469" w:rsidP="00C70469">
            <w:pPr>
              <w:rPr>
                <w:rFonts w:cstheme="minorHAnsi"/>
                <w:b/>
                <w:color w:val="000000"/>
              </w:rPr>
            </w:pPr>
          </w:p>
          <w:p w:rsidR="00C70469" w:rsidRPr="006A6F68" w:rsidRDefault="00C70469" w:rsidP="00C70469">
            <w:pPr>
              <w:rPr>
                <w:rFonts w:cstheme="minorHAnsi"/>
                <w:b/>
                <w:color w:val="000000"/>
                <w:u w:val="single"/>
              </w:rPr>
            </w:pPr>
            <w:r w:rsidRPr="006A6F68">
              <w:rPr>
                <w:rFonts w:cstheme="minorHAnsi"/>
                <w:color w:val="000000"/>
                <w:u w:val="single"/>
              </w:rPr>
              <w:t>Agriculture and Agri-Food Canada</w:t>
            </w:r>
          </w:p>
          <w:p w:rsidR="00C70469" w:rsidRPr="008B42DB" w:rsidRDefault="00C70469" w:rsidP="00C70469">
            <w:pPr>
              <w:rPr>
                <w:rFonts w:cstheme="minorHAnsi"/>
                <w:color w:val="000000"/>
              </w:rPr>
            </w:pPr>
            <w:r w:rsidRPr="008B42DB">
              <w:rPr>
                <w:rFonts w:cstheme="minorHAnsi"/>
                <w:color w:val="000000"/>
              </w:rPr>
              <w:t>From an AAFC perspective, benefits of Canada’s system:</w:t>
            </w:r>
          </w:p>
          <w:p w:rsidR="00C70469" w:rsidRPr="008B42DB" w:rsidRDefault="00C70469" w:rsidP="00C70469">
            <w:pPr>
              <w:rPr>
                <w:rFonts w:cstheme="minorHAnsi"/>
                <w:color w:val="000000"/>
              </w:rPr>
            </w:pPr>
            <w:r w:rsidRPr="008B42DB">
              <w:rPr>
                <w:rFonts w:cstheme="minorHAnsi"/>
                <w:color w:val="000000"/>
              </w:rPr>
              <w:t>•</w:t>
            </w:r>
            <w:r w:rsidRPr="008B42DB">
              <w:rPr>
                <w:rFonts w:cstheme="minorHAnsi"/>
                <w:color w:val="000000"/>
              </w:rPr>
              <w:tab/>
              <w:t>Science-based, focused on protecting human and animal health and environmental safety</w:t>
            </w:r>
          </w:p>
          <w:p w:rsidR="00C70469" w:rsidRPr="008B42DB" w:rsidRDefault="00C70469" w:rsidP="00C70469">
            <w:pPr>
              <w:pStyle w:val="ListParagraph"/>
              <w:numPr>
                <w:ilvl w:val="0"/>
                <w:numId w:val="5"/>
              </w:numPr>
              <w:rPr>
                <w:rFonts w:cstheme="minorHAnsi"/>
                <w:color w:val="000000"/>
              </w:rPr>
            </w:pPr>
            <w:r w:rsidRPr="008B42DB">
              <w:rPr>
                <w:rFonts w:cstheme="minorHAnsi"/>
                <w:color w:val="000000"/>
              </w:rPr>
              <w:t>Main role of Government is to uphold health and safety</w:t>
            </w:r>
          </w:p>
          <w:p w:rsidR="00C70469" w:rsidRPr="008B42DB" w:rsidRDefault="00C70469" w:rsidP="00C70469">
            <w:pPr>
              <w:pStyle w:val="ListParagraph"/>
              <w:numPr>
                <w:ilvl w:val="0"/>
                <w:numId w:val="5"/>
              </w:numPr>
              <w:rPr>
                <w:rFonts w:cstheme="minorHAnsi"/>
                <w:color w:val="000000"/>
              </w:rPr>
            </w:pPr>
            <w:r w:rsidRPr="008B42DB">
              <w:rPr>
                <w:rFonts w:cstheme="minorHAnsi"/>
                <w:color w:val="000000"/>
              </w:rPr>
              <w:t>Non-science/socioeconomic factors, such as market impacts and consumer opposition, not considered in regulatory approvals (however significant socioeconomic impacts caused by environmental damage that come to light during environmental assessments may be considered)</w:t>
            </w:r>
          </w:p>
          <w:p w:rsidR="00C70469" w:rsidRPr="008B42DB" w:rsidRDefault="00C70469" w:rsidP="00C70469">
            <w:pPr>
              <w:rPr>
                <w:rFonts w:cstheme="minorHAnsi"/>
                <w:color w:val="000000"/>
              </w:rPr>
            </w:pPr>
            <w:r w:rsidRPr="008B42DB">
              <w:rPr>
                <w:rFonts w:cstheme="minorHAnsi"/>
                <w:color w:val="000000"/>
              </w:rPr>
              <w:t>•</w:t>
            </w:r>
            <w:r w:rsidRPr="008B42DB">
              <w:rPr>
                <w:rFonts w:cstheme="minorHAnsi"/>
                <w:color w:val="000000"/>
              </w:rPr>
              <w:tab/>
              <w:t>Triggered by novelty (product, rather than process)</w:t>
            </w:r>
          </w:p>
          <w:p w:rsidR="00C70469" w:rsidRDefault="00C70469" w:rsidP="00C70469">
            <w:pPr>
              <w:pStyle w:val="ListParagraph"/>
              <w:numPr>
                <w:ilvl w:val="0"/>
                <w:numId w:val="6"/>
              </w:numPr>
              <w:rPr>
                <w:rFonts w:cstheme="minorHAnsi"/>
                <w:color w:val="000000"/>
              </w:rPr>
            </w:pPr>
            <w:r w:rsidRPr="008B42DB">
              <w:rPr>
                <w:rFonts w:cstheme="minorHAnsi"/>
                <w:color w:val="000000"/>
              </w:rPr>
              <w:t>This flexibility allows the system to keep pace with advances in biotechnology, plant breeding, etc.</w:t>
            </w:r>
          </w:p>
          <w:p w:rsidR="00C70469" w:rsidRPr="008B42DB" w:rsidRDefault="00C70469" w:rsidP="00C70469">
            <w:pPr>
              <w:pStyle w:val="ListParagraph"/>
              <w:ind w:left="1080"/>
              <w:rPr>
                <w:rFonts w:cstheme="minorHAnsi"/>
                <w:color w:val="000000"/>
              </w:rPr>
            </w:pPr>
          </w:p>
          <w:p w:rsidR="00C70469" w:rsidRDefault="00C70469" w:rsidP="00C70469">
            <w:pPr>
              <w:rPr>
                <w:rFonts w:cstheme="minorHAnsi"/>
                <w:color w:val="000000"/>
                <w:u w:val="single"/>
              </w:rPr>
            </w:pPr>
            <w:r w:rsidRPr="008B42DB">
              <w:rPr>
                <w:rFonts w:cstheme="minorHAnsi"/>
                <w:color w:val="000000"/>
              </w:rPr>
              <w:t>In terms of monitoring, regulators also consult peer-reviewed publications and can reassess an approved product if new information concerning its safety comes to light.</w:t>
            </w:r>
          </w:p>
          <w:p w:rsidR="00C70469" w:rsidRDefault="00C70469" w:rsidP="00296E9F">
            <w:pPr>
              <w:rPr>
                <w:rFonts w:cstheme="minorHAnsi"/>
                <w:color w:val="000000"/>
                <w:u w:val="single"/>
              </w:rPr>
            </w:pPr>
          </w:p>
          <w:p w:rsidR="00C70469" w:rsidRDefault="00C70469" w:rsidP="00296E9F">
            <w:pPr>
              <w:rPr>
                <w:rFonts w:cstheme="minorHAnsi"/>
                <w:color w:val="000000"/>
                <w:u w:val="single"/>
              </w:rPr>
            </w:pPr>
          </w:p>
          <w:p w:rsidR="00C70469" w:rsidRDefault="00FB5050" w:rsidP="00296E9F">
            <w:pPr>
              <w:rPr>
                <w:rFonts w:cstheme="minorHAnsi"/>
                <w:color w:val="000000"/>
                <w:u w:val="single"/>
              </w:rPr>
            </w:pPr>
            <w:r>
              <w:rPr>
                <w:rFonts w:cstheme="minorHAnsi"/>
                <w:color w:val="000000"/>
                <w:u w:val="single"/>
              </w:rPr>
              <w:t>Environment and Climate Change Canada</w:t>
            </w:r>
          </w:p>
          <w:p w:rsidR="00A572E5" w:rsidRPr="00764F61" w:rsidRDefault="00FB5050" w:rsidP="00C70469">
            <w:pPr>
              <w:rPr>
                <w:rFonts w:cstheme="minorHAnsi"/>
                <w:color w:val="000000"/>
                <w:u w:val="single"/>
              </w:rPr>
            </w:pPr>
            <w:r>
              <w:t>Products of biotechnology are regulated in Canada according to the principle that it is the ‘new’ or ‘novel’ product, that is regulated and not the particular process that was used to modify it; this principle is not triggered by whether or not that process was termed ‘synthetic biology’ although technologies we might associate with synthetic biology might have been used.</w:t>
            </w:r>
            <w:r w:rsidR="00DF09AB">
              <w:t xml:space="preserve">  In one example in which one could apply the term ‘synthetic biology’, a microorganism had had </w:t>
            </w:r>
            <w:r w:rsidR="00B6679D">
              <w:t>dozens of</w:t>
            </w:r>
            <w:r w:rsidR="00DF09AB">
              <w:t xml:space="preserve"> genetic modifications to modify a specific biochemical pathway.  The lesson learned in this specific case was that more time to conduct the risk assessment would be needed in order to consider the sum total of the </w:t>
            </w:r>
            <w:r w:rsidR="00B6679D">
              <w:t xml:space="preserve">number of </w:t>
            </w:r>
            <w:r w:rsidR="00DF09AB">
              <w:t xml:space="preserve">modifications. </w:t>
            </w:r>
            <w:r w:rsidR="00B6679D">
              <w:t xml:space="preserve">The risk assessment framework itself, however, was still relevant. </w:t>
            </w:r>
            <w:r>
              <w:t xml:space="preserve">   </w:t>
            </w:r>
          </w:p>
        </w:tc>
      </w:tr>
      <w:tr w:rsidR="00202BA7" w:rsidRPr="0092000D" w:rsidTr="00202BA7">
        <w:tc>
          <w:tcPr>
            <w:tcW w:w="9576" w:type="dxa"/>
          </w:tcPr>
          <w:p w:rsidR="00202BA7" w:rsidRPr="00C70469" w:rsidRDefault="00C70469" w:rsidP="00C70469">
            <w:pPr>
              <w:pStyle w:val="ListParagraph"/>
              <w:numPr>
                <w:ilvl w:val="0"/>
                <w:numId w:val="11"/>
              </w:numPr>
              <w:rPr>
                <w:rFonts w:cstheme="minorHAnsi"/>
                <w:b/>
                <w:color w:val="000000"/>
              </w:rPr>
            </w:pPr>
            <w:r w:rsidRPr="00C70469">
              <w:rPr>
                <w:b/>
                <w:lang w:val="en-CA"/>
              </w:rPr>
              <w:lastRenderedPageBreak/>
              <w:t>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tc>
      </w:tr>
      <w:tr w:rsidR="00546A6F" w:rsidRPr="0092000D" w:rsidTr="00202BA7">
        <w:tc>
          <w:tcPr>
            <w:tcW w:w="9576" w:type="dxa"/>
          </w:tcPr>
          <w:p w:rsidR="006E56FE" w:rsidRDefault="006E56FE" w:rsidP="00C92500">
            <w:pPr>
              <w:rPr>
                <w:rFonts w:cstheme="minorHAnsi"/>
                <w:color w:val="000000"/>
                <w:u w:val="single"/>
              </w:rPr>
            </w:pPr>
            <w:r>
              <w:rPr>
                <w:rFonts w:cstheme="minorHAnsi"/>
                <w:color w:val="000000"/>
                <w:u w:val="single"/>
              </w:rPr>
              <w:t>CFIA</w:t>
            </w:r>
          </w:p>
          <w:p w:rsidR="006E56FE" w:rsidRDefault="006E56FE" w:rsidP="00C92500">
            <w:pPr>
              <w:rPr>
                <w:rFonts w:cstheme="minorHAnsi"/>
                <w:color w:val="000000"/>
                <w:u w:val="single"/>
              </w:rPr>
            </w:pPr>
          </w:p>
          <w:p w:rsidR="006E56FE" w:rsidRPr="006E56FE" w:rsidRDefault="006E56FE" w:rsidP="00C92500">
            <w:pPr>
              <w:rPr>
                <w:rFonts w:cstheme="minorHAnsi"/>
                <w:color w:val="000000"/>
                <w:u w:val="single"/>
              </w:rPr>
            </w:pPr>
            <w:r w:rsidRPr="006E56FE">
              <w:rPr>
                <w:rFonts w:cstheme="minorHAnsi"/>
                <w:color w:val="000000"/>
                <w:u w:val="single"/>
              </w:rPr>
              <w:t>Environment and Climate Change Canada</w:t>
            </w:r>
          </w:p>
          <w:p w:rsidR="006E56FE" w:rsidRPr="006E56FE" w:rsidRDefault="006E56FE" w:rsidP="00C92500">
            <w:pPr>
              <w:rPr>
                <w:rFonts w:cstheme="minorHAnsi"/>
                <w:color w:val="000000"/>
              </w:rPr>
            </w:pPr>
            <w:r w:rsidRPr="006E56FE">
              <w:rPr>
                <w:rFonts w:cstheme="minorHAnsi"/>
                <w:color w:val="000000"/>
              </w:rPr>
              <w:t xml:space="preserve">There are no examples of risk management that ECCC is aware of regarding the organisms that are the products of synthetic biology. </w:t>
            </w:r>
          </w:p>
          <w:p w:rsidR="006E56FE" w:rsidRDefault="006E56FE" w:rsidP="00C92500">
            <w:pPr>
              <w:rPr>
                <w:rFonts w:cstheme="minorHAnsi"/>
                <w:color w:val="000000"/>
                <w:u w:val="single"/>
              </w:rPr>
            </w:pPr>
          </w:p>
          <w:p w:rsidR="00C92500" w:rsidRPr="006A6F68" w:rsidRDefault="00C92500" w:rsidP="00C92500">
            <w:pPr>
              <w:rPr>
                <w:rFonts w:cstheme="minorHAnsi"/>
                <w:color w:val="000000"/>
                <w:u w:val="single"/>
              </w:rPr>
            </w:pPr>
            <w:r w:rsidRPr="006A6F68">
              <w:rPr>
                <w:rFonts w:cstheme="minorHAnsi"/>
                <w:color w:val="000000"/>
                <w:u w:val="single"/>
              </w:rPr>
              <w:t>Agriculture and Agri-Food Canada</w:t>
            </w:r>
          </w:p>
          <w:p w:rsidR="00C92500" w:rsidRPr="008B42DB" w:rsidRDefault="00C92500" w:rsidP="00C92500">
            <w:pPr>
              <w:rPr>
                <w:rFonts w:cstheme="minorHAnsi"/>
                <w:color w:val="000000"/>
              </w:rPr>
            </w:pPr>
            <w:r w:rsidRPr="008B42DB">
              <w:rPr>
                <w:rFonts w:cstheme="minorHAnsi"/>
                <w:color w:val="000000"/>
              </w:rPr>
              <w:t>Effective risk assessment and management procedures in place</w:t>
            </w:r>
            <w:r w:rsidR="00B6679D">
              <w:rPr>
                <w:rFonts w:cstheme="minorHAnsi"/>
                <w:color w:val="000000"/>
              </w:rPr>
              <w:t xml:space="preserve">. </w:t>
            </w:r>
            <w:r w:rsidRPr="008B42DB">
              <w:rPr>
                <w:rFonts w:cstheme="minorHAnsi"/>
                <w:color w:val="000000"/>
              </w:rPr>
              <w:t>.</w:t>
            </w:r>
          </w:p>
          <w:p w:rsidR="00C92500" w:rsidRDefault="00C92500" w:rsidP="00546A6F">
            <w:pPr>
              <w:rPr>
                <w:rFonts w:cstheme="minorHAnsi"/>
                <w:color w:val="000000"/>
              </w:rPr>
            </w:pPr>
          </w:p>
          <w:p w:rsidR="00C92500" w:rsidRPr="008B42DB" w:rsidRDefault="00C92500" w:rsidP="00C92500">
            <w:pPr>
              <w:rPr>
                <w:rFonts w:cstheme="minorHAnsi"/>
                <w:color w:val="000000"/>
              </w:rPr>
            </w:pPr>
            <w:r w:rsidRPr="008B42DB">
              <w:rPr>
                <w:rFonts w:cstheme="minorHAnsi"/>
                <w:color w:val="000000"/>
              </w:rPr>
              <w:t>Canada will continue to actively participate in international fora with mandates to assist developing countries and small island developing States develop methodologies for risk assessments and establish and strengthen regulatory frameworks for syn</w:t>
            </w:r>
            <w:r w:rsidR="00DF09AB">
              <w:rPr>
                <w:rFonts w:cstheme="minorHAnsi"/>
                <w:color w:val="000000"/>
              </w:rPr>
              <w:t xml:space="preserve">thetic </w:t>
            </w:r>
            <w:r w:rsidRPr="008B42DB">
              <w:rPr>
                <w:rFonts w:cstheme="minorHAnsi"/>
                <w:color w:val="000000"/>
              </w:rPr>
              <w:t>bio</w:t>
            </w:r>
            <w:r w:rsidR="00DF09AB">
              <w:rPr>
                <w:rFonts w:cstheme="minorHAnsi"/>
                <w:color w:val="000000"/>
              </w:rPr>
              <w:t>logy products</w:t>
            </w:r>
            <w:r w:rsidRPr="008B42DB">
              <w:rPr>
                <w:rFonts w:cstheme="minorHAnsi"/>
                <w:color w:val="000000"/>
              </w:rPr>
              <w:t>.</w:t>
            </w:r>
          </w:p>
          <w:p w:rsidR="0092000D" w:rsidRPr="0092000D" w:rsidRDefault="0092000D" w:rsidP="00C70469">
            <w:pPr>
              <w:rPr>
                <w:rFonts w:cstheme="minorHAnsi"/>
                <w:b/>
                <w:color w:val="000000"/>
              </w:rPr>
            </w:pPr>
          </w:p>
        </w:tc>
      </w:tr>
      <w:tr w:rsidR="00202BA7" w:rsidRPr="0092000D" w:rsidTr="00202BA7">
        <w:tc>
          <w:tcPr>
            <w:tcW w:w="9576" w:type="dxa"/>
          </w:tcPr>
          <w:p w:rsidR="00202BA7" w:rsidRPr="00C70469" w:rsidRDefault="00C70469" w:rsidP="00C70469">
            <w:pPr>
              <w:pStyle w:val="ListParagraph"/>
              <w:numPr>
                <w:ilvl w:val="0"/>
                <w:numId w:val="11"/>
              </w:numPr>
              <w:rPr>
                <w:rFonts w:cstheme="minorHAnsi"/>
                <w:b/>
                <w:color w:val="000000"/>
              </w:rPr>
            </w:pPr>
            <w:r w:rsidRPr="00C70469">
              <w:rPr>
                <w:b/>
                <w:lang w:val="en-CA"/>
              </w:rPr>
              <w:t>Regulations, policies and guidelines in place or under development which are directly relevant to synthetic biology</w:t>
            </w:r>
          </w:p>
        </w:tc>
      </w:tr>
      <w:tr w:rsidR="00546A6F" w:rsidRPr="0092000D" w:rsidTr="00202BA7">
        <w:tc>
          <w:tcPr>
            <w:tcW w:w="9576" w:type="dxa"/>
          </w:tcPr>
          <w:p w:rsidR="006E56FE" w:rsidRDefault="006E56FE" w:rsidP="00C70469">
            <w:pPr>
              <w:rPr>
                <w:rFonts w:cstheme="minorHAnsi"/>
                <w:color w:val="000000"/>
                <w:u w:val="single"/>
              </w:rPr>
            </w:pPr>
            <w:r>
              <w:rPr>
                <w:rFonts w:cstheme="minorHAnsi"/>
                <w:color w:val="000000"/>
                <w:u w:val="single"/>
              </w:rPr>
              <w:t>Environment and Climate Change Canada</w:t>
            </w:r>
          </w:p>
          <w:p w:rsidR="006E56FE" w:rsidRPr="006E56FE" w:rsidRDefault="006E56FE" w:rsidP="00C70469">
            <w:pPr>
              <w:rPr>
                <w:rFonts w:cstheme="minorHAnsi"/>
                <w:color w:val="000000"/>
              </w:rPr>
            </w:pPr>
            <w:r>
              <w:rPr>
                <w:rFonts w:cstheme="minorHAnsi"/>
                <w:color w:val="000000"/>
              </w:rPr>
              <w:t xml:space="preserve">The </w:t>
            </w:r>
            <w:r w:rsidRPr="006E56FE">
              <w:rPr>
                <w:rFonts w:cstheme="minorHAnsi"/>
                <w:i/>
                <w:color w:val="000000"/>
              </w:rPr>
              <w:t>Canadian Environmental Protection Act</w:t>
            </w:r>
            <w:r>
              <w:rPr>
                <w:rFonts w:cstheme="minorHAnsi"/>
                <w:color w:val="000000"/>
              </w:rPr>
              <w:t xml:space="preserve"> and its </w:t>
            </w:r>
            <w:r w:rsidRPr="006E56FE">
              <w:rPr>
                <w:rFonts w:cstheme="minorHAnsi"/>
                <w:i/>
                <w:color w:val="000000"/>
              </w:rPr>
              <w:t>New Substances Notification Regulations (Organisms)</w:t>
            </w:r>
            <w:r>
              <w:rPr>
                <w:rFonts w:cstheme="minorHAnsi"/>
                <w:color w:val="000000"/>
              </w:rPr>
              <w:t xml:space="preserve"> are the relevant legislation for </w:t>
            </w:r>
            <w:r w:rsidR="00B6679D">
              <w:rPr>
                <w:rFonts w:cstheme="minorHAnsi"/>
                <w:color w:val="000000"/>
              </w:rPr>
              <w:t>certain micro-</w:t>
            </w:r>
            <w:r>
              <w:rPr>
                <w:rFonts w:cstheme="minorHAnsi"/>
                <w:color w:val="000000"/>
              </w:rPr>
              <w:t>organisms</w:t>
            </w:r>
            <w:r w:rsidR="00B6679D">
              <w:rPr>
                <w:rFonts w:cstheme="minorHAnsi"/>
                <w:color w:val="000000"/>
              </w:rPr>
              <w:t xml:space="preserve"> and animals</w:t>
            </w:r>
            <w:r>
              <w:rPr>
                <w:rFonts w:cstheme="minorHAnsi"/>
                <w:color w:val="000000"/>
              </w:rPr>
              <w:t xml:space="preserve"> that are the products of synthetic biology</w:t>
            </w:r>
            <w:r w:rsidR="00B6679D">
              <w:rPr>
                <w:rFonts w:cstheme="minorHAnsi"/>
                <w:color w:val="000000"/>
              </w:rPr>
              <w:t xml:space="preserve"> in terms of biodiversity protection</w:t>
            </w:r>
            <w:r>
              <w:rPr>
                <w:rFonts w:cstheme="minorHAnsi"/>
                <w:color w:val="000000"/>
              </w:rPr>
              <w:t xml:space="preserve">.  </w:t>
            </w:r>
          </w:p>
          <w:p w:rsidR="006E56FE" w:rsidRDefault="006E56FE" w:rsidP="00C70469">
            <w:pPr>
              <w:rPr>
                <w:rFonts w:cstheme="minorHAnsi"/>
                <w:color w:val="000000"/>
                <w:u w:val="single"/>
              </w:rPr>
            </w:pPr>
          </w:p>
          <w:p w:rsidR="006E56FE" w:rsidRDefault="006E56FE" w:rsidP="00C70469">
            <w:pPr>
              <w:rPr>
                <w:rFonts w:cstheme="minorHAnsi"/>
                <w:color w:val="000000"/>
                <w:u w:val="single"/>
              </w:rPr>
            </w:pPr>
          </w:p>
          <w:p w:rsidR="00C70469" w:rsidRPr="006A6F68" w:rsidRDefault="00C70469" w:rsidP="00C70469">
            <w:pPr>
              <w:rPr>
                <w:rFonts w:cstheme="minorHAnsi"/>
                <w:color w:val="000000"/>
                <w:u w:val="single"/>
              </w:rPr>
            </w:pPr>
            <w:r w:rsidRPr="006A6F68">
              <w:rPr>
                <w:rFonts w:cstheme="minorHAnsi"/>
                <w:color w:val="000000"/>
                <w:u w:val="single"/>
              </w:rPr>
              <w:t>Canadian Food Inspection Agency</w:t>
            </w:r>
          </w:p>
          <w:p w:rsidR="00C70469" w:rsidRDefault="00C70469" w:rsidP="00C70469">
            <w:pPr>
              <w:rPr>
                <w:rFonts w:cstheme="minorHAnsi"/>
                <w:color w:val="000000"/>
              </w:rPr>
            </w:pPr>
            <w:r>
              <w:rPr>
                <w:rFonts w:cstheme="minorHAnsi"/>
                <w:color w:val="000000"/>
              </w:rPr>
              <w:t xml:space="preserve">Based on current applications of synthetic biology, existing </w:t>
            </w:r>
            <w:r w:rsidR="00E66DD2">
              <w:rPr>
                <w:rFonts w:cstheme="minorHAnsi"/>
                <w:color w:val="000000"/>
              </w:rPr>
              <w:t xml:space="preserve">Canadian Food Inspection Agency (CFIA) </w:t>
            </w:r>
            <w:r>
              <w:rPr>
                <w:rFonts w:cstheme="minorHAnsi"/>
                <w:color w:val="000000"/>
              </w:rPr>
              <w:t xml:space="preserve">regulations are anticipated to be adequate. For example, in Canada it is the novelty of a plant product that triggers regulation and not the process through which it is developed. Thus, a plant product derived from synthetic biology techniques </w:t>
            </w:r>
            <w:r w:rsidR="00AA0B02">
              <w:rPr>
                <w:rFonts w:cstheme="minorHAnsi"/>
                <w:color w:val="000000"/>
              </w:rPr>
              <w:t>may or may not</w:t>
            </w:r>
            <w:r>
              <w:rPr>
                <w:rFonts w:cstheme="minorHAnsi"/>
                <w:color w:val="000000"/>
              </w:rPr>
              <w:t xml:space="preserve"> trigger a pre-market safety assessment before it is authorized for </w:t>
            </w:r>
            <w:r w:rsidR="00AA0B02">
              <w:rPr>
                <w:rFonts w:cstheme="minorHAnsi"/>
                <w:color w:val="000000"/>
              </w:rPr>
              <w:t xml:space="preserve">use in livestock </w:t>
            </w:r>
            <w:r>
              <w:rPr>
                <w:rFonts w:cstheme="minorHAnsi"/>
                <w:color w:val="000000"/>
              </w:rPr>
              <w:t xml:space="preserve">feed and environmental release in Canada. </w:t>
            </w:r>
          </w:p>
          <w:p w:rsidR="00C70469" w:rsidRDefault="00C70469" w:rsidP="00C70469">
            <w:pPr>
              <w:rPr>
                <w:rFonts w:cstheme="minorHAnsi"/>
                <w:color w:val="000000"/>
              </w:rPr>
            </w:pPr>
          </w:p>
          <w:p w:rsidR="00C70469" w:rsidRDefault="00C70469" w:rsidP="00C70469">
            <w:pPr>
              <w:rPr>
                <w:rFonts w:cstheme="minorHAnsi"/>
                <w:color w:val="000000"/>
              </w:rPr>
            </w:pPr>
            <w:r>
              <w:rPr>
                <w:rFonts w:cstheme="minorHAnsi"/>
                <w:color w:val="000000"/>
              </w:rPr>
              <w:t xml:space="preserve">Annex 3 of the Cartagena Protocol describes a comparative risk assessment approach for LMOs. In certain circumstances, existing comparative approaches </w:t>
            </w:r>
            <w:r w:rsidR="00AA0B02">
              <w:rPr>
                <w:rFonts w:cstheme="minorHAnsi"/>
                <w:color w:val="000000"/>
              </w:rPr>
              <w:t>may be</w:t>
            </w:r>
            <w:r>
              <w:rPr>
                <w:rFonts w:cstheme="minorHAnsi"/>
                <w:color w:val="000000"/>
              </w:rPr>
              <w:t xml:space="preserve"> suitable for current applications of synthetic biology and it is anticipated that the comparative pre-market safety assessment model could be adaptable even in cases where a novel product differs vastly from existing comparators.  However, for some products of synthetic biology, the choice of a comparator could be complicated and alternative approaches may be required.</w:t>
            </w:r>
          </w:p>
          <w:p w:rsidR="00C70469" w:rsidRDefault="00C70469" w:rsidP="00C70469">
            <w:pPr>
              <w:rPr>
                <w:rFonts w:cstheme="minorHAnsi"/>
                <w:color w:val="000000"/>
              </w:rPr>
            </w:pPr>
          </w:p>
          <w:p w:rsidR="00C92500" w:rsidRDefault="00C92500" w:rsidP="00C92500">
            <w:pPr>
              <w:pStyle w:val="ListParagraph"/>
              <w:ind w:left="0"/>
            </w:pPr>
            <w:r>
              <w:t xml:space="preserve">The Canadian Food Inspection Agency’s Plant Biosafety Office regularly requires product stewardship plans for Plants with Novel Traits that have herbicide tolerance and/or insect resistance traits.  These stewardship plans are intended to manage risks to the environment posed by these traits and to encourage grower practices that will protect the longevity of the novel traits.  </w:t>
            </w:r>
          </w:p>
          <w:p w:rsidR="001B6122" w:rsidRDefault="001B6122" w:rsidP="00C92500">
            <w:pPr>
              <w:pStyle w:val="ListParagraph"/>
              <w:ind w:left="0"/>
            </w:pPr>
          </w:p>
          <w:p w:rsidR="00C92500" w:rsidRPr="0092000D" w:rsidRDefault="00C92500" w:rsidP="00C70469">
            <w:pPr>
              <w:rPr>
                <w:rFonts w:cstheme="minorHAnsi"/>
                <w:color w:val="000000"/>
              </w:rPr>
            </w:pPr>
          </w:p>
          <w:p w:rsidR="00C70469" w:rsidRPr="006A6F68" w:rsidRDefault="00C70469" w:rsidP="00C70469">
            <w:pPr>
              <w:rPr>
                <w:rFonts w:cstheme="minorHAnsi"/>
                <w:color w:val="000000"/>
                <w:u w:val="single"/>
              </w:rPr>
            </w:pPr>
            <w:r w:rsidRPr="006A6F68">
              <w:rPr>
                <w:rFonts w:cstheme="minorHAnsi"/>
                <w:color w:val="000000"/>
                <w:u w:val="single"/>
              </w:rPr>
              <w:t>Agriculture and Agri-Food Canada</w:t>
            </w:r>
          </w:p>
          <w:p w:rsidR="00C70469" w:rsidRPr="008B42DB" w:rsidRDefault="00C70469" w:rsidP="00C70469">
            <w:pPr>
              <w:rPr>
                <w:rFonts w:cstheme="minorHAnsi"/>
                <w:color w:val="000000"/>
              </w:rPr>
            </w:pPr>
            <w:r>
              <w:rPr>
                <w:rFonts w:cstheme="minorHAnsi"/>
                <w:color w:val="000000"/>
              </w:rPr>
              <w:t>•</w:t>
            </w:r>
            <w:r w:rsidR="00B6679D">
              <w:rPr>
                <w:rFonts w:cstheme="minorHAnsi"/>
                <w:color w:val="000000"/>
              </w:rPr>
              <w:t xml:space="preserve"> </w:t>
            </w:r>
            <w:r w:rsidRPr="008B42DB">
              <w:rPr>
                <w:rFonts w:cstheme="minorHAnsi"/>
                <w:color w:val="000000"/>
              </w:rPr>
              <w:t xml:space="preserve">National regulatory systems for the approval/environmental release of products derived from synthetic biology techniques should be sufficient, provided they are science-based and use proper risk </w:t>
            </w:r>
            <w:r w:rsidRPr="008B42DB">
              <w:rPr>
                <w:rFonts w:cstheme="minorHAnsi"/>
                <w:color w:val="000000"/>
              </w:rPr>
              <w:lastRenderedPageBreak/>
              <w:t>assessment/risk management standards</w:t>
            </w:r>
          </w:p>
          <w:p w:rsidR="00C70469" w:rsidRPr="008B42DB" w:rsidRDefault="00C70469" w:rsidP="00C70469">
            <w:pPr>
              <w:rPr>
                <w:rFonts w:cstheme="minorHAnsi"/>
                <w:color w:val="000000"/>
              </w:rPr>
            </w:pPr>
          </w:p>
          <w:p w:rsidR="00C70469" w:rsidRPr="008B42DB" w:rsidRDefault="00C70469" w:rsidP="00C70469">
            <w:pPr>
              <w:rPr>
                <w:rFonts w:cstheme="minorHAnsi"/>
                <w:color w:val="000000"/>
              </w:rPr>
            </w:pPr>
            <w:r>
              <w:rPr>
                <w:rFonts w:cstheme="minorHAnsi"/>
                <w:color w:val="000000"/>
              </w:rPr>
              <w:t>•</w:t>
            </w:r>
            <w:r w:rsidR="00B6679D">
              <w:rPr>
                <w:rFonts w:cstheme="minorHAnsi"/>
                <w:color w:val="000000"/>
              </w:rPr>
              <w:t xml:space="preserve"> </w:t>
            </w:r>
            <w:r w:rsidRPr="008B42DB">
              <w:rPr>
                <w:rFonts w:cstheme="minorHAnsi"/>
                <w:color w:val="000000"/>
              </w:rPr>
              <w:t xml:space="preserve">Additional purpose-based regional/international instruments such as the Biological and Toxin Weapons Convention (and Australia Group), the CBD, the OECD Harmonization of Regulatory Oversight in Biotechnology, and the International Plant Protection Convention have proven effective for supplementing national regulatory systems.  </w:t>
            </w:r>
          </w:p>
          <w:p w:rsidR="00C70469" w:rsidRPr="008B42DB" w:rsidRDefault="00C70469" w:rsidP="00C70469">
            <w:pPr>
              <w:pStyle w:val="ListParagraph"/>
              <w:numPr>
                <w:ilvl w:val="0"/>
                <w:numId w:val="7"/>
              </w:numPr>
              <w:rPr>
                <w:rFonts w:cstheme="minorHAnsi"/>
                <w:color w:val="000000"/>
              </w:rPr>
            </w:pPr>
            <w:r w:rsidRPr="008B42DB">
              <w:rPr>
                <w:rFonts w:cstheme="minorHAnsi"/>
                <w:color w:val="000000"/>
              </w:rPr>
              <w:t>Opportunities for other existing international fora to pursue initiatives regarding synthetic biology may be beneficial</w:t>
            </w:r>
          </w:p>
          <w:p w:rsidR="00C70469" w:rsidRPr="008B42DB" w:rsidRDefault="00C70469" w:rsidP="00C70469">
            <w:pPr>
              <w:rPr>
                <w:rFonts w:cstheme="minorHAnsi"/>
                <w:color w:val="000000"/>
              </w:rPr>
            </w:pPr>
          </w:p>
          <w:p w:rsidR="00C70469" w:rsidRDefault="00C70469" w:rsidP="00C70469">
            <w:pPr>
              <w:rPr>
                <w:rFonts w:cstheme="minorHAnsi"/>
                <w:color w:val="000000"/>
              </w:rPr>
            </w:pPr>
            <w:r>
              <w:rPr>
                <w:rFonts w:cstheme="minorHAnsi"/>
                <w:color w:val="000000"/>
              </w:rPr>
              <w:t>•</w:t>
            </w:r>
            <w:r w:rsidR="00B6679D">
              <w:rPr>
                <w:rFonts w:cstheme="minorHAnsi"/>
                <w:color w:val="000000"/>
              </w:rPr>
              <w:t xml:space="preserve"> </w:t>
            </w:r>
            <w:r w:rsidRPr="008B42DB">
              <w:rPr>
                <w:rFonts w:cstheme="minorHAnsi"/>
                <w:color w:val="000000"/>
              </w:rPr>
              <w:t>As syn</w:t>
            </w:r>
            <w:r w:rsidR="00DF09AB">
              <w:rPr>
                <w:rFonts w:cstheme="minorHAnsi"/>
                <w:color w:val="000000"/>
              </w:rPr>
              <w:t xml:space="preserve">thetic </w:t>
            </w:r>
            <w:r w:rsidRPr="008B42DB">
              <w:rPr>
                <w:rFonts w:cstheme="minorHAnsi"/>
                <w:color w:val="000000"/>
              </w:rPr>
              <w:t>bio</w:t>
            </w:r>
            <w:r w:rsidR="00DF09AB">
              <w:rPr>
                <w:rFonts w:cstheme="minorHAnsi"/>
                <w:color w:val="000000"/>
              </w:rPr>
              <w:t>logy</w:t>
            </w:r>
            <w:r w:rsidRPr="008B42DB">
              <w:rPr>
                <w:rFonts w:cstheme="minorHAnsi"/>
                <w:color w:val="000000"/>
              </w:rPr>
              <w:t xml:space="preserve"> is relatively new, advocacy will likely be required to ensure trade-facilitative international standards (WTO-SPS) are respected and followed</w:t>
            </w:r>
            <w:r>
              <w:rPr>
                <w:rFonts w:cstheme="minorHAnsi"/>
                <w:color w:val="000000"/>
              </w:rPr>
              <w:t>.</w:t>
            </w:r>
          </w:p>
          <w:p w:rsidR="00C92500" w:rsidRDefault="00C92500" w:rsidP="00C70469">
            <w:pPr>
              <w:rPr>
                <w:rFonts w:cstheme="minorHAnsi"/>
                <w:color w:val="000000"/>
              </w:rPr>
            </w:pPr>
          </w:p>
          <w:p w:rsidR="00C92500" w:rsidRPr="00C92500" w:rsidRDefault="00C92500" w:rsidP="00C92500">
            <w:pPr>
              <w:pStyle w:val="ListParagraph"/>
              <w:numPr>
                <w:ilvl w:val="0"/>
                <w:numId w:val="13"/>
              </w:numPr>
              <w:rPr>
                <w:rFonts w:cstheme="minorHAnsi"/>
                <w:color w:val="000000"/>
              </w:rPr>
            </w:pPr>
            <w:r w:rsidRPr="00764F61">
              <w:rPr>
                <w:rFonts w:cstheme="minorHAnsi"/>
                <w:color w:val="000000"/>
              </w:rPr>
              <w:t>E</w:t>
            </w:r>
            <w:r w:rsidRPr="00C92500">
              <w:rPr>
                <w:rFonts w:cstheme="minorHAnsi"/>
                <w:color w:val="000000"/>
              </w:rPr>
              <w:t>xisting arrangements constitute a fairly comprehensive framework to address synthetic biology.</w:t>
            </w:r>
          </w:p>
          <w:p w:rsidR="00C92500" w:rsidRPr="008B42DB" w:rsidRDefault="00C92500" w:rsidP="00C92500">
            <w:pPr>
              <w:rPr>
                <w:rFonts w:cstheme="minorHAnsi"/>
                <w:color w:val="000000"/>
              </w:rPr>
            </w:pPr>
          </w:p>
          <w:p w:rsidR="00C92500" w:rsidRPr="00C92500" w:rsidRDefault="00C92500" w:rsidP="00C92500">
            <w:pPr>
              <w:pStyle w:val="ListParagraph"/>
              <w:numPr>
                <w:ilvl w:val="0"/>
                <w:numId w:val="13"/>
              </w:numPr>
              <w:rPr>
                <w:rFonts w:cstheme="minorHAnsi"/>
                <w:color w:val="000000"/>
              </w:rPr>
            </w:pPr>
            <w:r w:rsidRPr="00C92500">
              <w:rPr>
                <w:rFonts w:cstheme="minorHAnsi"/>
                <w:color w:val="000000"/>
              </w:rPr>
              <w:t xml:space="preserve">Some benefit may be derived from additional international instruments including synthetic biology in their mandate/area of consideration. </w:t>
            </w:r>
          </w:p>
          <w:p w:rsidR="00C92500" w:rsidRPr="008B42DB" w:rsidRDefault="00C92500" w:rsidP="00C92500">
            <w:pPr>
              <w:rPr>
                <w:rFonts w:cstheme="minorHAnsi"/>
                <w:color w:val="000000"/>
              </w:rPr>
            </w:pPr>
          </w:p>
          <w:p w:rsidR="00C92500" w:rsidRPr="00C92500" w:rsidRDefault="00C92500" w:rsidP="00C92500">
            <w:pPr>
              <w:pStyle w:val="ListParagraph"/>
              <w:numPr>
                <w:ilvl w:val="0"/>
                <w:numId w:val="13"/>
              </w:numPr>
              <w:rPr>
                <w:rFonts w:cstheme="minorHAnsi"/>
                <w:color w:val="000000"/>
              </w:rPr>
            </w:pPr>
            <w:r w:rsidRPr="00C92500">
              <w:rPr>
                <w:rFonts w:cstheme="minorHAnsi"/>
                <w:color w:val="000000"/>
              </w:rPr>
              <w:t xml:space="preserve">However it is not necessary, and would likely prove counterproductive, for the CBD to establish any new Protocols or broaden any of its existing provisions to specifically focus on synthetic biology. As mentioned </w:t>
            </w:r>
            <w:r w:rsidR="00B6679D">
              <w:rPr>
                <w:rFonts w:cstheme="minorHAnsi"/>
                <w:color w:val="000000"/>
              </w:rPr>
              <w:t>previously</w:t>
            </w:r>
            <w:r w:rsidRPr="00C92500">
              <w:rPr>
                <w:rFonts w:cstheme="minorHAnsi"/>
                <w:color w:val="000000"/>
              </w:rPr>
              <w:t>, the majority of syn</w:t>
            </w:r>
            <w:r w:rsidR="00B6679D">
              <w:rPr>
                <w:rFonts w:cstheme="minorHAnsi"/>
                <w:color w:val="000000"/>
              </w:rPr>
              <w:t xml:space="preserve">thetic </w:t>
            </w:r>
            <w:r w:rsidRPr="00C92500">
              <w:rPr>
                <w:rFonts w:cstheme="minorHAnsi"/>
                <w:color w:val="000000"/>
              </w:rPr>
              <w:t>bio</w:t>
            </w:r>
            <w:r w:rsidR="00B6679D">
              <w:rPr>
                <w:rFonts w:cstheme="minorHAnsi"/>
                <w:color w:val="000000"/>
              </w:rPr>
              <w:t>logy</w:t>
            </w:r>
            <w:r w:rsidRPr="00C92500">
              <w:rPr>
                <w:rFonts w:cstheme="minorHAnsi"/>
                <w:color w:val="000000"/>
              </w:rPr>
              <w:t xml:space="preserve"> applications are covered under the Cartagena Protocol as LMOs. For those not meeting this criterion, such as “the redesign of existing natural biological systems”, the lack of novelty poses no greater risk than the original, naturally-occurring organism. Regulating based on process alone, rather than the final product, runs counter to science-based risk assessment standards and does nothing to address threats of significant reduction or loss of biological diversity. This reinforces the notion that a value-neutral technique/tool/process such as syn</w:t>
            </w:r>
            <w:r w:rsidR="00B6679D">
              <w:rPr>
                <w:rFonts w:cstheme="minorHAnsi"/>
                <w:color w:val="000000"/>
              </w:rPr>
              <w:t xml:space="preserve">thetic </w:t>
            </w:r>
            <w:r w:rsidRPr="00C92500">
              <w:rPr>
                <w:rFonts w:cstheme="minorHAnsi"/>
                <w:color w:val="000000"/>
              </w:rPr>
              <w:t>bio</w:t>
            </w:r>
            <w:r w:rsidR="00B6679D">
              <w:rPr>
                <w:rFonts w:cstheme="minorHAnsi"/>
                <w:color w:val="000000"/>
              </w:rPr>
              <w:t>logy</w:t>
            </w:r>
            <w:r w:rsidRPr="00C92500">
              <w:rPr>
                <w:rFonts w:cstheme="minorHAnsi"/>
                <w:color w:val="000000"/>
              </w:rPr>
              <w:t xml:space="preserve"> should not be regulated in and of itself.</w:t>
            </w:r>
          </w:p>
          <w:p w:rsidR="00C92500" w:rsidRDefault="00C92500" w:rsidP="00C70469">
            <w:pPr>
              <w:rPr>
                <w:rFonts w:cstheme="minorHAnsi"/>
                <w:color w:val="000000"/>
              </w:rPr>
            </w:pPr>
          </w:p>
          <w:p w:rsidR="00C70469" w:rsidRDefault="00C70469" w:rsidP="00C70469">
            <w:pPr>
              <w:rPr>
                <w:rFonts w:cstheme="minorHAnsi"/>
                <w:color w:val="000000"/>
              </w:rPr>
            </w:pPr>
          </w:p>
          <w:p w:rsidR="00C70469" w:rsidRPr="00A572E5" w:rsidRDefault="00C70469" w:rsidP="00C70469">
            <w:pPr>
              <w:rPr>
                <w:rFonts w:cstheme="minorHAnsi"/>
                <w:color w:val="000000"/>
                <w:u w:val="single"/>
              </w:rPr>
            </w:pPr>
            <w:r w:rsidRPr="00A572E5">
              <w:rPr>
                <w:rFonts w:cstheme="minorHAnsi"/>
                <w:color w:val="000000"/>
                <w:u w:val="single"/>
              </w:rPr>
              <w:t>Health Canada</w:t>
            </w:r>
          </w:p>
          <w:p w:rsidR="00C70469" w:rsidRDefault="00C70469" w:rsidP="00C70469">
            <w:pPr>
              <w:rPr>
                <w:rFonts w:cs="Helv"/>
                <w:color w:val="000000"/>
                <w:lang w:val="en-CA"/>
              </w:rPr>
            </w:pPr>
            <w:r w:rsidRPr="00A572E5">
              <w:rPr>
                <w:rFonts w:cs="Helv"/>
                <w:color w:val="000000"/>
                <w:lang w:val="en-CA"/>
              </w:rPr>
              <w:t xml:space="preserve">Health Canada regulates, evaluates and monitors the safety, efficacy, and quality of all drug products, including drug </w:t>
            </w:r>
            <w:r w:rsidRPr="00A572E5">
              <w:rPr>
                <w:rFonts w:cs="Helv"/>
                <w:color w:val="000000"/>
                <w:u w:val="single"/>
                <w:lang w:val="en-CA"/>
              </w:rPr>
              <w:t>products</w:t>
            </w:r>
            <w:r w:rsidRPr="00A572E5">
              <w:rPr>
                <w:rFonts w:cs="Helv"/>
                <w:color w:val="000000"/>
                <w:lang w:val="en-CA"/>
              </w:rPr>
              <w:t xml:space="preserve"> derived from synthetic biology techniques.  These activities are supported under the authority of the </w:t>
            </w:r>
            <w:r w:rsidRPr="00A572E5">
              <w:rPr>
                <w:rFonts w:cs="Helv"/>
                <w:i/>
                <w:iCs/>
                <w:color w:val="000000"/>
                <w:lang w:val="en-CA"/>
              </w:rPr>
              <w:t>Food and Drugs Act</w:t>
            </w:r>
            <w:r w:rsidRPr="00A572E5">
              <w:rPr>
                <w:rFonts w:cs="Helv"/>
                <w:color w:val="000000"/>
                <w:lang w:val="en-CA"/>
              </w:rPr>
              <w:t xml:space="preserve"> and corresponding </w:t>
            </w:r>
            <w:r w:rsidRPr="00A572E5">
              <w:rPr>
                <w:rFonts w:cs="Helv"/>
                <w:i/>
                <w:iCs/>
                <w:color w:val="000000"/>
                <w:lang w:val="en-CA"/>
              </w:rPr>
              <w:t>Food and Drug Regulations</w:t>
            </w:r>
            <w:r w:rsidRPr="00A572E5">
              <w:rPr>
                <w:rFonts w:cs="Helv"/>
                <w:color w:val="000000"/>
                <w:lang w:val="en-CA"/>
              </w:rPr>
              <w:t>.</w:t>
            </w:r>
          </w:p>
          <w:p w:rsidR="00871907" w:rsidRDefault="00871907" w:rsidP="00C70469">
            <w:pPr>
              <w:rPr>
                <w:rFonts w:cs="Helv"/>
                <w:color w:val="000000"/>
                <w:lang w:val="en-CA"/>
              </w:rPr>
            </w:pPr>
          </w:p>
          <w:p w:rsidR="00871907" w:rsidRPr="006832AC" w:rsidRDefault="00871907" w:rsidP="00871907">
            <w:pPr>
              <w:rPr>
                <w:rFonts w:cstheme="minorHAnsi"/>
                <w:color w:val="000000"/>
              </w:rPr>
            </w:pPr>
            <w:r>
              <w:rPr>
                <w:rFonts w:cstheme="minorHAnsi"/>
                <w:color w:val="000000"/>
              </w:rPr>
              <w:t xml:space="preserve">Health Canada also regulates, evaluates and monitors the quality, health and environmental risks, and value of all pest control products, including products derived from synthetic biology techniques. These activities are supported under the authority of the </w:t>
            </w:r>
            <w:r>
              <w:rPr>
                <w:rFonts w:cstheme="minorHAnsi"/>
                <w:i/>
                <w:color w:val="000000"/>
              </w:rPr>
              <w:t>Pest Control Products Act</w:t>
            </w:r>
            <w:r>
              <w:rPr>
                <w:rFonts w:cstheme="minorHAnsi"/>
                <w:color w:val="000000"/>
              </w:rPr>
              <w:t xml:space="preserve"> and corresponding Pest Control Products Regulations.</w:t>
            </w:r>
          </w:p>
          <w:p w:rsidR="00871907" w:rsidRPr="00871907" w:rsidRDefault="00871907" w:rsidP="00C70469">
            <w:pPr>
              <w:rPr>
                <w:rFonts w:cstheme="minorHAnsi"/>
                <w:color w:val="000000"/>
              </w:rPr>
            </w:pPr>
            <w:bookmarkStart w:id="0" w:name="_GoBack"/>
            <w:bookmarkEnd w:id="0"/>
          </w:p>
          <w:p w:rsidR="00C70469" w:rsidRDefault="00C70469" w:rsidP="00C70469">
            <w:pPr>
              <w:rPr>
                <w:rFonts w:cstheme="minorHAnsi"/>
                <w:color w:val="000000"/>
                <w:u w:val="single"/>
              </w:rPr>
            </w:pPr>
            <w:r w:rsidRPr="006A6F68">
              <w:rPr>
                <w:rFonts w:cstheme="minorHAnsi"/>
                <w:color w:val="000000"/>
                <w:u w:val="single"/>
              </w:rPr>
              <w:t>Public Health Agency of Canada</w:t>
            </w:r>
          </w:p>
          <w:p w:rsidR="00C70469" w:rsidRDefault="00C70469" w:rsidP="00C70469">
            <w:pPr>
              <w:rPr>
                <w:rFonts w:cstheme="minorHAnsi"/>
                <w:color w:val="000000"/>
              </w:rPr>
            </w:pPr>
            <w:r>
              <w:rPr>
                <w:rFonts w:cstheme="minorHAnsi"/>
                <w:color w:val="000000"/>
              </w:rPr>
              <w:t xml:space="preserve">The Agency is </w:t>
            </w:r>
            <w:r w:rsidRPr="00FC6E9B">
              <w:rPr>
                <w:rFonts w:cstheme="minorHAnsi"/>
                <w:color w:val="000000"/>
              </w:rPr>
              <w:t xml:space="preserve">responsible for the administration of the </w:t>
            </w:r>
            <w:r w:rsidRPr="00A572E5">
              <w:rPr>
                <w:rFonts w:cstheme="minorHAnsi"/>
                <w:i/>
                <w:color w:val="000000"/>
              </w:rPr>
              <w:t>Human Pathogens and Toxins Act</w:t>
            </w:r>
            <w:r w:rsidRPr="00FC6E9B">
              <w:rPr>
                <w:rFonts w:cstheme="minorHAnsi"/>
                <w:color w:val="000000"/>
              </w:rPr>
              <w:t xml:space="preserve"> (HPTA)</w:t>
            </w:r>
            <w:r>
              <w:rPr>
                <w:rFonts w:cstheme="minorHAnsi"/>
                <w:color w:val="000000"/>
              </w:rPr>
              <w:t xml:space="preserve"> and the </w:t>
            </w:r>
            <w:r w:rsidRPr="006A67F6">
              <w:rPr>
                <w:rFonts w:cstheme="minorHAnsi"/>
                <w:i/>
                <w:color w:val="000000"/>
              </w:rPr>
              <w:t>Human Pathogens and Toxins Regulations</w:t>
            </w:r>
            <w:r>
              <w:rPr>
                <w:rFonts w:cstheme="minorHAnsi"/>
                <w:color w:val="000000"/>
              </w:rPr>
              <w:t xml:space="preserve"> (HPTR)</w:t>
            </w:r>
            <w:r w:rsidRPr="00FC6E9B">
              <w:rPr>
                <w:rFonts w:cstheme="minorHAnsi"/>
                <w:color w:val="000000"/>
              </w:rPr>
              <w:t xml:space="preserve">. The purpose of the HPTA </w:t>
            </w:r>
            <w:r>
              <w:rPr>
                <w:rFonts w:cstheme="minorHAnsi"/>
                <w:color w:val="000000"/>
              </w:rPr>
              <w:t xml:space="preserve">and HPTR </w:t>
            </w:r>
            <w:r w:rsidRPr="00FC6E9B">
              <w:rPr>
                <w:rFonts w:cstheme="minorHAnsi"/>
                <w:color w:val="000000"/>
              </w:rPr>
              <w:t>is to establish a safety and security regime to protect the health and safety of the public against the risks posed by human pathogens and toxins</w:t>
            </w:r>
            <w:r w:rsidR="00420DFA">
              <w:rPr>
                <w:rFonts w:cstheme="minorHAnsi"/>
                <w:color w:val="000000"/>
              </w:rPr>
              <w:t xml:space="preserve"> that are naturally occurring, genetically modified or synthetically produced</w:t>
            </w:r>
            <w:r w:rsidR="00420DFA" w:rsidRPr="00FC6E9B">
              <w:rPr>
                <w:rFonts w:cstheme="minorHAnsi"/>
                <w:color w:val="000000"/>
              </w:rPr>
              <w:t>.</w:t>
            </w:r>
            <w:r w:rsidRPr="00FC6E9B">
              <w:rPr>
                <w:rFonts w:cstheme="minorHAnsi"/>
                <w:color w:val="000000"/>
              </w:rPr>
              <w:t xml:space="preserve">. </w:t>
            </w:r>
            <w:r w:rsidR="00420DFA">
              <w:rPr>
                <w:rFonts w:cstheme="minorHAnsi"/>
                <w:color w:val="000000"/>
              </w:rPr>
              <w:t>A</w:t>
            </w:r>
            <w:r>
              <w:rPr>
                <w:rFonts w:cstheme="minorHAnsi"/>
                <w:color w:val="000000"/>
              </w:rPr>
              <w:t>nyone</w:t>
            </w:r>
            <w:r w:rsidRPr="00FC6E9B">
              <w:rPr>
                <w:rFonts w:cstheme="minorHAnsi"/>
                <w:color w:val="000000"/>
              </w:rPr>
              <w:t xml:space="preserve"> conducting specified activities with Risk Group 2 (RG2), RG3, and RG4 human pathogens and toxins must register under the HPTA and may require a licence. All licence applicants, who intend to carry out scientific research, must develop a Plan for Administrative Oversight of Pathogens and Toxins that sets out how they will administratively manage and control biosafety and biosecurity risks during the term of the licence.</w:t>
            </w:r>
            <w:r>
              <w:rPr>
                <w:rFonts w:cstheme="minorHAnsi"/>
                <w:color w:val="000000"/>
              </w:rPr>
              <w:t xml:space="preserve"> </w:t>
            </w:r>
          </w:p>
          <w:p w:rsidR="00C70469" w:rsidRPr="008B42DB" w:rsidRDefault="00C70469" w:rsidP="00C70469">
            <w:pPr>
              <w:rPr>
                <w:rFonts w:cstheme="minorHAnsi"/>
                <w:color w:val="000000"/>
              </w:rPr>
            </w:pPr>
          </w:p>
          <w:p w:rsidR="00C70469" w:rsidRPr="006A6F68" w:rsidRDefault="00C70469" w:rsidP="00C70469">
            <w:pPr>
              <w:rPr>
                <w:rFonts w:cs="Arial"/>
                <w:color w:val="0070C0"/>
                <w:szCs w:val="24"/>
              </w:rPr>
            </w:pPr>
            <w:r w:rsidRPr="006A6F68">
              <w:rPr>
                <w:rFonts w:cs="Arial"/>
                <w:szCs w:val="20"/>
              </w:rPr>
              <w:t>Current biotechnology regulatory instruments may be deemed appropriate to capture organisms, product</w:t>
            </w:r>
            <w:r>
              <w:rPr>
                <w:rFonts w:cs="Arial"/>
                <w:szCs w:val="20"/>
              </w:rPr>
              <w:t>s or substances derived from synthetic biology,</w:t>
            </w:r>
            <w:r w:rsidRPr="006A6F68">
              <w:rPr>
                <w:rFonts w:cs="Arial"/>
                <w:szCs w:val="20"/>
              </w:rPr>
              <w:t xml:space="preserve"> but risk/safety assessment methodologies may not be comprehensive enough or sufficiently evolved to address new challenges. These challenges include, but are not limited to the following:</w:t>
            </w:r>
          </w:p>
          <w:p w:rsidR="00C70469" w:rsidRPr="006A6F68" w:rsidRDefault="00C70469" w:rsidP="00C70469">
            <w:pPr>
              <w:pStyle w:val="ListParagraph"/>
              <w:ind w:left="357"/>
              <w:rPr>
                <w:rFonts w:cs="Arial"/>
                <w:color w:val="0070C0"/>
                <w:szCs w:val="24"/>
              </w:rPr>
            </w:pPr>
          </w:p>
          <w:p w:rsidR="00C70469" w:rsidRPr="006A6F68" w:rsidRDefault="00C70469" w:rsidP="00C70469">
            <w:pPr>
              <w:pStyle w:val="ListParagraph"/>
              <w:numPr>
                <w:ilvl w:val="1"/>
                <w:numId w:val="10"/>
              </w:numPr>
              <w:rPr>
                <w:rFonts w:cs="Arial"/>
                <w:szCs w:val="24"/>
              </w:rPr>
            </w:pPr>
            <w:r w:rsidRPr="006A6F68">
              <w:rPr>
                <w:rFonts w:cs="Arial"/>
                <w:szCs w:val="24"/>
              </w:rPr>
              <w:t>need for identification of appropriate comparator/surrogate organisms</w:t>
            </w:r>
          </w:p>
          <w:p w:rsidR="00C70469" w:rsidRPr="006A6F68" w:rsidRDefault="00C70469" w:rsidP="00C70469">
            <w:pPr>
              <w:pStyle w:val="ListParagraph"/>
              <w:numPr>
                <w:ilvl w:val="1"/>
                <w:numId w:val="10"/>
              </w:numPr>
              <w:rPr>
                <w:rFonts w:cs="Arial"/>
                <w:szCs w:val="24"/>
              </w:rPr>
            </w:pPr>
            <w:r w:rsidRPr="006A6F68">
              <w:rPr>
                <w:rFonts w:cs="Arial"/>
                <w:szCs w:val="24"/>
              </w:rPr>
              <w:t xml:space="preserve">paucity of tools for predicting emergent properties of complex genetic systems </w:t>
            </w:r>
          </w:p>
          <w:p w:rsidR="00C70469" w:rsidRPr="006A6F68" w:rsidRDefault="00C70469" w:rsidP="00C70469">
            <w:pPr>
              <w:pStyle w:val="ListParagraph"/>
              <w:numPr>
                <w:ilvl w:val="1"/>
                <w:numId w:val="10"/>
              </w:numPr>
              <w:rPr>
                <w:rFonts w:cs="Arial"/>
                <w:szCs w:val="24"/>
              </w:rPr>
            </w:pPr>
            <w:r w:rsidRPr="006A6F68">
              <w:rPr>
                <w:rFonts w:cs="Arial"/>
                <w:szCs w:val="24"/>
              </w:rPr>
              <w:t>unintended and unexpected properties from higher-order of combination of parts</w:t>
            </w:r>
          </w:p>
          <w:p w:rsidR="00C70469" w:rsidRPr="006A6F68" w:rsidRDefault="00C70469" w:rsidP="00C70469">
            <w:pPr>
              <w:pStyle w:val="ListParagraph"/>
              <w:numPr>
                <w:ilvl w:val="1"/>
                <w:numId w:val="10"/>
              </w:numPr>
              <w:rPr>
                <w:rFonts w:cs="Arial"/>
                <w:szCs w:val="24"/>
              </w:rPr>
            </w:pPr>
            <w:r w:rsidRPr="006A6F68">
              <w:rPr>
                <w:rFonts w:cs="Arial"/>
                <w:szCs w:val="24"/>
              </w:rPr>
              <w:t xml:space="preserve">interaction between all the modular components/circuits and unexpected properties </w:t>
            </w:r>
          </w:p>
          <w:p w:rsidR="00C70469" w:rsidRPr="00F80AF7" w:rsidRDefault="00C70469" w:rsidP="00C70469">
            <w:pPr>
              <w:pStyle w:val="ListParagraph"/>
              <w:numPr>
                <w:ilvl w:val="1"/>
                <w:numId w:val="10"/>
              </w:numPr>
              <w:rPr>
                <w:rFonts w:cstheme="minorHAnsi"/>
                <w:color w:val="000000"/>
              </w:rPr>
            </w:pPr>
            <w:r w:rsidRPr="00F80AF7">
              <w:rPr>
                <w:rFonts w:cs="Arial"/>
                <w:szCs w:val="24"/>
              </w:rPr>
              <w:t xml:space="preserve">difficulty in predicting behaviour in natural environment (evolutionary fitness, ecological competitiveness, survival, multiplication and dispersal) </w:t>
            </w:r>
          </w:p>
          <w:p w:rsidR="00C70469" w:rsidRPr="00F80AF7" w:rsidRDefault="00C70469" w:rsidP="00C70469">
            <w:pPr>
              <w:pStyle w:val="ListParagraph"/>
              <w:numPr>
                <w:ilvl w:val="1"/>
                <w:numId w:val="10"/>
              </w:numPr>
              <w:rPr>
                <w:rFonts w:cstheme="minorHAnsi"/>
                <w:color w:val="000000"/>
              </w:rPr>
            </w:pPr>
            <w:r w:rsidRPr="00F80AF7">
              <w:rPr>
                <w:rFonts w:cs="Arial"/>
                <w:szCs w:val="24"/>
              </w:rPr>
              <w:t>implications with the use of non-standard biochemical systems in living cells</w:t>
            </w:r>
          </w:p>
          <w:p w:rsidR="00546A6F" w:rsidRDefault="00546A6F" w:rsidP="00C70469">
            <w:pPr>
              <w:rPr>
                <w:rFonts w:cstheme="minorHAnsi"/>
                <w:b/>
                <w:color w:val="000000"/>
              </w:rPr>
            </w:pPr>
          </w:p>
          <w:p w:rsidR="00C92500" w:rsidRDefault="00C92500" w:rsidP="00C70469">
            <w:pPr>
              <w:rPr>
                <w:rFonts w:cstheme="minorHAnsi"/>
                <w:b/>
                <w:color w:val="000000"/>
              </w:rPr>
            </w:pPr>
          </w:p>
          <w:p w:rsidR="00C92500" w:rsidRPr="0092000D" w:rsidRDefault="00C92500" w:rsidP="00C70469">
            <w:pPr>
              <w:rPr>
                <w:rFonts w:cstheme="minorHAnsi"/>
                <w:b/>
                <w:color w:val="000000"/>
              </w:rPr>
            </w:pPr>
          </w:p>
        </w:tc>
      </w:tr>
      <w:tr w:rsidR="0092000D" w:rsidRPr="0092000D" w:rsidTr="00202BA7">
        <w:tc>
          <w:tcPr>
            <w:tcW w:w="9576" w:type="dxa"/>
          </w:tcPr>
          <w:p w:rsidR="0092000D" w:rsidRPr="00C92500" w:rsidRDefault="00C92500" w:rsidP="00C92500">
            <w:pPr>
              <w:pStyle w:val="ListParagraph"/>
              <w:numPr>
                <w:ilvl w:val="0"/>
                <w:numId w:val="11"/>
              </w:numPr>
              <w:rPr>
                <w:rFonts w:cstheme="minorHAnsi"/>
                <w:b/>
                <w:color w:val="000000"/>
              </w:rPr>
            </w:pPr>
            <w:r w:rsidRPr="00C92500">
              <w:rPr>
                <w:b/>
                <w:lang w:val="en-CA"/>
              </w:rPr>
              <w:lastRenderedPageBreak/>
              <w:t>Knowledge, experience and perspectives of indigenous peoples and local communities in the context of living in harmony with nature for comparison and better understanding of the potential benefits and adverse effects of synthetic biology.</w:t>
            </w:r>
          </w:p>
        </w:tc>
      </w:tr>
      <w:tr w:rsidR="0092000D" w:rsidRPr="0092000D" w:rsidTr="00202BA7">
        <w:tc>
          <w:tcPr>
            <w:tcW w:w="9576" w:type="dxa"/>
          </w:tcPr>
          <w:p w:rsidR="00764F61" w:rsidRDefault="00764F61" w:rsidP="006A6F68">
            <w:pPr>
              <w:rPr>
                <w:rFonts w:cstheme="minorHAnsi"/>
                <w:color w:val="000000"/>
              </w:rPr>
            </w:pPr>
          </w:p>
          <w:p w:rsidR="006A6F68" w:rsidRPr="008B42DB" w:rsidRDefault="00420DFA" w:rsidP="006A6F68">
            <w:pPr>
              <w:rPr>
                <w:rFonts w:cstheme="minorHAnsi"/>
                <w:b/>
                <w:color w:val="000000"/>
              </w:rPr>
            </w:pPr>
            <w:r w:rsidRPr="004577E6">
              <w:rPr>
                <w:rFonts w:cstheme="minorHAnsi"/>
                <w:color w:val="000000"/>
              </w:rPr>
              <w:t xml:space="preserve">Assembly of First Nations statement on Honouring Earth:  </w:t>
            </w:r>
            <w:hyperlink r:id="rId9" w:history="1">
              <w:r w:rsidRPr="004577E6">
                <w:rPr>
                  <w:rStyle w:val="Hyperlink"/>
                  <w:rFonts w:cstheme="minorHAnsi"/>
                </w:rPr>
                <w:t>http://www.afn.ca/en/honoring-earth</w:t>
              </w:r>
            </w:hyperlink>
          </w:p>
          <w:p w:rsidR="0092000D" w:rsidRPr="0092000D" w:rsidRDefault="0092000D" w:rsidP="00ED15AB">
            <w:pPr>
              <w:rPr>
                <w:rFonts w:cstheme="minorHAnsi"/>
                <w:b/>
                <w:color w:val="000000"/>
              </w:rPr>
            </w:pPr>
          </w:p>
          <w:p w:rsidR="0092000D" w:rsidRPr="0092000D" w:rsidRDefault="0092000D" w:rsidP="00ED15AB">
            <w:pPr>
              <w:rPr>
                <w:rFonts w:cstheme="minorHAnsi"/>
                <w:b/>
                <w:color w:val="000000"/>
              </w:rPr>
            </w:pPr>
          </w:p>
        </w:tc>
      </w:tr>
    </w:tbl>
    <w:p w:rsidR="003B473B" w:rsidRDefault="008247D9">
      <w:pPr>
        <w:rPr>
          <w:rFonts w:cstheme="minorHAnsi"/>
          <w:b/>
          <w:color w:val="000000"/>
          <w:sz w:val="20"/>
          <w:szCs w:val="20"/>
        </w:rPr>
      </w:pPr>
      <w:r w:rsidRPr="00546A6F">
        <w:rPr>
          <w:rFonts w:cstheme="minorHAnsi"/>
          <w:b/>
          <w:color w:val="000000"/>
          <w:sz w:val="20"/>
          <w:szCs w:val="20"/>
        </w:rPr>
        <w:t xml:space="preserve"> </w:t>
      </w:r>
    </w:p>
    <w:sectPr w:rsidR="003B47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FF" w:rsidRDefault="000169FF" w:rsidP="008247D9">
      <w:pPr>
        <w:spacing w:after="0" w:line="240" w:lineRule="auto"/>
      </w:pPr>
      <w:r>
        <w:separator/>
      </w:r>
    </w:p>
  </w:endnote>
  <w:endnote w:type="continuationSeparator" w:id="0">
    <w:p w:rsidR="000169FF" w:rsidRDefault="000169FF" w:rsidP="0082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86422"/>
      <w:docPartObj>
        <w:docPartGallery w:val="Page Numbers (Bottom of Page)"/>
        <w:docPartUnique/>
      </w:docPartObj>
    </w:sdtPr>
    <w:sdtEndPr>
      <w:rPr>
        <w:color w:val="808080" w:themeColor="background1" w:themeShade="80"/>
        <w:spacing w:val="60"/>
      </w:rPr>
    </w:sdtEndPr>
    <w:sdtContent>
      <w:p w:rsidR="00546A6F" w:rsidRDefault="00546A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1907" w:rsidRPr="00871907">
          <w:rPr>
            <w:b/>
            <w:bCs/>
            <w:noProof/>
          </w:rPr>
          <w:t>4</w:t>
        </w:r>
        <w:r>
          <w:rPr>
            <w:b/>
            <w:bCs/>
            <w:noProof/>
          </w:rPr>
          <w:fldChar w:fldCharType="end"/>
        </w:r>
        <w:r>
          <w:rPr>
            <w:b/>
            <w:bCs/>
          </w:rPr>
          <w:t xml:space="preserve"> | </w:t>
        </w:r>
        <w:r>
          <w:rPr>
            <w:color w:val="808080" w:themeColor="background1" w:themeShade="80"/>
            <w:spacing w:val="60"/>
          </w:rPr>
          <w:t>Page</w:t>
        </w:r>
      </w:p>
    </w:sdtContent>
  </w:sdt>
  <w:p w:rsidR="00546A6F" w:rsidRDefault="0054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FF" w:rsidRDefault="000169FF" w:rsidP="008247D9">
      <w:pPr>
        <w:spacing w:after="0" w:line="240" w:lineRule="auto"/>
      </w:pPr>
      <w:r>
        <w:separator/>
      </w:r>
    </w:p>
  </w:footnote>
  <w:footnote w:type="continuationSeparator" w:id="0">
    <w:p w:rsidR="000169FF" w:rsidRDefault="000169FF" w:rsidP="0082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83A"/>
    <w:multiLevelType w:val="hybridMultilevel"/>
    <w:tmpl w:val="9F9CB3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50E79FC"/>
    <w:multiLevelType w:val="hybridMultilevel"/>
    <w:tmpl w:val="9EEE96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3D322D"/>
    <w:multiLevelType w:val="hybridMultilevel"/>
    <w:tmpl w:val="4D227A9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B584221"/>
    <w:multiLevelType w:val="hybridMultilevel"/>
    <w:tmpl w:val="6AEA1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E37ADA"/>
    <w:multiLevelType w:val="hybridMultilevel"/>
    <w:tmpl w:val="B664A09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DEF6601"/>
    <w:multiLevelType w:val="hybridMultilevel"/>
    <w:tmpl w:val="65E8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517C4C"/>
    <w:multiLevelType w:val="hybridMultilevel"/>
    <w:tmpl w:val="A35A32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044699"/>
    <w:multiLevelType w:val="hybridMultilevel"/>
    <w:tmpl w:val="AB0C889A"/>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86AC8"/>
    <w:multiLevelType w:val="hybridMultilevel"/>
    <w:tmpl w:val="8E6C2A1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1617057"/>
    <w:multiLevelType w:val="hybridMultilevel"/>
    <w:tmpl w:val="113ED4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CB1F27"/>
    <w:multiLevelType w:val="hybridMultilevel"/>
    <w:tmpl w:val="BEE4D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81806"/>
    <w:multiLevelType w:val="hybridMultilevel"/>
    <w:tmpl w:val="D90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A5D00"/>
    <w:multiLevelType w:val="hybridMultilevel"/>
    <w:tmpl w:val="1D56B96A"/>
    <w:lvl w:ilvl="0" w:tplc="64FA59AE">
      <w:start w:val="1"/>
      <w:numFmt w:val="bullet"/>
      <w:lvlText w:val="-"/>
      <w:lvlJc w:val="left"/>
      <w:pPr>
        <w:ind w:left="360" w:hanging="360"/>
      </w:pPr>
      <w:rPr>
        <w:rFonts w:ascii="Times New Roman" w:eastAsiaTheme="minorHAnsi" w:hAnsi="Times New Roman" w:cs="Times New Roman"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E5A0704"/>
    <w:multiLevelType w:val="hybridMultilevel"/>
    <w:tmpl w:val="4920C336"/>
    <w:lvl w:ilvl="0" w:tplc="BD6A1DD8">
      <w:numFmt w:val="bullet"/>
      <w:lvlText w:val=""/>
      <w:lvlJc w:val="left"/>
      <w:pPr>
        <w:ind w:left="1080" w:hanging="720"/>
      </w:pPr>
      <w:rPr>
        <w:rFonts w:ascii="Symbol" w:eastAsiaTheme="minorHAnsi" w:hAnsi="Symbol" w:cstheme="minorHAnsi" w:hint="default"/>
      </w:rPr>
    </w:lvl>
    <w:lvl w:ilvl="1" w:tplc="9F7A9D22">
      <w:numFmt w:val="bullet"/>
      <w:lvlText w:val="•"/>
      <w:lvlJc w:val="left"/>
      <w:pPr>
        <w:ind w:left="1800" w:hanging="720"/>
      </w:pPr>
      <w:rPr>
        <w:rFonts w:ascii="Calibri" w:eastAsiaTheme="minorHAnsi" w:hAnsi="Calibri" w:cstheme="minorHAns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2"/>
  </w:num>
  <w:num w:numId="6">
    <w:abstractNumId w:val="4"/>
  </w:num>
  <w:num w:numId="7">
    <w:abstractNumId w:val="9"/>
  </w:num>
  <w:num w:numId="8">
    <w:abstractNumId w:val="0"/>
  </w:num>
  <w:num w:numId="9">
    <w:abstractNumId w:val="8"/>
  </w:num>
  <w:num w:numId="10">
    <w:abstractNumId w:val="12"/>
  </w:num>
  <w:num w:numId="11">
    <w:abstractNumId w:val="7"/>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D9"/>
    <w:rsid w:val="000169FF"/>
    <w:rsid w:val="0004226D"/>
    <w:rsid w:val="000E7A5D"/>
    <w:rsid w:val="001B6122"/>
    <w:rsid w:val="001D41F9"/>
    <w:rsid w:val="001E3A23"/>
    <w:rsid w:val="00202BA7"/>
    <w:rsid w:val="00296E9F"/>
    <w:rsid w:val="002C3D8E"/>
    <w:rsid w:val="003B473B"/>
    <w:rsid w:val="00402994"/>
    <w:rsid w:val="00420DFA"/>
    <w:rsid w:val="00546A6F"/>
    <w:rsid w:val="006314BD"/>
    <w:rsid w:val="006A67F6"/>
    <w:rsid w:val="006A6F68"/>
    <w:rsid w:val="006B3DE1"/>
    <w:rsid w:val="006D2D91"/>
    <w:rsid w:val="006E56FE"/>
    <w:rsid w:val="00764F61"/>
    <w:rsid w:val="0077186C"/>
    <w:rsid w:val="007A2EC9"/>
    <w:rsid w:val="008247D9"/>
    <w:rsid w:val="00871907"/>
    <w:rsid w:val="008B42DB"/>
    <w:rsid w:val="0092000D"/>
    <w:rsid w:val="00986063"/>
    <w:rsid w:val="00A3793E"/>
    <w:rsid w:val="00A572E5"/>
    <w:rsid w:val="00AA0B02"/>
    <w:rsid w:val="00B6679D"/>
    <w:rsid w:val="00B8799B"/>
    <w:rsid w:val="00BA67CC"/>
    <w:rsid w:val="00C70469"/>
    <w:rsid w:val="00C85062"/>
    <w:rsid w:val="00C92500"/>
    <w:rsid w:val="00DE06A0"/>
    <w:rsid w:val="00DF09AB"/>
    <w:rsid w:val="00E66DD2"/>
    <w:rsid w:val="00E71D9C"/>
    <w:rsid w:val="00ED15AB"/>
    <w:rsid w:val="00F04D5C"/>
    <w:rsid w:val="00F23066"/>
    <w:rsid w:val="00F80AF7"/>
    <w:rsid w:val="00F85180"/>
    <w:rsid w:val="00FB2716"/>
    <w:rsid w:val="00FB5050"/>
    <w:rsid w:val="00FC2E40"/>
    <w:rsid w:val="00FC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D15AB"/>
    <w:pPr>
      <w:keepNext/>
      <w:tabs>
        <w:tab w:val="left" w:pos="720"/>
      </w:tabs>
      <w:spacing w:before="120" w:after="120" w:line="240" w:lineRule="auto"/>
      <w:jc w:val="center"/>
      <w:outlineLvl w:val="1"/>
    </w:pPr>
    <w:rPr>
      <w:rFonts w:ascii="Times New Roman" w:eastAsia="Times New Roman" w:hAnsi="Times New Roman" w:cs="Times New Roman"/>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15AB"/>
    <w:rPr>
      <w:rFonts w:ascii="Times New Roman" w:eastAsia="Times New Roman" w:hAnsi="Times New Roman" w:cs="Times New Roman"/>
      <w:b/>
      <w:bCs/>
      <w:i/>
      <w:iCs/>
      <w:szCs w:val="24"/>
      <w:lang w:val="en-GB"/>
    </w:rPr>
  </w:style>
  <w:style w:type="paragraph" w:customStyle="1" w:styleId="recommendationheader">
    <w:name w:val="recommendation header"/>
    <w:basedOn w:val="Heading2"/>
    <w:qFormat/>
    <w:rsid w:val="00ED15AB"/>
  </w:style>
  <w:style w:type="paragraph" w:styleId="Header">
    <w:name w:val="header"/>
    <w:basedOn w:val="Normal"/>
    <w:link w:val="HeaderChar"/>
    <w:uiPriority w:val="99"/>
    <w:unhideWhenUsed/>
    <w:rsid w:val="0054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6F"/>
  </w:style>
  <w:style w:type="paragraph" w:styleId="Footer">
    <w:name w:val="footer"/>
    <w:basedOn w:val="Normal"/>
    <w:link w:val="FooterChar"/>
    <w:uiPriority w:val="99"/>
    <w:unhideWhenUsed/>
    <w:rsid w:val="0054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6F"/>
  </w:style>
  <w:style w:type="paragraph" w:styleId="FootnoteText">
    <w:name w:val="footnote text"/>
    <w:basedOn w:val="Normal"/>
    <w:link w:val="FootnoteTextChar"/>
    <w:unhideWhenUsed/>
    <w:rsid w:val="0092000D"/>
    <w:pPr>
      <w:spacing w:after="0" w:line="240" w:lineRule="auto"/>
    </w:pPr>
    <w:rPr>
      <w:sz w:val="20"/>
      <w:szCs w:val="20"/>
    </w:rPr>
  </w:style>
  <w:style w:type="character" w:customStyle="1" w:styleId="FootnoteTextChar">
    <w:name w:val="Footnote Text Char"/>
    <w:basedOn w:val="DefaultParagraphFont"/>
    <w:link w:val="FootnoteText"/>
    <w:rsid w:val="0092000D"/>
    <w:rPr>
      <w:sz w:val="20"/>
      <w:szCs w:val="20"/>
    </w:rPr>
  </w:style>
  <w:style w:type="character" w:styleId="FootnoteReference">
    <w:name w:val="footnote reference"/>
    <w:basedOn w:val="DefaultParagraphFont"/>
    <w:unhideWhenUsed/>
    <w:rsid w:val="0092000D"/>
    <w:rPr>
      <w:vertAlign w:val="superscript"/>
    </w:rPr>
  </w:style>
  <w:style w:type="paragraph" w:styleId="EndnoteText">
    <w:name w:val="endnote text"/>
    <w:basedOn w:val="Normal"/>
    <w:link w:val="EndnoteTextChar"/>
    <w:uiPriority w:val="99"/>
    <w:semiHidden/>
    <w:unhideWhenUsed/>
    <w:rsid w:val="002C3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D8E"/>
    <w:rPr>
      <w:sz w:val="20"/>
      <w:szCs w:val="20"/>
    </w:rPr>
  </w:style>
  <w:style w:type="character" w:styleId="EndnoteReference">
    <w:name w:val="endnote reference"/>
    <w:basedOn w:val="DefaultParagraphFont"/>
    <w:uiPriority w:val="99"/>
    <w:semiHidden/>
    <w:unhideWhenUsed/>
    <w:rsid w:val="002C3D8E"/>
    <w:rPr>
      <w:vertAlign w:val="superscript"/>
    </w:rPr>
  </w:style>
  <w:style w:type="paragraph" w:styleId="BalloonText">
    <w:name w:val="Balloon Text"/>
    <w:basedOn w:val="Normal"/>
    <w:link w:val="BalloonTextChar"/>
    <w:uiPriority w:val="99"/>
    <w:semiHidden/>
    <w:unhideWhenUsed/>
    <w:rsid w:val="00DE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A0"/>
    <w:rPr>
      <w:rFonts w:ascii="Tahoma" w:hAnsi="Tahoma" w:cs="Tahoma"/>
      <w:sz w:val="16"/>
      <w:szCs w:val="16"/>
    </w:rPr>
  </w:style>
  <w:style w:type="paragraph" w:styleId="ListParagraph">
    <w:name w:val="List Paragraph"/>
    <w:basedOn w:val="Normal"/>
    <w:uiPriority w:val="34"/>
    <w:qFormat/>
    <w:rsid w:val="008B42DB"/>
    <w:pPr>
      <w:ind w:left="720"/>
      <w:contextualSpacing/>
    </w:pPr>
  </w:style>
  <w:style w:type="paragraph" w:customStyle="1" w:styleId="Body">
    <w:name w:val="Body"/>
    <w:rsid w:val="00FC6E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CA" w:eastAsia="en-CA"/>
    </w:rPr>
  </w:style>
  <w:style w:type="character" w:styleId="CommentReference">
    <w:name w:val="annotation reference"/>
    <w:basedOn w:val="DefaultParagraphFont"/>
    <w:uiPriority w:val="99"/>
    <w:semiHidden/>
    <w:unhideWhenUsed/>
    <w:rsid w:val="00C70469"/>
    <w:rPr>
      <w:sz w:val="16"/>
      <w:szCs w:val="16"/>
    </w:rPr>
  </w:style>
  <w:style w:type="paragraph" w:styleId="CommentText">
    <w:name w:val="annotation text"/>
    <w:basedOn w:val="Normal"/>
    <w:link w:val="CommentTextChar"/>
    <w:uiPriority w:val="99"/>
    <w:semiHidden/>
    <w:unhideWhenUsed/>
    <w:rsid w:val="00C70469"/>
    <w:pPr>
      <w:spacing w:line="240" w:lineRule="auto"/>
    </w:pPr>
    <w:rPr>
      <w:sz w:val="20"/>
      <w:szCs w:val="20"/>
    </w:rPr>
  </w:style>
  <w:style w:type="character" w:customStyle="1" w:styleId="CommentTextChar">
    <w:name w:val="Comment Text Char"/>
    <w:basedOn w:val="DefaultParagraphFont"/>
    <w:link w:val="CommentText"/>
    <w:uiPriority w:val="99"/>
    <w:semiHidden/>
    <w:rsid w:val="00C70469"/>
    <w:rPr>
      <w:sz w:val="20"/>
      <w:szCs w:val="20"/>
    </w:rPr>
  </w:style>
  <w:style w:type="paragraph" w:styleId="CommentSubject">
    <w:name w:val="annotation subject"/>
    <w:basedOn w:val="CommentText"/>
    <w:next w:val="CommentText"/>
    <w:link w:val="CommentSubjectChar"/>
    <w:uiPriority w:val="99"/>
    <w:semiHidden/>
    <w:unhideWhenUsed/>
    <w:rsid w:val="00C70469"/>
    <w:rPr>
      <w:b/>
      <w:bCs/>
    </w:rPr>
  </w:style>
  <w:style w:type="character" w:customStyle="1" w:styleId="CommentSubjectChar">
    <w:name w:val="Comment Subject Char"/>
    <w:basedOn w:val="CommentTextChar"/>
    <w:link w:val="CommentSubject"/>
    <w:uiPriority w:val="99"/>
    <w:semiHidden/>
    <w:rsid w:val="00C70469"/>
    <w:rPr>
      <w:b/>
      <w:bCs/>
      <w:sz w:val="20"/>
      <w:szCs w:val="20"/>
    </w:rPr>
  </w:style>
  <w:style w:type="character" w:customStyle="1" w:styleId="tgc">
    <w:name w:val="_tgc"/>
    <w:basedOn w:val="DefaultParagraphFont"/>
    <w:rsid w:val="006314BD"/>
  </w:style>
  <w:style w:type="character" w:styleId="Hyperlink">
    <w:name w:val="Hyperlink"/>
    <w:basedOn w:val="DefaultParagraphFont"/>
    <w:uiPriority w:val="99"/>
    <w:unhideWhenUsed/>
    <w:rsid w:val="00420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D15AB"/>
    <w:pPr>
      <w:keepNext/>
      <w:tabs>
        <w:tab w:val="left" w:pos="720"/>
      </w:tabs>
      <w:spacing w:before="120" w:after="120" w:line="240" w:lineRule="auto"/>
      <w:jc w:val="center"/>
      <w:outlineLvl w:val="1"/>
    </w:pPr>
    <w:rPr>
      <w:rFonts w:ascii="Times New Roman" w:eastAsia="Times New Roman" w:hAnsi="Times New Roman" w:cs="Times New Roman"/>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15AB"/>
    <w:rPr>
      <w:rFonts w:ascii="Times New Roman" w:eastAsia="Times New Roman" w:hAnsi="Times New Roman" w:cs="Times New Roman"/>
      <w:b/>
      <w:bCs/>
      <w:i/>
      <w:iCs/>
      <w:szCs w:val="24"/>
      <w:lang w:val="en-GB"/>
    </w:rPr>
  </w:style>
  <w:style w:type="paragraph" w:customStyle="1" w:styleId="recommendationheader">
    <w:name w:val="recommendation header"/>
    <w:basedOn w:val="Heading2"/>
    <w:qFormat/>
    <w:rsid w:val="00ED15AB"/>
  </w:style>
  <w:style w:type="paragraph" w:styleId="Header">
    <w:name w:val="header"/>
    <w:basedOn w:val="Normal"/>
    <w:link w:val="HeaderChar"/>
    <w:uiPriority w:val="99"/>
    <w:unhideWhenUsed/>
    <w:rsid w:val="0054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6F"/>
  </w:style>
  <w:style w:type="paragraph" w:styleId="Footer">
    <w:name w:val="footer"/>
    <w:basedOn w:val="Normal"/>
    <w:link w:val="FooterChar"/>
    <w:uiPriority w:val="99"/>
    <w:unhideWhenUsed/>
    <w:rsid w:val="0054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6F"/>
  </w:style>
  <w:style w:type="paragraph" w:styleId="FootnoteText">
    <w:name w:val="footnote text"/>
    <w:basedOn w:val="Normal"/>
    <w:link w:val="FootnoteTextChar"/>
    <w:unhideWhenUsed/>
    <w:rsid w:val="0092000D"/>
    <w:pPr>
      <w:spacing w:after="0" w:line="240" w:lineRule="auto"/>
    </w:pPr>
    <w:rPr>
      <w:sz w:val="20"/>
      <w:szCs w:val="20"/>
    </w:rPr>
  </w:style>
  <w:style w:type="character" w:customStyle="1" w:styleId="FootnoteTextChar">
    <w:name w:val="Footnote Text Char"/>
    <w:basedOn w:val="DefaultParagraphFont"/>
    <w:link w:val="FootnoteText"/>
    <w:rsid w:val="0092000D"/>
    <w:rPr>
      <w:sz w:val="20"/>
      <w:szCs w:val="20"/>
    </w:rPr>
  </w:style>
  <w:style w:type="character" w:styleId="FootnoteReference">
    <w:name w:val="footnote reference"/>
    <w:basedOn w:val="DefaultParagraphFont"/>
    <w:unhideWhenUsed/>
    <w:rsid w:val="0092000D"/>
    <w:rPr>
      <w:vertAlign w:val="superscript"/>
    </w:rPr>
  </w:style>
  <w:style w:type="paragraph" w:styleId="EndnoteText">
    <w:name w:val="endnote text"/>
    <w:basedOn w:val="Normal"/>
    <w:link w:val="EndnoteTextChar"/>
    <w:uiPriority w:val="99"/>
    <w:semiHidden/>
    <w:unhideWhenUsed/>
    <w:rsid w:val="002C3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D8E"/>
    <w:rPr>
      <w:sz w:val="20"/>
      <w:szCs w:val="20"/>
    </w:rPr>
  </w:style>
  <w:style w:type="character" w:styleId="EndnoteReference">
    <w:name w:val="endnote reference"/>
    <w:basedOn w:val="DefaultParagraphFont"/>
    <w:uiPriority w:val="99"/>
    <w:semiHidden/>
    <w:unhideWhenUsed/>
    <w:rsid w:val="002C3D8E"/>
    <w:rPr>
      <w:vertAlign w:val="superscript"/>
    </w:rPr>
  </w:style>
  <w:style w:type="paragraph" w:styleId="BalloonText">
    <w:name w:val="Balloon Text"/>
    <w:basedOn w:val="Normal"/>
    <w:link w:val="BalloonTextChar"/>
    <w:uiPriority w:val="99"/>
    <w:semiHidden/>
    <w:unhideWhenUsed/>
    <w:rsid w:val="00DE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A0"/>
    <w:rPr>
      <w:rFonts w:ascii="Tahoma" w:hAnsi="Tahoma" w:cs="Tahoma"/>
      <w:sz w:val="16"/>
      <w:szCs w:val="16"/>
    </w:rPr>
  </w:style>
  <w:style w:type="paragraph" w:styleId="ListParagraph">
    <w:name w:val="List Paragraph"/>
    <w:basedOn w:val="Normal"/>
    <w:uiPriority w:val="34"/>
    <w:qFormat/>
    <w:rsid w:val="008B42DB"/>
    <w:pPr>
      <w:ind w:left="720"/>
      <w:contextualSpacing/>
    </w:pPr>
  </w:style>
  <w:style w:type="paragraph" w:customStyle="1" w:styleId="Body">
    <w:name w:val="Body"/>
    <w:rsid w:val="00FC6E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CA" w:eastAsia="en-CA"/>
    </w:rPr>
  </w:style>
  <w:style w:type="character" w:styleId="CommentReference">
    <w:name w:val="annotation reference"/>
    <w:basedOn w:val="DefaultParagraphFont"/>
    <w:uiPriority w:val="99"/>
    <w:semiHidden/>
    <w:unhideWhenUsed/>
    <w:rsid w:val="00C70469"/>
    <w:rPr>
      <w:sz w:val="16"/>
      <w:szCs w:val="16"/>
    </w:rPr>
  </w:style>
  <w:style w:type="paragraph" w:styleId="CommentText">
    <w:name w:val="annotation text"/>
    <w:basedOn w:val="Normal"/>
    <w:link w:val="CommentTextChar"/>
    <w:uiPriority w:val="99"/>
    <w:semiHidden/>
    <w:unhideWhenUsed/>
    <w:rsid w:val="00C70469"/>
    <w:pPr>
      <w:spacing w:line="240" w:lineRule="auto"/>
    </w:pPr>
    <w:rPr>
      <w:sz w:val="20"/>
      <w:szCs w:val="20"/>
    </w:rPr>
  </w:style>
  <w:style w:type="character" w:customStyle="1" w:styleId="CommentTextChar">
    <w:name w:val="Comment Text Char"/>
    <w:basedOn w:val="DefaultParagraphFont"/>
    <w:link w:val="CommentText"/>
    <w:uiPriority w:val="99"/>
    <w:semiHidden/>
    <w:rsid w:val="00C70469"/>
    <w:rPr>
      <w:sz w:val="20"/>
      <w:szCs w:val="20"/>
    </w:rPr>
  </w:style>
  <w:style w:type="paragraph" w:styleId="CommentSubject">
    <w:name w:val="annotation subject"/>
    <w:basedOn w:val="CommentText"/>
    <w:next w:val="CommentText"/>
    <w:link w:val="CommentSubjectChar"/>
    <w:uiPriority w:val="99"/>
    <w:semiHidden/>
    <w:unhideWhenUsed/>
    <w:rsid w:val="00C70469"/>
    <w:rPr>
      <w:b/>
      <w:bCs/>
    </w:rPr>
  </w:style>
  <w:style w:type="character" w:customStyle="1" w:styleId="CommentSubjectChar">
    <w:name w:val="Comment Subject Char"/>
    <w:basedOn w:val="CommentTextChar"/>
    <w:link w:val="CommentSubject"/>
    <w:uiPriority w:val="99"/>
    <w:semiHidden/>
    <w:rsid w:val="00C70469"/>
    <w:rPr>
      <w:b/>
      <w:bCs/>
      <w:sz w:val="20"/>
      <w:szCs w:val="20"/>
    </w:rPr>
  </w:style>
  <w:style w:type="character" w:customStyle="1" w:styleId="tgc">
    <w:name w:val="_tgc"/>
    <w:basedOn w:val="DefaultParagraphFont"/>
    <w:rsid w:val="006314BD"/>
  </w:style>
  <w:style w:type="character" w:styleId="Hyperlink">
    <w:name w:val="Hyperlink"/>
    <w:basedOn w:val="DefaultParagraphFont"/>
    <w:uiPriority w:val="99"/>
    <w:unhideWhenUsed/>
    <w:rsid w:val="00420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fn.ca/en/honoring-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4C16-71BA-47A8-B95F-51A9746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11127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Kathrina Yambao</dc:creator>
  <cp:lastModifiedBy>kimberley.gilmore@canada.ca</cp:lastModifiedBy>
  <cp:revision>2</cp:revision>
  <dcterms:created xsi:type="dcterms:W3CDTF">2017-06-20T17:13:00Z</dcterms:created>
  <dcterms:modified xsi:type="dcterms:W3CDTF">2017-06-20T17:13:00Z</dcterms:modified>
</cp:coreProperties>
</file>