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26" w:rsidRDefault="00594026" w:rsidP="00594026">
      <w:pPr>
        <w:jc w:val="center"/>
        <w:rPr>
          <w:b/>
          <w:lang w:val="en-GB"/>
        </w:rPr>
      </w:pPr>
      <w:r w:rsidRPr="00594026">
        <w:rPr>
          <w:b/>
          <w:lang w:val="en-GB"/>
        </w:rPr>
        <w:t>Submission by Austria</w:t>
      </w:r>
    </w:p>
    <w:p w:rsidR="00594026" w:rsidRPr="00594026" w:rsidRDefault="00594026" w:rsidP="00594026">
      <w:pPr>
        <w:jc w:val="center"/>
        <w:rPr>
          <w:b/>
          <w:lang w:val="en-GB"/>
        </w:rPr>
      </w:pPr>
      <w:r>
        <w:rPr>
          <w:b/>
          <w:lang w:val="en-GB"/>
        </w:rPr>
        <w:t xml:space="preserve">in response to </w:t>
      </w:r>
    </w:p>
    <w:p w:rsidR="009448AD" w:rsidRPr="00594026" w:rsidRDefault="00A01326" w:rsidP="00594026">
      <w:pPr>
        <w:jc w:val="center"/>
        <w:rPr>
          <w:b/>
          <w:lang w:val="en-GB"/>
        </w:rPr>
      </w:pPr>
      <w:r w:rsidRPr="00594026">
        <w:rPr>
          <w:b/>
          <w:lang w:val="en-GB"/>
        </w:rPr>
        <w:t>SCBD Notification No. 2018-103 (14 December 2018)</w:t>
      </w:r>
    </w:p>
    <w:p w:rsidR="00A01326" w:rsidRDefault="00A01326" w:rsidP="00A01326">
      <w:pPr>
        <w:pStyle w:val="NurText"/>
        <w:numPr>
          <w:ilvl w:val="0"/>
          <w:numId w:val="1"/>
        </w:numPr>
        <w:rPr>
          <w:lang w:val="en-CA"/>
        </w:rPr>
      </w:pPr>
      <w:r>
        <w:rPr>
          <w:lang w:val="en-CA"/>
        </w:rPr>
        <w:t>The relationship between synthetic biology a</w:t>
      </w:r>
      <w:bookmarkStart w:id="0" w:name="_GoBack"/>
      <w:bookmarkEnd w:id="0"/>
      <w:r>
        <w:rPr>
          <w:lang w:val="en-CA"/>
        </w:rPr>
        <w:t>nd the criteria set out in decision IX/29, paragraph 12, in order to contribute to the completion of the assessment requested in decision XII/24, paragraph 2, building on the preliminary analysis prepared by the Executive Secretary in document SBSTTA/22/INF/17;</w:t>
      </w:r>
    </w:p>
    <w:p w:rsidR="00A01326" w:rsidRDefault="00A01326" w:rsidP="00A01326">
      <w:pPr>
        <w:pStyle w:val="NurText"/>
        <w:ind w:left="360"/>
        <w:rPr>
          <w:lang w:val="en-CA"/>
        </w:rPr>
      </w:pPr>
    </w:p>
    <w:p w:rsidR="00A01326" w:rsidRPr="005D754B" w:rsidRDefault="00A01326" w:rsidP="005D754B">
      <w:pPr>
        <w:rPr>
          <w:color w:val="1F497D" w:themeColor="text2"/>
          <w:lang w:val="en-CA"/>
        </w:rPr>
      </w:pPr>
      <w:r w:rsidRPr="005D754B">
        <w:rPr>
          <w:color w:val="1F497D" w:themeColor="text2"/>
          <w:lang w:val="en-CA"/>
        </w:rPr>
        <w:t>We regard the preliminary analysis prepared by the Executive Secretary in document SBSTTA/22/INF/17 as an adequate synthesis of the work on this matter</w:t>
      </w:r>
      <w:r w:rsidR="00305A6E" w:rsidRPr="005D754B">
        <w:rPr>
          <w:color w:val="1F497D" w:themeColor="text2"/>
          <w:lang w:val="en-CA"/>
        </w:rPr>
        <w:t>,</w:t>
      </w:r>
      <w:r w:rsidRPr="005D754B">
        <w:rPr>
          <w:color w:val="1F497D" w:themeColor="text2"/>
          <w:lang w:val="en-CA"/>
        </w:rPr>
        <w:t xml:space="preserve"> done by the AHTEG on synthetic biology during its two meetings (September 2015, December 2017). We think that with this analysis it has been sufficiently clarified that the topic of synthetic biology fulfills the criteria set out in decision IX/29, paragraph 12, and therefore should be regarded as a “new and emerging issue”. We suggest that the upcoming AHTEG reviews this document and finalizes the exercise on that basis to be submitted to SBSTTA.</w:t>
      </w:r>
    </w:p>
    <w:p w:rsidR="00A01326" w:rsidRDefault="00A01326" w:rsidP="00A01326">
      <w:pPr>
        <w:pStyle w:val="NurText"/>
        <w:rPr>
          <w:lang w:val="en-CA"/>
        </w:rPr>
      </w:pPr>
      <w:r>
        <w:rPr>
          <w:lang w:val="en-CA"/>
        </w:rPr>
        <w:t> </w:t>
      </w:r>
    </w:p>
    <w:p w:rsidR="00A01326" w:rsidRDefault="00A01326" w:rsidP="00A01326">
      <w:pPr>
        <w:pStyle w:val="NurText"/>
        <w:rPr>
          <w:lang w:val="en-CA"/>
        </w:rPr>
      </w:pPr>
      <w:r>
        <w:rPr>
          <w:lang w:val="en-CA"/>
        </w:rPr>
        <w:t>(b)          New technological developments in synthetic biology since the last meeting of the Ad Hoc Technical Expert Group in December 2017, including the consideration, among other things, of concrete applications of genome editing if they relate to synthetic biology, in order to support a broad and regular horizon scanning process;</w:t>
      </w:r>
    </w:p>
    <w:p w:rsidR="00305A6E" w:rsidRDefault="00305A6E" w:rsidP="00A01326">
      <w:pPr>
        <w:pStyle w:val="NurText"/>
        <w:rPr>
          <w:lang w:val="en-CA"/>
        </w:rPr>
      </w:pPr>
    </w:p>
    <w:p w:rsidR="00305A6E" w:rsidRPr="00305A6E" w:rsidRDefault="00305A6E" w:rsidP="00305A6E">
      <w:pPr>
        <w:spacing w:after="0" w:line="240" w:lineRule="auto"/>
        <w:rPr>
          <w:rFonts w:ascii="Calibri" w:eastAsia="Calibri" w:hAnsi="Calibri" w:cs="Times New Roman"/>
          <w:color w:val="1F497D"/>
          <w:lang w:val="en-CA"/>
        </w:rPr>
      </w:pPr>
      <w:r w:rsidRPr="00305A6E">
        <w:rPr>
          <w:rFonts w:ascii="Calibri" w:eastAsia="Calibri" w:hAnsi="Calibri" w:cs="Times New Roman"/>
          <w:color w:val="1F497D"/>
          <w:lang w:val="en-CA"/>
        </w:rPr>
        <w:t>Genome editing approaches (including highly multiplexed CRISPR-based methods and MAGE) may be used for large-scale engineering of m</w:t>
      </w:r>
      <w:r w:rsidR="005D754B">
        <w:rPr>
          <w:rFonts w:ascii="Calibri" w:eastAsia="Calibri" w:hAnsi="Calibri" w:cs="Times New Roman"/>
          <w:color w:val="1F497D"/>
          <w:lang w:val="en-CA"/>
        </w:rPr>
        <w:t xml:space="preserve">etabolic pathways and networks, </w:t>
      </w:r>
      <w:r w:rsidRPr="00305A6E">
        <w:rPr>
          <w:rFonts w:ascii="Calibri" w:eastAsia="Calibri" w:hAnsi="Calibri" w:cs="Times New Roman"/>
          <w:color w:val="1F497D"/>
          <w:lang w:val="en-CA"/>
        </w:rPr>
        <w:t>compare e.g. (Chari &amp; Church 2017).</w:t>
      </w:r>
    </w:p>
    <w:p w:rsidR="00305A6E" w:rsidRPr="00305A6E" w:rsidRDefault="00305A6E" w:rsidP="00305A6E">
      <w:pPr>
        <w:spacing w:after="0" w:line="240" w:lineRule="auto"/>
        <w:rPr>
          <w:rFonts w:ascii="Calibri" w:eastAsia="Calibri" w:hAnsi="Calibri" w:cs="Times New Roman"/>
          <w:color w:val="1F497D"/>
          <w:lang w:val="en-CA"/>
        </w:rPr>
      </w:pPr>
      <w:r w:rsidRPr="00305A6E">
        <w:rPr>
          <w:rFonts w:ascii="Calibri" w:eastAsia="Calibri" w:hAnsi="Calibri" w:cs="Times New Roman"/>
          <w:color w:val="1F497D"/>
          <w:lang w:val="en-CA"/>
        </w:rPr>
        <w:t xml:space="preserve">This may also be tried in plants, however the efficiency of multiplexed editing is still said to be quite low (reports at OECD 2018) and trade-offs vis a vis the frequency for off-target modification activity may impede the feasibility of such approaches. </w:t>
      </w:r>
    </w:p>
    <w:p w:rsidR="00305A6E" w:rsidRPr="00305A6E" w:rsidRDefault="00305A6E" w:rsidP="00305A6E">
      <w:pPr>
        <w:spacing w:after="0" w:line="240" w:lineRule="auto"/>
        <w:rPr>
          <w:rFonts w:ascii="Calibri" w:eastAsia="Calibri" w:hAnsi="Calibri" w:cs="Times New Roman"/>
          <w:color w:val="1F497D"/>
          <w:lang w:val="en-CA"/>
        </w:rPr>
      </w:pPr>
      <w:r w:rsidRPr="00305A6E">
        <w:rPr>
          <w:rFonts w:ascii="Calibri" w:eastAsia="Calibri" w:hAnsi="Calibri" w:cs="Times New Roman"/>
          <w:color w:val="1F497D"/>
          <w:lang w:val="en-CA"/>
        </w:rPr>
        <w:t>Nevertheless proof-of-concept studies for multiplexed approaches with different site-directed nucleases were conducted in various crops, including maize (Qi et al., 2016), rice (Xu et al., 2016) and wheat (Wang et al., 2014; Gil-</w:t>
      </w:r>
      <w:proofErr w:type="spellStart"/>
      <w:r w:rsidRPr="00305A6E">
        <w:rPr>
          <w:rFonts w:ascii="Calibri" w:eastAsia="Calibri" w:hAnsi="Calibri" w:cs="Times New Roman"/>
          <w:color w:val="1F497D"/>
          <w:lang w:val="en-CA"/>
        </w:rPr>
        <w:t>Humanes</w:t>
      </w:r>
      <w:proofErr w:type="spellEnd"/>
      <w:r w:rsidRPr="00305A6E">
        <w:rPr>
          <w:rFonts w:ascii="Calibri" w:eastAsia="Calibri" w:hAnsi="Calibri" w:cs="Times New Roman"/>
          <w:color w:val="1F497D"/>
          <w:lang w:val="en-CA"/>
        </w:rPr>
        <w:t xml:space="preserve"> et al., 2017). In rice up to 21 different target genes were modified in a single step (Liang et al., 2016). In a recent study in w</w:t>
      </w:r>
      <w:r w:rsidR="005D754B">
        <w:rPr>
          <w:rFonts w:ascii="Calibri" w:eastAsia="Calibri" w:hAnsi="Calibri" w:cs="Times New Roman"/>
          <w:color w:val="1F497D"/>
          <w:lang w:val="en-CA"/>
        </w:rPr>
        <w:t>heat </w:t>
      </w:r>
      <w:r w:rsidRPr="00305A6E">
        <w:rPr>
          <w:rFonts w:ascii="Calibri" w:eastAsia="Calibri" w:hAnsi="Calibri" w:cs="Times New Roman"/>
          <w:color w:val="1F497D"/>
          <w:lang w:val="en-CA"/>
        </w:rPr>
        <w:t>35 different alpha-gliadin genes out of the 45 genes present in a wildtype line were knocked out using a multiplexed approach (Sanchez-Leon et al., 2018).</w:t>
      </w:r>
    </w:p>
    <w:p w:rsidR="00305A6E" w:rsidRPr="00305A6E" w:rsidRDefault="00305A6E" w:rsidP="00305A6E">
      <w:pPr>
        <w:spacing w:after="0" w:line="240" w:lineRule="auto"/>
        <w:rPr>
          <w:rFonts w:ascii="Calibri" w:eastAsia="Calibri" w:hAnsi="Calibri" w:cs="Times New Roman"/>
          <w:color w:val="1F497D"/>
          <w:lang w:val="en-CA"/>
        </w:rPr>
      </w:pPr>
    </w:p>
    <w:p w:rsidR="00305A6E" w:rsidRPr="00305A6E" w:rsidRDefault="00305A6E" w:rsidP="00305A6E">
      <w:pPr>
        <w:spacing w:after="0" w:line="240" w:lineRule="auto"/>
        <w:rPr>
          <w:rFonts w:ascii="Calibri" w:eastAsia="Calibri" w:hAnsi="Calibri" w:cs="Times New Roman"/>
          <w:color w:val="1F497D"/>
          <w:lang w:val="en-CA"/>
        </w:rPr>
      </w:pPr>
      <w:r w:rsidRPr="00305A6E">
        <w:rPr>
          <w:rFonts w:ascii="Calibri" w:eastAsia="Calibri" w:hAnsi="Calibri" w:cs="Times New Roman"/>
          <w:color w:val="1F497D"/>
          <w:lang w:val="en-CA"/>
        </w:rPr>
        <w:t xml:space="preserve">Other recent reports indicate that multiplexed genome editing to modify a few target loci only is sufficient to generate dramatic phenotypic changes in plants. Two recent publications (Li et al., 2018; </w:t>
      </w:r>
      <w:proofErr w:type="spellStart"/>
      <w:r w:rsidRPr="00305A6E">
        <w:rPr>
          <w:rFonts w:ascii="Calibri" w:eastAsia="Calibri" w:hAnsi="Calibri" w:cs="Times New Roman"/>
          <w:color w:val="1F497D"/>
          <w:lang w:val="en-CA"/>
        </w:rPr>
        <w:t>Zsögön</w:t>
      </w:r>
      <w:proofErr w:type="spellEnd"/>
      <w:r w:rsidRPr="00305A6E">
        <w:rPr>
          <w:rFonts w:ascii="Calibri" w:eastAsia="Calibri" w:hAnsi="Calibri" w:cs="Times New Roman"/>
          <w:color w:val="1F497D"/>
          <w:lang w:val="en-CA"/>
        </w:rPr>
        <w:t xml:space="preserve"> et al., 2018) indicate the potential of genome editing for an approach called de novo domestication, i.e. to rapidly develop crop lines from wild forms with desired properties like strong resistance towards pathogens or salt tolerance. In both cases relevant agronomic characteristics associated with domesticated tomato plants were established in different lines of </w:t>
      </w:r>
      <w:r w:rsidRPr="00305A6E">
        <w:rPr>
          <w:rFonts w:ascii="Calibri" w:eastAsia="Calibri" w:hAnsi="Calibri" w:cs="Times New Roman"/>
          <w:i/>
          <w:color w:val="1F497D"/>
          <w:lang w:val="en-CA"/>
        </w:rPr>
        <w:t xml:space="preserve">Solanum </w:t>
      </w:r>
      <w:proofErr w:type="spellStart"/>
      <w:r w:rsidRPr="00305A6E">
        <w:rPr>
          <w:rFonts w:ascii="Calibri" w:eastAsia="Calibri" w:hAnsi="Calibri" w:cs="Times New Roman"/>
          <w:i/>
          <w:color w:val="1F497D"/>
          <w:lang w:val="en-CA"/>
        </w:rPr>
        <w:t>pimpinellifolium</w:t>
      </w:r>
      <w:proofErr w:type="spellEnd"/>
      <w:r w:rsidRPr="00305A6E">
        <w:rPr>
          <w:rFonts w:ascii="Calibri" w:eastAsia="Calibri" w:hAnsi="Calibri" w:cs="Times New Roman"/>
          <w:color w:val="1F497D"/>
          <w:lang w:val="en-CA"/>
        </w:rPr>
        <w:t xml:space="preserve"> by simultaneously editing only 4 or 6 genomic loci, respectively, while maintaining the desired resistance traits present in the wild lines. Among the introduced domestic characteristics were increased fruit number, size, shape and nutrient content of fruits as well as plant architecture and growth characteristics.  </w:t>
      </w:r>
    </w:p>
    <w:p w:rsidR="00305A6E" w:rsidRPr="00305A6E" w:rsidRDefault="00305A6E" w:rsidP="00305A6E">
      <w:pPr>
        <w:spacing w:after="0" w:line="240" w:lineRule="auto"/>
        <w:rPr>
          <w:rFonts w:ascii="Calibri" w:eastAsia="Calibri" w:hAnsi="Calibri" w:cs="Times New Roman"/>
          <w:color w:val="1F497D"/>
          <w:lang w:val="en-CA"/>
        </w:rPr>
      </w:pPr>
    </w:p>
    <w:p w:rsidR="00305A6E" w:rsidRPr="00305A6E" w:rsidRDefault="00305A6E" w:rsidP="00305A6E">
      <w:pPr>
        <w:spacing w:after="0" w:line="240" w:lineRule="auto"/>
        <w:ind w:left="720" w:hanging="720"/>
        <w:rPr>
          <w:rFonts w:ascii="Calibri" w:hAnsi="Calibri"/>
          <w:color w:val="1F497D" w:themeColor="text2"/>
          <w:lang w:val="en-US"/>
        </w:rPr>
      </w:pPr>
      <w:r w:rsidRPr="00305A6E">
        <w:rPr>
          <w:rFonts w:ascii="Calibri" w:hAnsi="Calibri"/>
          <w:color w:val="1F497D" w:themeColor="text2"/>
          <w:lang w:val="en-US"/>
        </w:rPr>
        <w:t xml:space="preserve">Chari, R., and Church, G.M. (2017). Beyond editing to writing large genomes. </w:t>
      </w:r>
      <w:r w:rsidRPr="00305A6E">
        <w:rPr>
          <w:rFonts w:ascii="Calibri" w:hAnsi="Calibri"/>
          <w:i/>
          <w:iCs/>
          <w:color w:val="1F497D" w:themeColor="text2"/>
          <w:lang w:val="en-US"/>
        </w:rPr>
        <w:t>Nat Rev Genet</w:t>
      </w:r>
      <w:r w:rsidRPr="00305A6E">
        <w:rPr>
          <w:rFonts w:ascii="Calibri" w:hAnsi="Calibri"/>
          <w:color w:val="1F497D" w:themeColor="text2"/>
          <w:lang w:val="en-US"/>
        </w:rPr>
        <w:t xml:space="preserve"> 18(12)</w:t>
      </w:r>
      <w:r w:rsidRPr="00305A6E">
        <w:rPr>
          <w:rFonts w:ascii="Calibri" w:hAnsi="Calibri"/>
          <w:b/>
          <w:bCs/>
          <w:color w:val="1F497D" w:themeColor="text2"/>
          <w:lang w:val="en-US"/>
        </w:rPr>
        <w:t>,</w:t>
      </w:r>
      <w:r w:rsidRPr="00305A6E">
        <w:rPr>
          <w:rFonts w:ascii="Calibri" w:hAnsi="Calibri"/>
          <w:color w:val="1F497D" w:themeColor="text2"/>
          <w:lang w:val="en-US"/>
        </w:rPr>
        <w:t xml:space="preserve"> 749-760. </w:t>
      </w:r>
      <w:proofErr w:type="spellStart"/>
      <w:r w:rsidRPr="00305A6E">
        <w:rPr>
          <w:rFonts w:ascii="Calibri" w:hAnsi="Calibri"/>
          <w:color w:val="1F497D" w:themeColor="text2"/>
          <w:lang w:val="en-US"/>
        </w:rPr>
        <w:t>doi</w:t>
      </w:r>
      <w:proofErr w:type="spellEnd"/>
      <w:r w:rsidRPr="00305A6E">
        <w:rPr>
          <w:rFonts w:ascii="Calibri" w:hAnsi="Calibri"/>
          <w:color w:val="1F497D" w:themeColor="text2"/>
          <w:lang w:val="en-US"/>
        </w:rPr>
        <w:t>: 10.1038/nrg.2017.59.</w:t>
      </w:r>
    </w:p>
    <w:p w:rsidR="00305A6E" w:rsidRPr="00305A6E" w:rsidRDefault="00305A6E" w:rsidP="00305A6E">
      <w:pPr>
        <w:spacing w:after="0" w:line="240" w:lineRule="auto"/>
        <w:ind w:left="720" w:hanging="720"/>
        <w:rPr>
          <w:rFonts w:ascii="Calibri" w:hAnsi="Calibri"/>
          <w:color w:val="1F497D" w:themeColor="text2"/>
          <w:lang w:val="en-US"/>
        </w:rPr>
      </w:pPr>
      <w:r w:rsidRPr="00305A6E">
        <w:rPr>
          <w:rFonts w:ascii="Calibri" w:hAnsi="Calibri"/>
          <w:color w:val="1F497D" w:themeColor="text2"/>
          <w:lang w:val="en-US"/>
        </w:rPr>
        <w:lastRenderedPageBreak/>
        <w:t>Gil-</w:t>
      </w:r>
      <w:proofErr w:type="spellStart"/>
      <w:r w:rsidRPr="00305A6E">
        <w:rPr>
          <w:rFonts w:ascii="Calibri" w:hAnsi="Calibri"/>
          <w:color w:val="1F497D" w:themeColor="text2"/>
          <w:lang w:val="en-US"/>
        </w:rPr>
        <w:t>Humanes</w:t>
      </w:r>
      <w:proofErr w:type="spellEnd"/>
      <w:r w:rsidRPr="00305A6E">
        <w:rPr>
          <w:rFonts w:ascii="Calibri" w:hAnsi="Calibri"/>
          <w:color w:val="1F497D" w:themeColor="text2"/>
          <w:lang w:val="en-US"/>
        </w:rPr>
        <w:t xml:space="preserve">, J., Wang, Y., Liang, Z., Shan, Q., </w:t>
      </w:r>
      <w:proofErr w:type="spellStart"/>
      <w:r w:rsidRPr="00305A6E">
        <w:rPr>
          <w:rFonts w:ascii="Calibri" w:hAnsi="Calibri"/>
          <w:color w:val="1F497D" w:themeColor="text2"/>
          <w:lang w:val="en-US"/>
        </w:rPr>
        <w:t>Ozuna</w:t>
      </w:r>
      <w:proofErr w:type="spellEnd"/>
      <w:r w:rsidRPr="00305A6E">
        <w:rPr>
          <w:rFonts w:ascii="Calibri" w:hAnsi="Calibri"/>
          <w:color w:val="1F497D" w:themeColor="text2"/>
          <w:lang w:val="en-US"/>
        </w:rPr>
        <w:t xml:space="preserve">, C.V., Sanchez-Leon, S., et al. (2017). High-efficiency gene targeting in </w:t>
      </w:r>
      <w:proofErr w:type="spellStart"/>
      <w:r w:rsidRPr="00305A6E">
        <w:rPr>
          <w:rFonts w:ascii="Calibri" w:hAnsi="Calibri"/>
          <w:color w:val="1F497D" w:themeColor="text2"/>
          <w:lang w:val="en-US"/>
        </w:rPr>
        <w:t>hexaploid</w:t>
      </w:r>
      <w:proofErr w:type="spellEnd"/>
      <w:r w:rsidRPr="00305A6E">
        <w:rPr>
          <w:rFonts w:ascii="Calibri" w:hAnsi="Calibri"/>
          <w:color w:val="1F497D" w:themeColor="text2"/>
          <w:lang w:val="en-US"/>
        </w:rPr>
        <w:t xml:space="preserve"> wheat using DNA replicons and CRISPR/Cas9. </w:t>
      </w:r>
      <w:r w:rsidRPr="00305A6E">
        <w:rPr>
          <w:rFonts w:ascii="Calibri" w:hAnsi="Calibri"/>
          <w:i/>
          <w:iCs/>
          <w:color w:val="1F497D" w:themeColor="text2"/>
          <w:lang w:val="en-US"/>
        </w:rPr>
        <w:t>Plant J</w:t>
      </w:r>
      <w:r w:rsidRPr="00305A6E">
        <w:rPr>
          <w:rFonts w:ascii="Calibri" w:hAnsi="Calibri"/>
          <w:color w:val="1F497D" w:themeColor="text2"/>
          <w:lang w:val="en-US"/>
        </w:rPr>
        <w:t xml:space="preserve"> 89(6)</w:t>
      </w:r>
      <w:r w:rsidRPr="00305A6E">
        <w:rPr>
          <w:rFonts w:ascii="Calibri" w:hAnsi="Calibri"/>
          <w:b/>
          <w:bCs/>
          <w:color w:val="1F497D" w:themeColor="text2"/>
          <w:lang w:val="en-US"/>
        </w:rPr>
        <w:t>,</w:t>
      </w:r>
      <w:r w:rsidRPr="00305A6E">
        <w:rPr>
          <w:rFonts w:ascii="Calibri" w:hAnsi="Calibri"/>
          <w:color w:val="1F497D" w:themeColor="text2"/>
          <w:lang w:val="en-US"/>
        </w:rPr>
        <w:t xml:space="preserve"> 1251-1262. </w:t>
      </w:r>
      <w:proofErr w:type="spellStart"/>
      <w:r w:rsidRPr="00305A6E">
        <w:rPr>
          <w:rFonts w:ascii="Calibri" w:hAnsi="Calibri"/>
          <w:color w:val="1F497D" w:themeColor="text2"/>
          <w:lang w:val="en-US"/>
        </w:rPr>
        <w:t>doi</w:t>
      </w:r>
      <w:proofErr w:type="spellEnd"/>
      <w:r w:rsidRPr="00305A6E">
        <w:rPr>
          <w:rFonts w:ascii="Calibri" w:hAnsi="Calibri"/>
          <w:color w:val="1F497D" w:themeColor="text2"/>
          <w:lang w:val="en-US"/>
        </w:rPr>
        <w:t>: 10.1111/tpj.13446.</w:t>
      </w:r>
    </w:p>
    <w:p w:rsidR="00305A6E" w:rsidRPr="00305A6E" w:rsidRDefault="00305A6E" w:rsidP="00305A6E">
      <w:pPr>
        <w:spacing w:line="240" w:lineRule="auto"/>
        <w:ind w:left="720" w:hanging="720"/>
        <w:rPr>
          <w:rFonts w:ascii="Calibri" w:hAnsi="Calibri"/>
          <w:color w:val="1F497D" w:themeColor="text2"/>
          <w:lang w:val="en-US"/>
        </w:rPr>
      </w:pPr>
      <w:r w:rsidRPr="00874EF7">
        <w:rPr>
          <w:rFonts w:ascii="Calibri" w:hAnsi="Calibri"/>
          <w:color w:val="1F497D" w:themeColor="text2"/>
          <w:lang w:val="en-US"/>
        </w:rPr>
        <w:t xml:space="preserve">Li, T., Yang, X., Yu, Y., Si, X., </w:t>
      </w:r>
      <w:proofErr w:type="spellStart"/>
      <w:r w:rsidRPr="00874EF7">
        <w:rPr>
          <w:rFonts w:ascii="Calibri" w:hAnsi="Calibri"/>
          <w:color w:val="1F497D" w:themeColor="text2"/>
          <w:lang w:val="en-US"/>
        </w:rPr>
        <w:t>Zhai</w:t>
      </w:r>
      <w:proofErr w:type="spellEnd"/>
      <w:r w:rsidRPr="00874EF7">
        <w:rPr>
          <w:rFonts w:ascii="Calibri" w:hAnsi="Calibri"/>
          <w:color w:val="1F497D" w:themeColor="text2"/>
          <w:lang w:val="en-US"/>
        </w:rPr>
        <w:t xml:space="preserve">, X., Zhang, H., et al. </w:t>
      </w:r>
      <w:r w:rsidRPr="00305A6E">
        <w:rPr>
          <w:rFonts w:ascii="Calibri" w:hAnsi="Calibri"/>
          <w:color w:val="1F497D" w:themeColor="text2"/>
          <w:lang w:val="en-US"/>
        </w:rPr>
        <w:t xml:space="preserve">(2018). Domestication of wild tomato is accelerated by genome editing. </w:t>
      </w:r>
      <w:r w:rsidRPr="00305A6E">
        <w:rPr>
          <w:rFonts w:ascii="Calibri" w:hAnsi="Calibri"/>
          <w:i/>
          <w:iCs/>
          <w:color w:val="1F497D" w:themeColor="text2"/>
          <w:lang w:val="en-US"/>
        </w:rPr>
        <w:t>Nature Biotechnology</w:t>
      </w:r>
      <w:r w:rsidRPr="00305A6E">
        <w:rPr>
          <w:rFonts w:ascii="Calibri" w:hAnsi="Calibri"/>
          <w:color w:val="1F497D" w:themeColor="text2"/>
          <w:lang w:val="en-US"/>
        </w:rPr>
        <w:t xml:space="preserve"> 36</w:t>
      </w:r>
      <w:r w:rsidRPr="00305A6E">
        <w:rPr>
          <w:rFonts w:ascii="Calibri" w:hAnsi="Calibri"/>
          <w:b/>
          <w:bCs/>
          <w:color w:val="1F497D" w:themeColor="text2"/>
          <w:lang w:val="en-US"/>
        </w:rPr>
        <w:t>,</w:t>
      </w:r>
      <w:r w:rsidRPr="00305A6E">
        <w:rPr>
          <w:rFonts w:ascii="Calibri" w:hAnsi="Calibri"/>
          <w:color w:val="1F497D" w:themeColor="text2"/>
          <w:lang w:val="en-US"/>
        </w:rPr>
        <w:t xml:space="preserve"> 1160. </w:t>
      </w:r>
      <w:proofErr w:type="spellStart"/>
      <w:r w:rsidRPr="00305A6E">
        <w:rPr>
          <w:rFonts w:ascii="Calibri" w:hAnsi="Calibri"/>
          <w:color w:val="1F497D" w:themeColor="text2"/>
          <w:lang w:val="en-US"/>
        </w:rPr>
        <w:t>doi</w:t>
      </w:r>
      <w:proofErr w:type="spellEnd"/>
      <w:r w:rsidRPr="00305A6E">
        <w:rPr>
          <w:rFonts w:ascii="Calibri" w:hAnsi="Calibri"/>
          <w:color w:val="1F497D" w:themeColor="text2"/>
          <w:lang w:val="en-US"/>
        </w:rPr>
        <w:t>: 10.1038/nbt.4273</w:t>
      </w:r>
    </w:p>
    <w:p w:rsidR="00305A6E" w:rsidRPr="00305A6E" w:rsidRDefault="00305A6E" w:rsidP="00305A6E">
      <w:pPr>
        <w:spacing w:line="240" w:lineRule="auto"/>
        <w:ind w:left="720" w:hanging="720"/>
        <w:rPr>
          <w:rFonts w:ascii="Calibri" w:hAnsi="Calibri"/>
          <w:color w:val="1F497D" w:themeColor="text2"/>
          <w:lang w:val="en-US"/>
        </w:rPr>
      </w:pPr>
      <w:r w:rsidRPr="00305A6E">
        <w:rPr>
          <w:rFonts w:ascii="Calibri" w:hAnsi="Calibri"/>
          <w:color w:val="1F497D" w:themeColor="text2"/>
          <w:lang w:val="en-US"/>
        </w:rPr>
        <w:t xml:space="preserve">Liang, G., Zhang, H.M., Lou, D.J., and Yu, D.Q. (2016). Selection of highly efficient </w:t>
      </w:r>
      <w:proofErr w:type="spellStart"/>
      <w:r w:rsidRPr="00305A6E">
        <w:rPr>
          <w:rFonts w:ascii="Calibri" w:hAnsi="Calibri"/>
          <w:color w:val="1F497D" w:themeColor="text2"/>
          <w:lang w:val="en-US"/>
        </w:rPr>
        <w:t>sgRNAs</w:t>
      </w:r>
      <w:proofErr w:type="spellEnd"/>
      <w:r w:rsidRPr="00305A6E">
        <w:rPr>
          <w:rFonts w:ascii="Calibri" w:hAnsi="Calibri"/>
          <w:color w:val="1F497D" w:themeColor="text2"/>
          <w:lang w:val="en-US"/>
        </w:rPr>
        <w:t xml:space="preserve"> for CRISPR/Cas9-based plant genome editing. </w:t>
      </w:r>
      <w:r w:rsidRPr="00305A6E">
        <w:rPr>
          <w:rFonts w:ascii="Calibri" w:hAnsi="Calibri"/>
          <w:i/>
          <w:iCs/>
          <w:color w:val="1F497D" w:themeColor="text2"/>
          <w:lang w:val="en-US"/>
        </w:rPr>
        <w:t>Scientific Reports</w:t>
      </w:r>
      <w:r w:rsidRPr="00305A6E">
        <w:rPr>
          <w:rFonts w:ascii="Calibri" w:hAnsi="Calibri"/>
          <w:color w:val="1F497D" w:themeColor="text2"/>
          <w:lang w:val="en-US"/>
        </w:rPr>
        <w:t xml:space="preserve"> 6</w:t>
      </w:r>
      <w:r w:rsidRPr="00305A6E">
        <w:rPr>
          <w:rFonts w:ascii="Calibri" w:hAnsi="Calibri"/>
          <w:b/>
          <w:bCs/>
          <w:color w:val="1F497D" w:themeColor="text2"/>
          <w:lang w:val="en-US"/>
        </w:rPr>
        <w:t>,</w:t>
      </w:r>
      <w:r w:rsidRPr="00305A6E">
        <w:rPr>
          <w:rFonts w:ascii="Calibri" w:hAnsi="Calibri"/>
          <w:color w:val="1F497D" w:themeColor="text2"/>
          <w:lang w:val="en-US"/>
        </w:rPr>
        <w:t xml:space="preserve"> 8. </w:t>
      </w:r>
      <w:proofErr w:type="spellStart"/>
      <w:r w:rsidRPr="00305A6E">
        <w:rPr>
          <w:rFonts w:ascii="Calibri" w:hAnsi="Calibri"/>
          <w:color w:val="1F497D" w:themeColor="text2"/>
          <w:lang w:val="en-US"/>
        </w:rPr>
        <w:t>doi</w:t>
      </w:r>
      <w:proofErr w:type="spellEnd"/>
      <w:r w:rsidRPr="00305A6E">
        <w:rPr>
          <w:rFonts w:ascii="Calibri" w:hAnsi="Calibri"/>
          <w:color w:val="1F497D" w:themeColor="text2"/>
          <w:lang w:val="en-US"/>
        </w:rPr>
        <w:t>: 10.1038/srep21451.</w:t>
      </w:r>
    </w:p>
    <w:p w:rsidR="00305A6E" w:rsidRPr="00305A6E" w:rsidRDefault="00305A6E" w:rsidP="00305A6E">
      <w:pPr>
        <w:spacing w:after="0" w:line="240" w:lineRule="auto"/>
        <w:ind w:left="720" w:hanging="720"/>
        <w:rPr>
          <w:rFonts w:ascii="Calibri" w:hAnsi="Calibri"/>
          <w:color w:val="1F497D" w:themeColor="text2"/>
          <w:lang w:val="en-US"/>
        </w:rPr>
      </w:pPr>
      <w:r w:rsidRPr="00305A6E">
        <w:rPr>
          <w:rFonts w:ascii="Calibri" w:hAnsi="Calibri"/>
          <w:color w:val="1F497D" w:themeColor="text2"/>
          <w:lang w:val="en-US"/>
        </w:rPr>
        <w:t xml:space="preserve">OECD (2018). </w:t>
      </w:r>
      <w:r w:rsidRPr="00305A6E">
        <w:rPr>
          <w:rFonts w:ascii="Calibri" w:hAnsi="Calibri"/>
          <w:i/>
          <w:iCs/>
          <w:color w:val="1F497D" w:themeColor="text2"/>
          <w:lang w:val="en-US"/>
        </w:rPr>
        <w:t xml:space="preserve">Conference on Genome Editing: Applications in Agriculture </w:t>
      </w:r>
      <w:r w:rsidRPr="00305A6E">
        <w:rPr>
          <w:rFonts w:ascii="Calibri" w:hAnsi="Calibri"/>
          <w:color w:val="1F497D" w:themeColor="text2"/>
          <w:lang w:val="en-US"/>
        </w:rPr>
        <w:t xml:space="preserve">[Online]. Paris: Organization for Economic Cooperation and Development (OECD). Available: </w:t>
      </w:r>
      <w:hyperlink r:id="rId6" w:history="1">
        <w:r w:rsidRPr="005D754B">
          <w:rPr>
            <w:rFonts w:ascii="Calibri" w:hAnsi="Calibri"/>
            <w:color w:val="1F497D" w:themeColor="text2"/>
            <w:u w:val="single"/>
            <w:lang w:val="en-US"/>
          </w:rPr>
          <w:t>http://www.oecd.org/environment/genome-editing-agriculture/</w:t>
        </w:r>
      </w:hyperlink>
      <w:r w:rsidRPr="00305A6E">
        <w:rPr>
          <w:rFonts w:ascii="Calibri" w:hAnsi="Calibri"/>
          <w:color w:val="1F497D" w:themeColor="text2"/>
          <w:lang w:val="en-US"/>
        </w:rPr>
        <w:t xml:space="preserve"> [Accessed 20.8.2018].</w:t>
      </w:r>
    </w:p>
    <w:p w:rsidR="00305A6E" w:rsidRPr="00305A6E" w:rsidRDefault="00305A6E" w:rsidP="00305A6E">
      <w:pPr>
        <w:spacing w:after="0" w:line="240" w:lineRule="auto"/>
        <w:ind w:left="720" w:hanging="720"/>
        <w:rPr>
          <w:rFonts w:ascii="Calibri" w:hAnsi="Calibri"/>
          <w:color w:val="1F497D" w:themeColor="text2"/>
          <w:lang w:val="en-US"/>
        </w:rPr>
      </w:pPr>
      <w:r w:rsidRPr="00305A6E">
        <w:rPr>
          <w:rFonts w:ascii="Calibri" w:hAnsi="Calibri"/>
          <w:color w:val="1F497D" w:themeColor="text2"/>
          <w:lang w:val="en-US"/>
        </w:rPr>
        <w:t xml:space="preserve">Qi, W.W., Zhu, T., Tian, Z.R., Li, C.B., Zhang, W., and Song, R.T. (2016). High-efficiency CRISPR/Cas9 multiplex gene editing using the glycine </w:t>
      </w:r>
      <w:proofErr w:type="spellStart"/>
      <w:r w:rsidRPr="00305A6E">
        <w:rPr>
          <w:rFonts w:ascii="Calibri" w:hAnsi="Calibri"/>
          <w:color w:val="1F497D" w:themeColor="text2"/>
          <w:lang w:val="en-US"/>
        </w:rPr>
        <w:t>tRNA</w:t>
      </w:r>
      <w:proofErr w:type="spellEnd"/>
      <w:r w:rsidRPr="00305A6E">
        <w:rPr>
          <w:rFonts w:ascii="Calibri" w:hAnsi="Calibri"/>
          <w:color w:val="1F497D" w:themeColor="text2"/>
          <w:lang w:val="en-US"/>
        </w:rPr>
        <w:t xml:space="preserve">-processing system-based strategy in maize. </w:t>
      </w:r>
      <w:proofErr w:type="spellStart"/>
      <w:r w:rsidRPr="00305A6E">
        <w:rPr>
          <w:rFonts w:ascii="Calibri" w:hAnsi="Calibri"/>
          <w:i/>
          <w:iCs/>
          <w:color w:val="1F497D" w:themeColor="text2"/>
          <w:lang w:val="en-US"/>
        </w:rPr>
        <w:t>Bmc</w:t>
      </w:r>
      <w:proofErr w:type="spellEnd"/>
      <w:r w:rsidRPr="00305A6E">
        <w:rPr>
          <w:rFonts w:ascii="Calibri" w:hAnsi="Calibri"/>
          <w:i/>
          <w:iCs/>
          <w:color w:val="1F497D" w:themeColor="text2"/>
          <w:lang w:val="en-US"/>
        </w:rPr>
        <w:t xml:space="preserve"> Biotechnology</w:t>
      </w:r>
      <w:r w:rsidRPr="00305A6E">
        <w:rPr>
          <w:rFonts w:ascii="Calibri" w:hAnsi="Calibri"/>
          <w:color w:val="1F497D" w:themeColor="text2"/>
          <w:lang w:val="en-US"/>
        </w:rPr>
        <w:t xml:space="preserve"> 16</w:t>
      </w:r>
      <w:r w:rsidRPr="00305A6E">
        <w:rPr>
          <w:rFonts w:ascii="Calibri" w:hAnsi="Calibri"/>
          <w:b/>
          <w:bCs/>
          <w:color w:val="1F497D" w:themeColor="text2"/>
          <w:lang w:val="en-US"/>
        </w:rPr>
        <w:t>,</w:t>
      </w:r>
      <w:r w:rsidRPr="00305A6E">
        <w:rPr>
          <w:rFonts w:ascii="Calibri" w:hAnsi="Calibri"/>
          <w:color w:val="1F497D" w:themeColor="text2"/>
          <w:lang w:val="en-US"/>
        </w:rPr>
        <w:t xml:space="preserve"> 8. </w:t>
      </w:r>
      <w:proofErr w:type="spellStart"/>
      <w:r w:rsidRPr="00305A6E">
        <w:rPr>
          <w:rFonts w:ascii="Calibri" w:hAnsi="Calibri"/>
          <w:color w:val="1F497D" w:themeColor="text2"/>
          <w:lang w:val="en-US"/>
        </w:rPr>
        <w:t>doi</w:t>
      </w:r>
      <w:proofErr w:type="spellEnd"/>
      <w:r w:rsidRPr="00305A6E">
        <w:rPr>
          <w:rFonts w:ascii="Calibri" w:hAnsi="Calibri"/>
          <w:color w:val="1F497D" w:themeColor="text2"/>
          <w:lang w:val="en-US"/>
        </w:rPr>
        <w:t>: 10.1186/s12896-016-0289-2.</w:t>
      </w:r>
    </w:p>
    <w:p w:rsidR="00305A6E" w:rsidRPr="00305A6E" w:rsidRDefault="00305A6E" w:rsidP="00305A6E">
      <w:pPr>
        <w:spacing w:after="0" w:line="240" w:lineRule="auto"/>
        <w:ind w:left="720" w:hanging="720"/>
        <w:rPr>
          <w:rFonts w:ascii="Calibri" w:hAnsi="Calibri"/>
          <w:color w:val="1F497D" w:themeColor="text2"/>
          <w:lang w:val="en-US"/>
        </w:rPr>
      </w:pPr>
      <w:r w:rsidRPr="00305A6E">
        <w:rPr>
          <w:rFonts w:ascii="Calibri" w:hAnsi="Calibri"/>
          <w:color w:val="1F497D" w:themeColor="text2"/>
          <w:lang w:val="en-US"/>
        </w:rPr>
        <w:t>Sanchez-Leon, S., Gil-</w:t>
      </w:r>
      <w:proofErr w:type="spellStart"/>
      <w:r w:rsidRPr="00305A6E">
        <w:rPr>
          <w:rFonts w:ascii="Calibri" w:hAnsi="Calibri"/>
          <w:color w:val="1F497D" w:themeColor="text2"/>
          <w:lang w:val="en-US"/>
        </w:rPr>
        <w:t>Humanes</w:t>
      </w:r>
      <w:proofErr w:type="spellEnd"/>
      <w:r w:rsidRPr="00305A6E">
        <w:rPr>
          <w:rFonts w:ascii="Calibri" w:hAnsi="Calibri"/>
          <w:color w:val="1F497D" w:themeColor="text2"/>
          <w:lang w:val="en-US"/>
        </w:rPr>
        <w:t xml:space="preserve">, J., </w:t>
      </w:r>
      <w:proofErr w:type="spellStart"/>
      <w:r w:rsidRPr="00305A6E">
        <w:rPr>
          <w:rFonts w:ascii="Calibri" w:hAnsi="Calibri"/>
          <w:color w:val="1F497D" w:themeColor="text2"/>
          <w:lang w:val="en-US"/>
        </w:rPr>
        <w:t>Ozuna</w:t>
      </w:r>
      <w:proofErr w:type="spellEnd"/>
      <w:r w:rsidRPr="00305A6E">
        <w:rPr>
          <w:rFonts w:ascii="Calibri" w:hAnsi="Calibri"/>
          <w:color w:val="1F497D" w:themeColor="text2"/>
          <w:lang w:val="en-US"/>
        </w:rPr>
        <w:t xml:space="preserve">, C.V., </w:t>
      </w:r>
      <w:proofErr w:type="spellStart"/>
      <w:r w:rsidRPr="00305A6E">
        <w:rPr>
          <w:rFonts w:ascii="Calibri" w:hAnsi="Calibri"/>
          <w:color w:val="1F497D" w:themeColor="text2"/>
          <w:lang w:val="en-US"/>
        </w:rPr>
        <w:t>Gimenez</w:t>
      </w:r>
      <w:proofErr w:type="spellEnd"/>
      <w:r w:rsidRPr="00305A6E">
        <w:rPr>
          <w:rFonts w:ascii="Calibri" w:hAnsi="Calibri"/>
          <w:color w:val="1F497D" w:themeColor="text2"/>
          <w:lang w:val="en-US"/>
        </w:rPr>
        <w:t xml:space="preserve">, M.J., Sousa, C., </w:t>
      </w:r>
      <w:proofErr w:type="spellStart"/>
      <w:r w:rsidRPr="00305A6E">
        <w:rPr>
          <w:rFonts w:ascii="Calibri" w:hAnsi="Calibri"/>
          <w:color w:val="1F497D" w:themeColor="text2"/>
          <w:lang w:val="en-US"/>
        </w:rPr>
        <w:t>Voytas</w:t>
      </w:r>
      <w:proofErr w:type="spellEnd"/>
      <w:r w:rsidRPr="00305A6E">
        <w:rPr>
          <w:rFonts w:ascii="Calibri" w:hAnsi="Calibri"/>
          <w:color w:val="1F497D" w:themeColor="text2"/>
          <w:lang w:val="en-US"/>
        </w:rPr>
        <w:t xml:space="preserve">, D.F., et al. (2018). Low-gluten, </w:t>
      </w:r>
      <w:proofErr w:type="spellStart"/>
      <w:r w:rsidRPr="00305A6E">
        <w:rPr>
          <w:rFonts w:ascii="Calibri" w:hAnsi="Calibri"/>
          <w:color w:val="1F497D" w:themeColor="text2"/>
          <w:lang w:val="en-US"/>
        </w:rPr>
        <w:t>nontransgenic</w:t>
      </w:r>
      <w:proofErr w:type="spellEnd"/>
      <w:r w:rsidRPr="00305A6E">
        <w:rPr>
          <w:rFonts w:ascii="Calibri" w:hAnsi="Calibri"/>
          <w:color w:val="1F497D" w:themeColor="text2"/>
          <w:lang w:val="en-US"/>
        </w:rPr>
        <w:t xml:space="preserve"> wheat engineered with CRISPR/Cas9. </w:t>
      </w:r>
      <w:r w:rsidRPr="00305A6E">
        <w:rPr>
          <w:rFonts w:ascii="Calibri" w:hAnsi="Calibri"/>
          <w:i/>
          <w:iCs/>
          <w:color w:val="1F497D" w:themeColor="text2"/>
          <w:lang w:val="en-US"/>
        </w:rPr>
        <w:t xml:space="preserve">Plant </w:t>
      </w:r>
      <w:proofErr w:type="spellStart"/>
      <w:r w:rsidRPr="00305A6E">
        <w:rPr>
          <w:rFonts w:ascii="Calibri" w:hAnsi="Calibri"/>
          <w:i/>
          <w:iCs/>
          <w:color w:val="1F497D" w:themeColor="text2"/>
          <w:lang w:val="en-US"/>
        </w:rPr>
        <w:t>Biotechnol</w:t>
      </w:r>
      <w:proofErr w:type="spellEnd"/>
      <w:r w:rsidRPr="00305A6E">
        <w:rPr>
          <w:rFonts w:ascii="Calibri" w:hAnsi="Calibri"/>
          <w:i/>
          <w:iCs/>
          <w:color w:val="1F497D" w:themeColor="text2"/>
          <w:lang w:val="en-US"/>
        </w:rPr>
        <w:t xml:space="preserve"> J</w:t>
      </w:r>
      <w:r w:rsidRPr="00305A6E">
        <w:rPr>
          <w:rFonts w:ascii="Calibri" w:hAnsi="Calibri"/>
          <w:color w:val="1F497D" w:themeColor="text2"/>
          <w:lang w:val="en-US"/>
        </w:rPr>
        <w:t xml:space="preserve"> 16(4)</w:t>
      </w:r>
      <w:r w:rsidRPr="00305A6E">
        <w:rPr>
          <w:rFonts w:ascii="Calibri" w:hAnsi="Calibri"/>
          <w:b/>
          <w:bCs/>
          <w:color w:val="1F497D" w:themeColor="text2"/>
          <w:lang w:val="en-US"/>
        </w:rPr>
        <w:t>,</w:t>
      </w:r>
      <w:r w:rsidRPr="00305A6E">
        <w:rPr>
          <w:rFonts w:ascii="Calibri" w:hAnsi="Calibri"/>
          <w:color w:val="1F497D" w:themeColor="text2"/>
          <w:lang w:val="en-US"/>
        </w:rPr>
        <w:t xml:space="preserve"> 902-910. </w:t>
      </w:r>
      <w:proofErr w:type="spellStart"/>
      <w:r w:rsidRPr="00305A6E">
        <w:rPr>
          <w:rFonts w:ascii="Calibri" w:hAnsi="Calibri"/>
          <w:color w:val="1F497D" w:themeColor="text2"/>
          <w:lang w:val="en-US"/>
        </w:rPr>
        <w:t>doi</w:t>
      </w:r>
      <w:proofErr w:type="spellEnd"/>
      <w:r w:rsidRPr="00305A6E">
        <w:rPr>
          <w:rFonts w:ascii="Calibri" w:hAnsi="Calibri"/>
          <w:color w:val="1F497D" w:themeColor="text2"/>
          <w:lang w:val="en-US"/>
        </w:rPr>
        <w:t>: 10.1111/pbi.12837.</w:t>
      </w:r>
    </w:p>
    <w:p w:rsidR="00305A6E" w:rsidRPr="00305A6E" w:rsidRDefault="00305A6E" w:rsidP="00305A6E">
      <w:pPr>
        <w:spacing w:after="0" w:line="240" w:lineRule="auto"/>
        <w:ind w:left="720" w:hanging="720"/>
        <w:rPr>
          <w:rFonts w:ascii="Calibri" w:hAnsi="Calibri"/>
          <w:color w:val="1F497D" w:themeColor="text2"/>
          <w:lang w:val="en-US"/>
        </w:rPr>
      </w:pPr>
      <w:r w:rsidRPr="00305A6E">
        <w:rPr>
          <w:rFonts w:ascii="Calibri" w:hAnsi="Calibri"/>
          <w:color w:val="1F497D" w:themeColor="text2"/>
        </w:rPr>
        <w:t xml:space="preserve">Wang, Y., Cheng, X., Shan, Q., Zhang, Y., Liu, J., Gao, C., et al. </w:t>
      </w:r>
      <w:r w:rsidRPr="00305A6E">
        <w:rPr>
          <w:rFonts w:ascii="Calibri" w:hAnsi="Calibri"/>
          <w:color w:val="1F497D" w:themeColor="text2"/>
          <w:lang w:val="en-US"/>
        </w:rPr>
        <w:t xml:space="preserve">(2014). Simultaneous editing of three </w:t>
      </w:r>
      <w:proofErr w:type="spellStart"/>
      <w:r w:rsidRPr="00305A6E">
        <w:rPr>
          <w:rFonts w:ascii="Calibri" w:hAnsi="Calibri"/>
          <w:color w:val="1F497D" w:themeColor="text2"/>
          <w:lang w:val="en-US"/>
        </w:rPr>
        <w:t>homoeoalleles</w:t>
      </w:r>
      <w:proofErr w:type="spellEnd"/>
      <w:r w:rsidRPr="00305A6E">
        <w:rPr>
          <w:rFonts w:ascii="Calibri" w:hAnsi="Calibri"/>
          <w:color w:val="1F497D" w:themeColor="text2"/>
          <w:lang w:val="en-US"/>
        </w:rPr>
        <w:t xml:space="preserve"> in </w:t>
      </w:r>
      <w:proofErr w:type="spellStart"/>
      <w:r w:rsidRPr="00305A6E">
        <w:rPr>
          <w:rFonts w:ascii="Calibri" w:hAnsi="Calibri"/>
          <w:color w:val="1F497D" w:themeColor="text2"/>
          <w:lang w:val="en-US"/>
        </w:rPr>
        <w:t>hexaploid</w:t>
      </w:r>
      <w:proofErr w:type="spellEnd"/>
      <w:r w:rsidRPr="00305A6E">
        <w:rPr>
          <w:rFonts w:ascii="Calibri" w:hAnsi="Calibri"/>
          <w:color w:val="1F497D" w:themeColor="text2"/>
          <w:lang w:val="en-US"/>
        </w:rPr>
        <w:t xml:space="preserve"> bread wheat confers heritable resistance to powdery mildew. </w:t>
      </w:r>
      <w:r w:rsidRPr="00305A6E">
        <w:rPr>
          <w:rFonts w:ascii="Calibri" w:hAnsi="Calibri"/>
          <w:i/>
          <w:iCs/>
          <w:color w:val="1F497D" w:themeColor="text2"/>
          <w:lang w:val="en-US"/>
        </w:rPr>
        <w:t>Nature Biotechnology</w:t>
      </w:r>
      <w:r w:rsidRPr="00305A6E">
        <w:rPr>
          <w:rFonts w:ascii="Calibri" w:hAnsi="Calibri"/>
          <w:color w:val="1F497D" w:themeColor="text2"/>
          <w:lang w:val="en-US"/>
        </w:rPr>
        <w:t xml:space="preserve"> 32(9)</w:t>
      </w:r>
      <w:r w:rsidRPr="00305A6E">
        <w:rPr>
          <w:rFonts w:ascii="Calibri" w:hAnsi="Calibri"/>
          <w:b/>
          <w:bCs/>
          <w:color w:val="1F497D" w:themeColor="text2"/>
          <w:lang w:val="en-US"/>
        </w:rPr>
        <w:t>,</w:t>
      </w:r>
      <w:r w:rsidRPr="00305A6E">
        <w:rPr>
          <w:rFonts w:ascii="Calibri" w:hAnsi="Calibri"/>
          <w:color w:val="1F497D" w:themeColor="text2"/>
          <w:lang w:val="en-US"/>
        </w:rPr>
        <w:t xml:space="preserve"> 947-951. </w:t>
      </w:r>
      <w:proofErr w:type="spellStart"/>
      <w:r w:rsidRPr="00305A6E">
        <w:rPr>
          <w:rFonts w:ascii="Calibri" w:hAnsi="Calibri"/>
          <w:color w:val="1F497D" w:themeColor="text2"/>
          <w:lang w:val="en-US"/>
        </w:rPr>
        <w:t>doi</w:t>
      </w:r>
      <w:proofErr w:type="spellEnd"/>
      <w:r w:rsidRPr="00305A6E">
        <w:rPr>
          <w:rFonts w:ascii="Calibri" w:hAnsi="Calibri"/>
          <w:color w:val="1F497D" w:themeColor="text2"/>
          <w:lang w:val="en-US"/>
        </w:rPr>
        <w:t>: 10.1038/nbt.2969.</w:t>
      </w:r>
    </w:p>
    <w:p w:rsidR="00305A6E" w:rsidRPr="00305A6E" w:rsidRDefault="00305A6E" w:rsidP="00305A6E">
      <w:pPr>
        <w:spacing w:after="0" w:line="240" w:lineRule="auto"/>
        <w:ind w:left="720" w:hanging="720"/>
        <w:rPr>
          <w:rFonts w:ascii="Calibri" w:hAnsi="Calibri"/>
          <w:color w:val="1F497D" w:themeColor="text2"/>
          <w:lang w:val="en-US"/>
        </w:rPr>
      </w:pPr>
      <w:r w:rsidRPr="00305A6E">
        <w:rPr>
          <w:rFonts w:ascii="Calibri" w:hAnsi="Calibri"/>
          <w:color w:val="1F497D" w:themeColor="text2"/>
          <w:lang w:val="en-US"/>
        </w:rPr>
        <w:t xml:space="preserve">Xu, R.F., Yang, Y.C., Qin, R.Y., Li, H., </w:t>
      </w:r>
      <w:proofErr w:type="spellStart"/>
      <w:r w:rsidRPr="00305A6E">
        <w:rPr>
          <w:rFonts w:ascii="Calibri" w:hAnsi="Calibri"/>
          <w:color w:val="1F497D" w:themeColor="text2"/>
          <w:lang w:val="en-US"/>
        </w:rPr>
        <w:t>Qiu</w:t>
      </w:r>
      <w:proofErr w:type="spellEnd"/>
      <w:r w:rsidRPr="00305A6E">
        <w:rPr>
          <w:rFonts w:ascii="Calibri" w:hAnsi="Calibri"/>
          <w:color w:val="1F497D" w:themeColor="text2"/>
          <w:lang w:val="en-US"/>
        </w:rPr>
        <w:t xml:space="preserve">, C.H., Li, L., et al. (2016). Rapid improvement of grain weight via highly efficient CRISPR/Cas9-mediated multiplex genome editing in rice. </w:t>
      </w:r>
      <w:r w:rsidRPr="00305A6E">
        <w:rPr>
          <w:rFonts w:ascii="Calibri" w:hAnsi="Calibri"/>
          <w:i/>
          <w:iCs/>
          <w:color w:val="1F497D" w:themeColor="text2"/>
          <w:lang w:val="en-US"/>
        </w:rPr>
        <w:t>Journal of Genetics and Genomics</w:t>
      </w:r>
      <w:r w:rsidRPr="00305A6E">
        <w:rPr>
          <w:rFonts w:ascii="Calibri" w:hAnsi="Calibri"/>
          <w:color w:val="1F497D" w:themeColor="text2"/>
          <w:lang w:val="en-US"/>
        </w:rPr>
        <w:t xml:space="preserve"> 43(8)</w:t>
      </w:r>
      <w:r w:rsidRPr="00305A6E">
        <w:rPr>
          <w:rFonts w:ascii="Calibri" w:hAnsi="Calibri"/>
          <w:b/>
          <w:bCs/>
          <w:color w:val="1F497D" w:themeColor="text2"/>
          <w:lang w:val="en-US"/>
        </w:rPr>
        <w:t>,</w:t>
      </w:r>
      <w:r w:rsidRPr="00305A6E">
        <w:rPr>
          <w:rFonts w:ascii="Calibri" w:hAnsi="Calibri"/>
          <w:color w:val="1F497D" w:themeColor="text2"/>
          <w:lang w:val="en-US"/>
        </w:rPr>
        <w:t xml:space="preserve"> 529-532. </w:t>
      </w:r>
      <w:proofErr w:type="spellStart"/>
      <w:r w:rsidRPr="00305A6E">
        <w:rPr>
          <w:rFonts w:ascii="Calibri" w:hAnsi="Calibri"/>
          <w:color w:val="1F497D" w:themeColor="text2"/>
          <w:lang w:val="en-US"/>
        </w:rPr>
        <w:t>doi</w:t>
      </w:r>
      <w:proofErr w:type="spellEnd"/>
      <w:r w:rsidRPr="00305A6E">
        <w:rPr>
          <w:rFonts w:ascii="Calibri" w:hAnsi="Calibri"/>
          <w:color w:val="1F497D" w:themeColor="text2"/>
          <w:lang w:val="en-US"/>
        </w:rPr>
        <w:t>: 10.1016/j.jgg.2016.07.003.</w:t>
      </w:r>
    </w:p>
    <w:p w:rsidR="00305A6E" w:rsidRPr="00305A6E" w:rsidRDefault="00305A6E" w:rsidP="00305A6E">
      <w:pPr>
        <w:spacing w:line="240" w:lineRule="auto"/>
        <w:ind w:left="720" w:hanging="720"/>
        <w:rPr>
          <w:rFonts w:ascii="Calibri" w:hAnsi="Calibri"/>
          <w:color w:val="1F497D" w:themeColor="text2"/>
          <w:lang w:val="en-US"/>
        </w:rPr>
      </w:pPr>
      <w:proofErr w:type="spellStart"/>
      <w:r w:rsidRPr="00305A6E">
        <w:rPr>
          <w:rFonts w:ascii="Calibri" w:hAnsi="Calibri"/>
          <w:color w:val="1F497D" w:themeColor="text2"/>
          <w:lang w:val="en-US"/>
        </w:rPr>
        <w:t>Zsögön</w:t>
      </w:r>
      <w:proofErr w:type="spellEnd"/>
      <w:r w:rsidRPr="00305A6E">
        <w:rPr>
          <w:rFonts w:ascii="Calibri" w:hAnsi="Calibri"/>
          <w:color w:val="1F497D" w:themeColor="text2"/>
          <w:lang w:val="en-US"/>
        </w:rPr>
        <w:t xml:space="preserve">, A., </w:t>
      </w:r>
      <w:proofErr w:type="spellStart"/>
      <w:r w:rsidRPr="00305A6E">
        <w:rPr>
          <w:rFonts w:ascii="Calibri" w:hAnsi="Calibri"/>
          <w:color w:val="1F497D" w:themeColor="text2"/>
          <w:lang w:val="en-US"/>
        </w:rPr>
        <w:t>Čermák</w:t>
      </w:r>
      <w:proofErr w:type="spellEnd"/>
      <w:r w:rsidRPr="00305A6E">
        <w:rPr>
          <w:rFonts w:ascii="Calibri" w:hAnsi="Calibri"/>
          <w:color w:val="1F497D" w:themeColor="text2"/>
          <w:lang w:val="en-US"/>
        </w:rPr>
        <w:t xml:space="preserve">, T., Naves, E.R., </w:t>
      </w:r>
      <w:proofErr w:type="spellStart"/>
      <w:r w:rsidRPr="00305A6E">
        <w:rPr>
          <w:rFonts w:ascii="Calibri" w:hAnsi="Calibri"/>
          <w:color w:val="1F497D" w:themeColor="text2"/>
          <w:lang w:val="en-US"/>
        </w:rPr>
        <w:t>Notini</w:t>
      </w:r>
      <w:proofErr w:type="spellEnd"/>
      <w:r w:rsidRPr="00305A6E">
        <w:rPr>
          <w:rFonts w:ascii="Calibri" w:hAnsi="Calibri"/>
          <w:color w:val="1F497D" w:themeColor="text2"/>
          <w:lang w:val="en-US"/>
        </w:rPr>
        <w:t xml:space="preserve">, M.M., </w:t>
      </w:r>
      <w:proofErr w:type="spellStart"/>
      <w:r w:rsidRPr="00305A6E">
        <w:rPr>
          <w:rFonts w:ascii="Calibri" w:hAnsi="Calibri"/>
          <w:color w:val="1F497D" w:themeColor="text2"/>
          <w:lang w:val="en-US"/>
        </w:rPr>
        <w:t>Edel</w:t>
      </w:r>
      <w:proofErr w:type="spellEnd"/>
      <w:r w:rsidRPr="00305A6E">
        <w:rPr>
          <w:rFonts w:ascii="Calibri" w:hAnsi="Calibri"/>
          <w:color w:val="1F497D" w:themeColor="text2"/>
          <w:lang w:val="en-US"/>
        </w:rPr>
        <w:t xml:space="preserve">, K.H., </w:t>
      </w:r>
      <w:proofErr w:type="spellStart"/>
      <w:r w:rsidRPr="00305A6E">
        <w:rPr>
          <w:rFonts w:ascii="Calibri" w:hAnsi="Calibri"/>
          <w:color w:val="1F497D" w:themeColor="text2"/>
          <w:lang w:val="en-US"/>
        </w:rPr>
        <w:t>Weinl</w:t>
      </w:r>
      <w:proofErr w:type="spellEnd"/>
      <w:r w:rsidRPr="00305A6E">
        <w:rPr>
          <w:rFonts w:ascii="Calibri" w:hAnsi="Calibri"/>
          <w:color w:val="1F497D" w:themeColor="text2"/>
          <w:lang w:val="en-US"/>
        </w:rPr>
        <w:t xml:space="preserve">, S., et al. (2018). De novo domestication of wild tomato using genome editing. </w:t>
      </w:r>
      <w:r w:rsidRPr="00305A6E">
        <w:rPr>
          <w:rFonts w:ascii="Calibri" w:hAnsi="Calibri"/>
          <w:i/>
          <w:iCs/>
          <w:color w:val="1F497D" w:themeColor="text2"/>
          <w:lang w:val="en-US"/>
        </w:rPr>
        <w:t>Nature Biotechnology</w:t>
      </w:r>
      <w:r w:rsidRPr="00305A6E">
        <w:rPr>
          <w:rFonts w:ascii="Calibri" w:hAnsi="Calibri"/>
          <w:color w:val="1F497D" w:themeColor="text2"/>
          <w:lang w:val="en-US"/>
        </w:rPr>
        <w:t xml:space="preserve"> 36</w:t>
      </w:r>
      <w:r w:rsidRPr="00305A6E">
        <w:rPr>
          <w:rFonts w:ascii="Calibri" w:hAnsi="Calibri"/>
          <w:b/>
          <w:bCs/>
          <w:color w:val="1F497D" w:themeColor="text2"/>
          <w:lang w:val="en-US"/>
        </w:rPr>
        <w:t>,</w:t>
      </w:r>
      <w:r w:rsidRPr="00305A6E">
        <w:rPr>
          <w:rFonts w:ascii="Calibri" w:hAnsi="Calibri"/>
          <w:color w:val="1F497D" w:themeColor="text2"/>
          <w:lang w:val="en-US"/>
        </w:rPr>
        <w:t xml:space="preserve"> 1211. </w:t>
      </w:r>
      <w:proofErr w:type="spellStart"/>
      <w:r w:rsidRPr="00305A6E">
        <w:rPr>
          <w:rFonts w:ascii="Calibri" w:hAnsi="Calibri"/>
          <w:color w:val="1F497D" w:themeColor="text2"/>
          <w:lang w:val="en-US"/>
        </w:rPr>
        <w:t>doi</w:t>
      </w:r>
      <w:proofErr w:type="spellEnd"/>
      <w:r w:rsidRPr="00305A6E">
        <w:rPr>
          <w:rFonts w:ascii="Calibri" w:hAnsi="Calibri"/>
          <w:color w:val="1F497D" w:themeColor="text2"/>
          <w:lang w:val="en-US"/>
        </w:rPr>
        <w:t>: 10.1038/nbt.4272</w:t>
      </w:r>
    </w:p>
    <w:p w:rsidR="00A01326" w:rsidRDefault="00A01326" w:rsidP="00A01326">
      <w:pPr>
        <w:pStyle w:val="NurText"/>
        <w:rPr>
          <w:lang w:val="en-CA"/>
        </w:rPr>
      </w:pPr>
      <w:r>
        <w:rPr>
          <w:lang w:val="en-CA"/>
        </w:rPr>
        <w:t> </w:t>
      </w:r>
    </w:p>
    <w:p w:rsidR="00305A6E" w:rsidRDefault="00305A6E" w:rsidP="00A01326">
      <w:pPr>
        <w:pStyle w:val="NurText"/>
        <w:rPr>
          <w:lang w:val="en-CA"/>
        </w:rPr>
      </w:pPr>
    </w:p>
    <w:p w:rsidR="00A01326" w:rsidRDefault="00A01326" w:rsidP="00A01326">
      <w:pPr>
        <w:pStyle w:val="NurText"/>
        <w:rPr>
          <w:lang w:val="en-CA"/>
        </w:rPr>
      </w:pPr>
      <w:r>
        <w:rPr>
          <w:lang w:val="en-CA"/>
        </w:rPr>
        <w:t>(c)           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and</w:t>
      </w:r>
    </w:p>
    <w:p w:rsidR="00305A6E" w:rsidRDefault="00305A6E" w:rsidP="00A01326">
      <w:pPr>
        <w:pStyle w:val="NurText"/>
        <w:rPr>
          <w:lang w:val="en-CA"/>
        </w:rPr>
      </w:pPr>
    </w:p>
    <w:p w:rsidR="00305A6E" w:rsidRPr="00305A6E" w:rsidRDefault="00305A6E" w:rsidP="00305A6E">
      <w:pPr>
        <w:rPr>
          <w:rFonts w:ascii="Calibri" w:eastAsia="Calibri" w:hAnsi="Calibri" w:cs="Times New Roman"/>
          <w:color w:val="1F497D"/>
          <w:u w:val="single"/>
          <w:lang w:val="en-GB"/>
        </w:rPr>
      </w:pPr>
      <w:r w:rsidRPr="00305A6E">
        <w:rPr>
          <w:rFonts w:ascii="Calibri" w:eastAsia="Calibri" w:hAnsi="Calibri" w:cs="Times New Roman"/>
          <w:color w:val="1F497D"/>
          <w:u w:val="single"/>
          <w:lang w:val="en-GB"/>
        </w:rPr>
        <w:t>Negative impacts on the environment and human health</w:t>
      </w:r>
    </w:p>
    <w:p w:rsidR="00305A6E" w:rsidRPr="00305A6E" w:rsidRDefault="00305A6E" w:rsidP="00305A6E">
      <w:pPr>
        <w:spacing w:after="0" w:line="240" w:lineRule="auto"/>
        <w:rPr>
          <w:rFonts w:ascii="Calibri" w:eastAsia="Calibri" w:hAnsi="Calibri" w:cs="Times New Roman"/>
          <w:color w:val="1F497D"/>
          <w:lang w:val="en-GB"/>
        </w:rPr>
      </w:pPr>
      <w:r>
        <w:rPr>
          <w:rFonts w:ascii="Calibri" w:eastAsia="Calibri" w:hAnsi="Calibri" w:cs="Times New Roman"/>
          <w:color w:val="1F497D"/>
          <w:lang w:val="en-GB"/>
        </w:rPr>
        <w:t xml:space="preserve">Environmental impacts, including those on </w:t>
      </w:r>
      <w:r w:rsidRPr="00305A6E">
        <w:rPr>
          <w:rFonts w:ascii="Calibri" w:eastAsia="Calibri" w:hAnsi="Calibri" w:cs="Times New Roman"/>
          <w:color w:val="1F497D"/>
          <w:lang w:val="en-GB"/>
        </w:rPr>
        <w:t>biodiversity</w:t>
      </w:r>
      <w:r>
        <w:rPr>
          <w:rFonts w:ascii="Calibri" w:eastAsia="Calibri" w:hAnsi="Calibri" w:cs="Times New Roman"/>
          <w:color w:val="1F497D"/>
          <w:lang w:val="en-GB"/>
        </w:rPr>
        <w:t>,</w:t>
      </w:r>
      <w:r w:rsidRPr="00305A6E">
        <w:rPr>
          <w:rFonts w:ascii="Calibri" w:eastAsia="Calibri" w:hAnsi="Calibri" w:cs="Times New Roman"/>
          <w:color w:val="1F497D"/>
          <w:lang w:val="en-GB"/>
        </w:rPr>
        <w:t xml:space="preserve"> of organisms containing engineered gene drives (gene drive organisms; GDOs) are likely to occur if GDOs are developed that intentionally alter wild populations and are able to spread </w:t>
      </w:r>
      <w:r>
        <w:rPr>
          <w:rFonts w:ascii="Calibri" w:eastAsia="Calibri" w:hAnsi="Calibri" w:cs="Times New Roman"/>
          <w:color w:val="1F497D"/>
          <w:lang w:val="en-GB"/>
        </w:rPr>
        <w:t xml:space="preserve">in an </w:t>
      </w:r>
      <w:r w:rsidRPr="00305A6E">
        <w:rPr>
          <w:rFonts w:ascii="Calibri" w:eastAsia="Calibri" w:hAnsi="Calibri" w:cs="Times New Roman"/>
          <w:color w:val="1F497D"/>
          <w:lang w:val="en-GB"/>
        </w:rPr>
        <w:t>unlimited</w:t>
      </w:r>
      <w:r>
        <w:rPr>
          <w:rFonts w:ascii="Calibri" w:eastAsia="Calibri" w:hAnsi="Calibri" w:cs="Times New Roman"/>
          <w:color w:val="1F497D"/>
          <w:lang w:val="en-GB"/>
        </w:rPr>
        <w:t xml:space="preserve"> manner</w:t>
      </w:r>
      <w:r w:rsidRPr="00305A6E">
        <w:rPr>
          <w:rFonts w:ascii="Calibri" w:eastAsia="Calibri" w:hAnsi="Calibri" w:cs="Times New Roman"/>
          <w:color w:val="1F497D"/>
          <w:lang w:val="en-GB"/>
        </w:rPr>
        <w:t xml:space="preserve">. The intended genomic changes have the potential to alter not only target populations and species but also non-target species, in case cross-breeding or hybridisation occurs between species. Gene flow between individuals and transfer of the gene drive mechanism together with cargo genes within a target population is the inherent and intended characteristic of all gene drive applications. Gene drive applications which aim at suppressing target populations of vector-transmitting mosquitoes may also affect related species, as hybridization and interspecific gene flow between different mosquito species have been documented. Also intraspecific hybridization within mosquito species is likely to be of relevance. </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Due to the self-sustaining character of the edited genome in GDOs, evolutionary responses of organisms to the gene drive mechanism have been considered. The occurrence of resistance to gene drive applications is one of the most frequently discussed risks of this new technology. Resistance can compromise the functionality and effectiveness of the GDO and of the potential disease control </w:t>
      </w:r>
      <w:r w:rsidRPr="00305A6E">
        <w:rPr>
          <w:rFonts w:ascii="Calibri" w:eastAsia="Calibri" w:hAnsi="Calibri" w:cs="Times New Roman"/>
          <w:color w:val="1F497D"/>
          <w:lang w:val="en-GB"/>
        </w:rPr>
        <w:lastRenderedPageBreak/>
        <w:t>strategy, in case human pathogen vectors are targeted. This may have profound implications for human health. Also long-term epidemiological consequences, e.g. due to altered virulence or transmission of pathogens to mosquitoes and humans have been predicted, as well as changes in the biology of the vector (e.g. host range, “vector-switching”). In addition, impacts on existing control strategies of pests or disease-carrying vector species may be relevant, such as a reduction of the conventional management efficacy. Biosafety risks of GDOs may be similar to those of other GMOs, however raising additional concerns due to their potentially unlimited spread through wild populations and ecosystems. Such risks refer to the complete eradication of species, negative impact</w:t>
      </w:r>
      <w:r>
        <w:rPr>
          <w:rFonts w:ascii="Calibri" w:eastAsia="Calibri" w:hAnsi="Calibri" w:cs="Times New Roman"/>
          <w:color w:val="1F497D"/>
          <w:lang w:val="en-GB"/>
        </w:rPr>
        <w:t>s on non-</w:t>
      </w:r>
      <w:r w:rsidRPr="00305A6E">
        <w:rPr>
          <w:rFonts w:ascii="Calibri" w:eastAsia="Calibri" w:hAnsi="Calibri" w:cs="Times New Roman"/>
          <w:color w:val="1F497D"/>
          <w:lang w:val="en-GB"/>
        </w:rPr>
        <w:t>target populations, other organisms and biodiversity. For example, food chain effects such as the loss of prey and important food sources for higher trophic levels may be relevant when applying suppression drives. Depending on the specific application, effects on predators, prey species, competitors or complex ecological functions may occur. The depletion of local or global populations of native and wild species communities, genetic diversity and change</w:t>
      </w:r>
      <w:r>
        <w:rPr>
          <w:rFonts w:ascii="Calibri" w:eastAsia="Calibri" w:hAnsi="Calibri" w:cs="Times New Roman"/>
          <w:color w:val="1F497D"/>
          <w:lang w:val="en-GB"/>
        </w:rPr>
        <w:t>s in ecological interactions have</w:t>
      </w:r>
      <w:r w:rsidRPr="00305A6E">
        <w:rPr>
          <w:rFonts w:ascii="Calibri" w:eastAsia="Calibri" w:hAnsi="Calibri" w:cs="Times New Roman"/>
          <w:color w:val="1F497D"/>
          <w:lang w:val="en-GB"/>
        </w:rPr>
        <w:t xml:space="preserve"> been mentioned. Evolutionary responses may also refer to changes in mating systems of target plant populations as response to suppression drives. In particular, major ecological threats due to the unanticipated behaviour and uncertain effects of GDOs cannot be excluded if GDOs become invasive in wild populations. </w:t>
      </w:r>
    </w:p>
    <w:p w:rsidR="00305A6E" w:rsidRPr="00305A6E" w:rsidRDefault="00305A6E" w:rsidP="00305A6E">
      <w:pPr>
        <w:spacing w:after="0" w:line="240" w:lineRule="auto"/>
        <w:rPr>
          <w:rFonts w:ascii="Calibri" w:eastAsia="Calibri" w:hAnsi="Calibri" w:cs="Times New Roman"/>
          <w:color w:val="1F497D"/>
          <w:lang w:val="en-GB"/>
        </w:rPr>
      </w:pPr>
    </w:p>
    <w:p w:rsidR="00305A6E" w:rsidRPr="00305A6E" w:rsidRDefault="00305A6E" w:rsidP="00305A6E">
      <w:pPr>
        <w:spacing w:after="0" w:line="240" w:lineRule="auto"/>
        <w:rPr>
          <w:rFonts w:ascii="Calibri" w:eastAsia="Calibri" w:hAnsi="Calibri" w:cs="Times New Roman"/>
          <w:color w:val="1F497D"/>
          <w:u w:val="single"/>
          <w:lang w:val="en-GB"/>
        </w:rPr>
      </w:pPr>
      <w:r w:rsidRPr="00305A6E">
        <w:rPr>
          <w:rFonts w:ascii="Calibri" w:eastAsia="Calibri" w:hAnsi="Calibri" w:cs="Times New Roman"/>
          <w:color w:val="1F497D"/>
          <w:u w:val="single"/>
          <w:lang w:val="en-GB"/>
        </w:rPr>
        <w:t>Cultural and socioeconomic impacts</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For releases of GDOs also other than environmental and human health implications have been discussed. The fact that GDOs can spread at long distances and across geographic regions implies that GDOs can potentially affect communities beyond the targeted release area. This triggered concerns regarding the regulation, governance, and control of GDO releases.  Scientists therefore call for an early and extensive involvement of stakeholders and local communities when releases are planned. Socio-cultural concerns and economic issues such as benefits and welfare impacts for GDOs have also been addressed, as well as implications for other types of agriculture, such as organic farming.  </w:t>
      </w:r>
    </w:p>
    <w:p w:rsidR="00305A6E" w:rsidRPr="00305A6E" w:rsidRDefault="00305A6E" w:rsidP="00305A6E">
      <w:pPr>
        <w:spacing w:after="0" w:line="240" w:lineRule="auto"/>
        <w:rPr>
          <w:rFonts w:ascii="Calibri" w:eastAsia="Calibri" w:hAnsi="Calibri" w:cs="Times New Roman"/>
          <w:color w:val="1F497D"/>
          <w:lang w:val="en-GB"/>
        </w:rPr>
      </w:pPr>
    </w:p>
    <w:p w:rsidR="00305A6E" w:rsidRPr="00305A6E" w:rsidRDefault="00305A6E" w:rsidP="00305A6E">
      <w:pPr>
        <w:spacing w:after="0" w:line="240" w:lineRule="auto"/>
        <w:rPr>
          <w:rFonts w:ascii="Calibri" w:eastAsia="Calibri" w:hAnsi="Calibri" w:cs="Times New Roman"/>
          <w:color w:val="1F497D"/>
          <w:u w:val="single"/>
          <w:lang w:val="en-GB"/>
        </w:rPr>
      </w:pPr>
      <w:r w:rsidRPr="00305A6E">
        <w:rPr>
          <w:rFonts w:ascii="Calibri" w:eastAsia="Calibri" w:hAnsi="Calibri" w:cs="Times New Roman"/>
          <w:color w:val="1F497D"/>
          <w:u w:val="single"/>
          <w:lang w:val="en-GB"/>
        </w:rPr>
        <w:t>Literature</w:t>
      </w:r>
    </w:p>
    <w:p w:rsidR="005D754B" w:rsidRDefault="005D754B" w:rsidP="00305A6E">
      <w:pPr>
        <w:spacing w:after="0" w:line="240" w:lineRule="auto"/>
        <w:rPr>
          <w:rFonts w:ascii="Calibri" w:eastAsia="Calibri" w:hAnsi="Calibri" w:cs="Times New Roman"/>
          <w:color w:val="1F497D"/>
          <w:lang w:val="en-GB"/>
        </w:rPr>
      </w:pPr>
    </w:p>
    <w:p w:rsidR="00305A6E" w:rsidRPr="00305A6E" w:rsidRDefault="00305A6E" w:rsidP="00305A6E">
      <w:pPr>
        <w:spacing w:after="0" w:line="240" w:lineRule="auto"/>
        <w:rPr>
          <w:rFonts w:ascii="Calibri" w:eastAsia="Calibri" w:hAnsi="Calibri" w:cs="Times New Roman"/>
          <w:color w:val="1F497D"/>
          <w:lang w:val="en-GB"/>
        </w:rPr>
      </w:pPr>
      <w:proofErr w:type="spellStart"/>
      <w:r w:rsidRPr="00305A6E">
        <w:rPr>
          <w:rFonts w:ascii="Calibri" w:eastAsia="Calibri" w:hAnsi="Calibri" w:cs="Times New Roman"/>
          <w:color w:val="1F497D"/>
          <w:lang w:val="en-GB"/>
        </w:rPr>
        <w:t>Baltzegar</w:t>
      </w:r>
      <w:proofErr w:type="spellEnd"/>
      <w:r w:rsidRPr="00305A6E">
        <w:rPr>
          <w:rFonts w:ascii="Calibri" w:eastAsia="Calibri" w:hAnsi="Calibri" w:cs="Times New Roman"/>
          <w:color w:val="1F497D"/>
          <w:lang w:val="en-GB"/>
        </w:rPr>
        <w:t xml:space="preserve"> J., Barnes J. C., </w:t>
      </w:r>
      <w:proofErr w:type="spellStart"/>
      <w:r w:rsidRPr="00305A6E">
        <w:rPr>
          <w:rFonts w:ascii="Calibri" w:eastAsia="Calibri" w:hAnsi="Calibri" w:cs="Times New Roman"/>
          <w:color w:val="1F497D"/>
          <w:lang w:val="en-GB"/>
        </w:rPr>
        <w:t>Elsensohn</w:t>
      </w:r>
      <w:proofErr w:type="spellEnd"/>
      <w:r w:rsidRPr="00305A6E">
        <w:rPr>
          <w:rFonts w:ascii="Calibri" w:eastAsia="Calibri" w:hAnsi="Calibri" w:cs="Times New Roman"/>
          <w:color w:val="1F497D"/>
          <w:lang w:val="en-GB"/>
        </w:rPr>
        <w:t xml:space="preserve"> J. E., </w:t>
      </w:r>
      <w:proofErr w:type="spellStart"/>
      <w:r w:rsidRPr="00305A6E">
        <w:rPr>
          <w:rFonts w:ascii="Calibri" w:eastAsia="Calibri" w:hAnsi="Calibri" w:cs="Times New Roman"/>
          <w:color w:val="1F497D"/>
          <w:lang w:val="en-GB"/>
        </w:rPr>
        <w:t>Gutzmann</w:t>
      </w:r>
      <w:proofErr w:type="spellEnd"/>
      <w:r w:rsidRPr="00305A6E">
        <w:rPr>
          <w:rFonts w:ascii="Calibri" w:eastAsia="Calibri" w:hAnsi="Calibri" w:cs="Times New Roman"/>
          <w:color w:val="1F497D"/>
          <w:lang w:val="en-GB"/>
        </w:rPr>
        <w:t xml:space="preserve"> N., Jones M. S., King S., </w:t>
      </w:r>
      <w:proofErr w:type="spellStart"/>
      <w:r w:rsidRPr="00305A6E">
        <w:rPr>
          <w:rFonts w:ascii="Calibri" w:eastAsia="Calibri" w:hAnsi="Calibri" w:cs="Times New Roman"/>
          <w:color w:val="1F497D"/>
          <w:lang w:val="en-GB"/>
        </w:rPr>
        <w:t>Sudweeks</w:t>
      </w:r>
      <w:proofErr w:type="spellEnd"/>
      <w:r w:rsidRPr="00305A6E">
        <w:rPr>
          <w:rFonts w:ascii="Calibri" w:eastAsia="Calibri" w:hAnsi="Calibri" w:cs="Times New Roman"/>
          <w:color w:val="1F497D"/>
          <w:lang w:val="en-GB"/>
        </w:rPr>
        <w:t xml:space="preserve"> J. (2018). Anticipating complexity in the deployment of gene drive insects in agriculture. J. Responsible Innovation 5 (S1): 81-97 </w:t>
      </w:r>
    </w:p>
    <w:p w:rsidR="00305A6E" w:rsidRPr="00305A6E" w:rsidRDefault="00305A6E" w:rsidP="00305A6E">
      <w:pPr>
        <w:spacing w:after="0" w:line="240" w:lineRule="auto"/>
        <w:rPr>
          <w:rFonts w:ascii="Calibri" w:eastAsia="Calibri" w:hAnsi="Calibri" w:cs="Times New Roman"/>
          <w:color w:val="1F497D"/>
          <w:lang w:val="en-GB"/>
        </w:rPr>
      </w:pPr>
      <w:proofErr w:type="spellStart"/>
      <w:r w:rsidRPr="00305A6E">
        <w:rPr>
          <w:rFonts w:ascii="Calibri" w:eastAsia="Calibri" w:hAnsi="Calibri" w:cs="Times New Roman"/>
          <w:color w:val="1F497D"/>
          <w:lang w:val="en-GB"/>
        </w:rPr>
        <w:t>Besansky</w:t>
      </w:r>
      <w:proofErr w:type="spellEnd"/>
      <w:r w:rsidRPr="00305A6E">
        <w:rPr>
          <w:rFonts w:ascii="Calibri" w:eastAsia="Calibri" w:hAnsi="Calibri" w:cs="Times New Roman"/>
          <w:color w:val="1F497D"/>
          <w:lang w:val="en-GB"/>
        </w:rPr>
        <w:t xml:space="preserve">, N. J., Lehmann, T., Fahey, G. T., </w:t>
      </w:r>
      <w:proofErr w:type="spellStart"/>
      <w:r w:rsidRPr="00305A6E">
        <w:rPr>
          <w:rFonts w:ascii="Calibri" w:eastAsia="Calibri" w:hAnsi="Calibri" w:cs="Times New Roman"/>
          <w:color w:val="1F497D"/>
          <w:lang w:val="en-GB"/>
        </w:rPr>
        <w:t>Fontenille</w:t>
      </w:r>
      <w:proofErr w:type="spellEnd"/>
      <w:r w:rsidRPr="00305A6E">
        <w:rPr>
          <w:rFonts w:ascii="Calibri" w:eastAsia="Calibri" w:hAnsi="Calibri" w:cs="Times New Roman"/>
          <w:color w:val="1F497D"/>
          <w:lang w:val="en-GB"/>
        </w:rPr>
        <w:t xml:space="preserve">, D., </w:t>
      </w:r>
      <w:proofErr w:type="spellStart"/>
      <w:r w:rsidRPr="00305A6E">
        <w:rPr>
          <w:rFonts w:ascii="Calibri" w:eastAsia="Calibri" w:hAnsi="Calibri" w:cs="Times New Roman"/>
          <w:color w:val="1F497D"/>
          <w:lang w:val="en-GB"/>
        </w:rPr>
        <w:t>Braack</w:t>
      </w:r>
      <w:proofErr w:type="spellEnd"/>
      <w:r w:rsidRPr="00305A6E">
        <w:rPr>
          <w:rFonts w:ascii="Calibri" w:eastAsia="Calibri" w:hAnsi="Calibri" w:cs="Times New Roman"/>
          <w:color w:val="1F497D"/>
          <w:lang w:val="en-GB"/>
        </w:rPr>
        <w:t xml:space="preserve">, L. E. O., Hawley, W. A., Collins, F. H. (1997): Patterns of mitochondrial variation within and between African Malaria vectors, Anopheles </w:t>
      </w:r>
      <w:proofErr w:type="spellStart"/>
      <w:r w:rsidRPr="00305A6E">
        <w:rPr>
          <w:rFonts w:ascii="Calibri" w:eastAsia="Calibri" w:hAnsi="Calibri" w:cs="Times New Roman"/>
          <w:color w:val="1F497D"/>
          <w:lang w:val="en-GB"/>
        </w:rPr>
        <w:t>gambiae</w:t>
      </w:r>
      <w:proofErr w:type="spellEnd"/>
      <w:r w:rsidRPr="00305A6E">
        <w:rPr>
          <w:rFonts w:ascii="Calibri" w:eastAsia="Calibri" w:hAnsi="Calibri" w:cs="Times New Roman"/>
          <w:color w:val="1F497D"/>
          <w:lang w:val="en-GB"/>
        </w:rPr>
        <w:t xml:space="preserve"> and A. </w:t>
      </w:r>
      <w:proofErr w:type="spellStart"/>
      <w:r w:rsidRPr="00305A6E">
        <w:rPr>
          <w:rFonts w:ascii="Calibri" w:eastAsia="Calibri" w:hAnsi="Calibri" w:cs="Times New Roman"/>
          <w:color w:val="1F497D"/>
          <w:lang w:val="en-GB"/>
        </w:rPr>
        <w:t>ambiensis</w:t>
      </w:r>
      <w:proofErr w:type="spellEnd"/>
      <w:r w:rsidRPr="00305A6E">
        <w:rPr>
          <w:rFonts w:ascii="Calibri" w:eastAsia="Calibri" w:hAnsi="Calibri" w:cs="Times New Roman"/>
          <w:color w:val="1F497D"/>
          <w:lang w:val="en-GB"/>
        </w:rPr>
        <w:t>, suggest extensive gene flow. Genetics 147 (1817): 1817-1828.</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Bull, J. J. (2015): Evolutionary decay and the prospects for long-term disease intervention using engineered insect vectors. Evolution, Medicine, and Public Health. </w:t>
      </w:r>
      <w:proofErr w:type="spellStart"/>
      <w:r w:rsidRPr="00305A6E">
        <w:rPr>
          <w:rFonts w:ascii="Calibri" w:eastAsia="Calibri" w:hAnsi="Calibri" w:cs="Times New Roman"/>
          <w:color w:val="1F497D"/>
          <w:lang w:val="en-GB"/>
        </w:rPr>
        <w:t>Doi</w:t>
      </w:r>
      <w:proofErr w:type="spellEnd"/>
      <w:r w:rsidRPr="00305A6E">
        <w:rPr>
          <w:rFonts w:ascii="Calibri" w:eastAsia="Calibri" w:hAnsi="Calibri" w:cs="Times New Roman"/>
          <w:color w:val="1F497D"/>
          <w:lang w:val="en-GB"/>
        </w:rPr>
        <w:t>: 10.1093/</w:t>
      </w:r>
      <w:proofErr w:type="spellStart"/>
      <w:r w:rsidRPr="00305A6E">
        <w:rPr>
          <w:rFonts w:ascii="Calibri" w:eastAsia="Calibri" w:hAnsi="Calibri" w:cs="Times New Roman"/>
          <w:color w:val="1F497D"/>
          <w:lang w:val="en-GB"/>
        </w:rPr>
        <w:t>emph</w:t>
      </w:r>
      <w:proofErr w:type="spellEnd"/>
      <w:r w:rsidRPr="00305A6E">
        <w:rPr>
          <w:rFonts w:ascii="Calibri" w:eastAsia="Calibri" w:hAnsi="Calibri" w:cs="Times New Roman"/>
          <w:color w:val="1F497D"/>
          <w:lang w:val="en-GB"/>
        </w:rPr>
        <w:t>/eov013</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Bull, J. J. (2016): Lethal gene drive selects inbreeding. </w:t>
      </w:r>
      <w:proofErr w:type="spellStart"/>
      <w:r w:rsidRPr="00305A6E">
        <w:rPr>
          <w:rFonts w:ascii="Calibri" w:eastAsia="Calibri" w:hAnsi="Calibri" w:cs="Times New Roman"/>
          <w:color w:val="1F497D"/>
          <w:lang w:val="en-GB"/>
        </w:rPr>
        <w:t>bioRxiv</w:t>
      </w:r>
      <w:proofErr w:type="spellEnd"/>
      <w:r w:rsidRPr="00305A6E">
        <w:rPr>
          <w:rFonts w:ascii="Calibri" w:eastAsia="Calibri" w:hAnsi="Calibri" w:cs="Times New Roman"/>
          <w:color w:val="1F497D"/>
          <w:lang w:val="en-GB"/>
        </w:rPr>
        <w:t xml:space="preserve">. </w:t>
      </w:r>
      <w:proofErr w:type="spellStart"/>
      <w:r w:rsidRPr="00305A6E">
        <w:rPr>
          <w:rFonts w:ascii="Calibri" w:eastAsia="Calibri" w:hAnsi="Calibri" w:cs="Times New Roman"/>
          <w:color w:val="1F497D"/>
          <w:lang w:val="en-GB"/>
        </w:rPr>
        <w:t>Doi</w:t>
      </w:r>
      <w:proofErr w:type="spellEnd"/>
      <w:r w:rsidRPr="00305A6E">
        <w:rPr>
          <w:rFonts w:ascii="Calibri" w:eastAsia="Calibri" w:hAnsi="Calibri" w:cs="Times New Roman"/>
          <w:color w:val="1F497D"/>
          <w:lang w:val="en-GB"/>
        </w:rPr>
        <w:t>: 10.1101/046847</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Callaway, E. (2017): Gene drives meet the resistance. Nature 542:15.</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Courtier-</w:t>
      </w:r>
      <w:proofErr w:type="spellStart"/>
      <w:r w:rsidRPr="00305A6E">
        <w:rPr>
          <w:rFonts w:ascii="Calibri" w:eastAsia="Calibri" w:hAnsi="Calibri" w:cs="Times New Roman"/>
          <w:color w:val="1F497D"/>
          <w:lang w:val="en-GB"/>
        </w:rPr>
        <w:t>Orgogozo</w:t>
      </w:r>
      <w:proofErr w:type="spellEnd"/>
      <w:r w:rsidRPr="00305A6E">
        <w:rPr>
          <w:rFonts w:ascii="Calibri" w:eastAsia="Calibri" w:hAnsi="Calibri" w:cs="Times New Roman"/>
          <w:color w:val="1F497D"/>
          <w:lang w:val="en-GB"/>
        </w:rPr>
        <w:t xml:space="preserve"> V , </w:t>
      </w:r>
      <w:proofErr w:type="spellStart"/>
      <w:r w:rsidRPr="00305A6E">
        <w:rPr>
          <w:rFonts w:ascii="Calibri" w:eastAsia="Calibri" w:hAnsi="Calibri" w:cs="Times New Roman"/>
          <w:color w:val="1F497D"/>
          <w:lang w:val="en-GB"/>
        </w:rPr>
        <w:t>Morizot</w:t>
      </w:r>
      <w:proofErr w:type="spellEnd"/>
      <w:r w:rsidRPr="00305A6E">
        <w:rPr>
          <w:rFonts w:ascii="Calibri" w:eastAsia="Calibri" w:hAnsi="Calibri" w:cs="Times New Roman"/>
          <w:color w:val="1F497D"/>
          <w:lang w:val="en-GB"/>
        </w:rPr>
        <w:t xml:space="preserve"> B, </w:t>
      </w:r>
      <w:proofErr w:type="spellStart"/>
      <w:r w:rsidRPr="00305A6E">
        <w:rPr>
          <w:rFonts w:ascii="Calibri" w:eastAsia="Calibri" w:hAnsi="Calibri" w:cs="Times New Roman"/>
          <w:color w:val="1F497D"/>
          <w:lang w:val="en-GB"/>
        </w:rPr>
        <w:t>Boëte</w:t>
      </w:r>
      <w:proofErr w:type="spellEnd"/>
      <w:r w:rsidRPr="00305A6E">
        <w:rPr>
          <w:rFonts w:ascii="Calibri" w:eastAsia="Calibri" w:hAnsi="Calibri" w:cs="Times New Roman"/>
          <w:color w:val="1F497D"/>
          <w:lang w:val="en-GB"/>
        </w:rPr>
        <w:t xml:space="preserve"> </w:t>
      </w:r>
      <w:proofErr w:type="spellStart"/>
      <w:r w:rsidRPr="00305A6E">
        <w:rPr>
          <w:rFonts w:ascii="Calibri" w:eastAsia="Calibri" w:hAnsi="Calibri" w:cs="Times New Roman"/>
          <w:color w:val="1F497D"/>
          <w:lang w:val="en-GB"/>
        </w:rPr>
        <w:t>Ch</w:t>
      </w:r>
      <w:proofErr w:type="spellEnd"/>
      <w:r w:rsidRPr="00305A6E">
        <w:rPr>
          <w:rFonts w:ascii="Calibri" w:eastAsia="Calibri" w:hAnsi="Calibri" w:cs="Times New Roman"/>
          <w:color w:val="1F497D"/>
          <w:lang w:val="en-GB"/>
        </w:rPr>
        <w:t xml:space="preserve"> (2017). Agricultural pest control with </w:t>
      </w:r>
      <w:proofErr w:type="spellStart"/>
      <w:r w:rsidRPr="00305A6E">
        <w:rPr>
          <w:rFonts w:ascii="Calibri" w:eastAsia="Calibri" w:hAnsi="Calibri" w:cs="Times New Roman"/>
          <w:color w:val="1F497D"/>
          <w:lang w:val="en-GB"/>
        </w:rPr>
        <w:t>CRISPRbased</w:t>
      </w:r>
      <w:proofErr w:type="spellEnd"/>
      <w:r w:rsidRPr="00305A6E">
        <w:rPr>
          <w:rFonts w:ascii="Calibri" w:eastAsia="Calibri" w:hAnsi="Calibri" w:cs="Times New Roman"/>
          <w:color w:val="1F497D"/>
          <w:lang w:val="en-GB"/>
        </w:rPr>
        <w:t xml:space="preserve"> gene drive: time for public debate. Should we use gene drive for pest control? EMBO Reports, May 16, 2017</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David, A. S., </w:t>
      </w:r>
      <w:proofErr w:type="spellStart"/>
      <w:r w:rsidRPr="00305A6E">
        <w:rPr>
          <w:rFonts w:ascii="Calibri" w:eastAsia="Calibri" w:hAnsi="Calibri" w:cs="Times New Roman"/>
          <w:color w:val="1F497D"/>
          <w:lang w:val="en-GB"/>
        </w:rPr>
        <w:t>Kaser</w:t>
      </w:r>
      <w:proofErr w:type="spellEnd"/>
      <w:r w:rsidRPr="00305A6E">
        <w:rPr>
          <w:rFonts w:ascii="Calibri" w:eastAsia="Calibri" w:hAnsi="Calibri" w:cs="Times New Roman"/>
          <w:color w:val="1F497D"/>
          <w:lang w:val="en-GB"/>
        </w:rPr>
        <w:t xml:space="preserve">, J. M., Morey, A.C., Roth, A. M., </w:t>
      </w:r>
      <w:proofErr w:type="spellStart"/>
      <w:r w:rsidRPr="00305A6E">
        <w:rPr>
          <w:rFonts w:ascii="Calibri" w:eastAsia="Calibri" w:hAnsi="Calibri" w:cs="Times New Roman"/>
          <w:color w:val="1F497D"/>
          <w:lang w:val="en-GB"/>
        </w:rPr>
        <w:t>Andow</w:t>
      </w:r>
      <w:proofErr w:type="spellEnd"/>
      <w:r w:rsidRPr="00305A6E">
        <w:rPr>
          <w:rFonts w:ascii="Calibri" w:eastAsia="Calibri" w:hAnsi="Calibri" w:cs="Times New Roman"/>
          <w:color w:val="1F497D"/>
          <w:lang w:val="en-GB"/>
        </w:rPr>
        <w:t>, D. A. (2013): Re-lease of genetically engineered insects: a framework to identify potential ecological effects. Ecology and Evolution 3 (11): 4000-4015.</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ETC Group (2018). Forcing the Farm. How Gene Drive Organisms could entrench industrial agriculture and threaten food sovereignty. ETC Group and Heinrich </w:t>
      </w:r>
      <w:proofErr w:type="spellStart"/>
      <w:r w:rsidRPr="00305A6E">
        <w:rPr>
          <w:rFonts w:ascii="Calibri" w:eastAsia="Calibri" w:hAnsi="Calibri" w:cs="Times New Roman"/>
          <w:color w:val="1F497D"/>
          <w:lang w:val="en-GB"/>
        </w:rPr>
        <w:t>Böll</w:t>
      </w:r>
      <w:proofErr w:type="spellEnd"/>
      <w:r w:rsidRPr="00305A6E">
        <w:rPr>
          <w:rFonts w:ascii="Calibri" w:eastAsia="Calibri" w:hAnsi="Calibri" w:cs="Times New Roman"/>
          <w:color w:val="1F497D"/>
          <w:lang w:val="en-GB"/>
        </w:rPr>
        <w:t xml:space="preserve"> Foundation, October 2018. </w:t>
      </w:r>
      <w:hyperlink r:id="rId7" w:history="1">
        <w:r w:rsidRPr="00305A6E">
          <w:rPr>
            <w:rFonts w:ascii="Calibri" w:eastAsia="Calibri" w:hAnsi="Calibri" w:cs="Times New Roman"/>
            <w:color w:val="0000FF"/>
            <w:u w:val="single"/>
            <w:lang w:val="en-GB"/>
          </w:rPr>
          <w:t>www.etcgroup.org</w:t>
        </w:r>
      </w:hyperlink>
    </w:p>
    <w:p w:rsidR="00305A6E" w:rsidRPr="00305A6E" w:rsidRDefault="00305A6E" w:rsidP="00305A6E">
      <w:pPr>
        <w:spacing w:after="0" w:line="240" w:lineRule="auto"/>
        <w:rPr>
          <w:rFonts w:ascii="Calibri" w:eastAsia="Calibri" w:hAnsi="Calibri" w:cs="Times New Roman"/>
          <w:color w:val="1F497D"/>
          <w:lang w:val="en-GB"/>
        </w:rPr>
      </w:pPr>
      <w:proofErr w:type="spellStart"/>
      <w:r w:rsidRPr="00305A6E">
        <w:rPr>
          <w:rFonts w:ascii="Calibri" w:eastAsia="Calibri" w:hAnsi="Calibri" w:cs="Times New Roman"/>
          <w:color w:val="1F497D"/>
          <w:lang w:val="en-GB"/>
        </w:rPr>
        <w:t>Kofler</w:t>
      </w:r>
      <w:proofErr w:type="spellEnd"/>
      <w:r w:rsidRPr="00305A6E">
        <w:rPr>
          <w:rFonts w:ascii="Calibri" w:eastAsia="Calibri" w:hAnsi="Calibri" w:cs="Times New Roman"/>
          <w:color w:val="1F497D"/>
          <w:lang w:val="en-GB"/>
        </w:rPr>
        <w:t xml:space="preserve"> N., Collins J. P., </w:t>
      </w:r>
      <w:proofErr w:type="spellStart"/>
      <w:r w:rsidRPr="00305A6E">
        <w:rPr>
          <w:rFonts w:ascii="Calibri" w:eastAsia="Calibri" w:hAnsi="Calibri" w:cs="Times New Roman"/>
          <w:color w:val="1F497D"/>
          <w:lang w:val="en-GB"/>
        </w:rPr>
        <w:t>Kuzma</w:t>
      </w:r>
      <w:proofErr w:type="spellEnd"/>
      <w:r w:rsidRPr="00305A6E">
        <w:rPr>
          <w:rFonts w:ascii="Calibri" w:eastAsia="Calibri" w:hAnsi="Calibri" w:cs="Times New Roman"/>
          <w:color w:val="1F497D"/>
          <w:lang w:val="en-GB"/>
        </w:rPr>
        <w:t xml:space="preserve"> J., Marris E., </w:t>
      </w:r>
      <w:proofErr w:type="spellStart"/>
      <w:r w:rsidRPr="00305A6E">
        <w:rPr>
          <w:rFonts w:ascii="Calibri" w:eastAsia="Calibri" w:hAnsi="Calibri" w:cs="Times New Roman"/>
          <w:color w:val="1F497D"/>
          <w:lang w:val="en-GB"/>
        </w:rPr>
        <w:t>Esvelt</w:t>
      </w:r>
      <w:proofErr w:type="spellEnd"/>
      <w:r w:rsidRPr="00305A6E">
        <w:rPr>
          <w:rFonts w:ascii="Calibri" w:eastAsia="Calibri" w:hAnsi="Calibri" w:cs="Times New Roman"/>
          <w:color w:val="1F497D"/>
          <w:lang w:val="en-GB"/>
        </w:rPr>
        <w:t xml:space="preserve"> K. et al. (2018). Editing nature: local roots of global governance. Science 362 (6414): 527-529.</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Lehmann T. et al. Wind-borne migration of mosquitoes and pathogens: Potential for bio-surveillance.  2018 ESA, ESC and ESBC joint annual meeting, Vancouver, November 14, 2018.</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lastRenderedPageBreak/>
        <w:t xml:space="preserve">Mitchell P. D., Brown Z., </w:t>
      </w:r>
      <w:proofErr w:type="spellStart"/>
      <w:r w:rsidRPr="00305A6E">
        <w:rPr>
          <w:rFonts w:ascii="Calibri" w:eastAsia="Calibri" w:hAnsi="Calibri" w:cs="Times New Roman"/>
          <w:color w:val="1F497D"/>
          <w:lang w:val="en-GB"/>
        </w:rPr>
        <w:t>McRoberts</w:t>
      </w:r>
      <w:proofErr w:type="spellEnd"/>
      <w:r w:rsidRPr="00305A6E">
        <w:rPr>
          <w:rFonts w:ascii="Calibri" w:eastAsia="Calibri" w:hAnsi="Calibri" w:cs="Times New Roman"/>
          <w:color w:val="1F497D"/>
          <w:lang w:val="en-GB"/>
        </w:rPr>
        <w:t xml:space="preserve"> N. (2018). Economic issues to consider for gene drives. J. Responsible Innovation 5 (S1) 180-202</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Miles, A., </w:t>
      </w:r>
      <w:proofErr w:type="spellStart"/>
      <w:r w:rsidRPr="00305A6E">
        <w:rPr>
          <w:rFonts w:ascii="Calibri" w:eastAsia="Calibri" w:hAnsi="Calibri" w:cs="Times New Roman"/>
          <w:color w:val="1F497D"/>
          <w:lang w:val="en-GB"/>
        </w:rPr>
        <w:t>Lawniczak</w:t>
      </w:r>
      <w:proofErr w:type="spellEnd"/>
      <w:r w:rsidRPr="00305A6E">
        <w:rPr>
          <w:rFonts w:ascii="Calibri" w:eastAsia="Calibri" w:hAnsi="Calibri" w:cs="Times New Roman"/>
          <w:color w:val="1F497D"/>
          <w:lang w:val="en-GB"/>
        </w:rPr>
        <w:t xml:space="preserve">, M. K. N., Donnelly, M., Kwiatkowski D. (2016): Natural diversity of the malaria vector Anopheles </w:t>
      </w:r>
      <w:proofErr w:type="spellStart"/>
      <w:r w:rsidRPr="00305A6E">
        <w:rPr>
          <w:rFonts w:ascii="Calibri" w:eastAsia="Calibri" w:hAnsi="Calibri" w:cs="Times New Roman"/>
          <w:color w:val="1F497D"/>
          <w:lang w:val="en-GB"/>
        </w:rPr>
        <w:t>gambiae</w:t>
      </w:r>
      <w:proofErr w:type="spellEnd"/>
      <w:r w:rsidRPr="00305A6E">
        <w:rPr>
          <w:rFonts w:ascii="Calibri" w:eastAsia="Calibri" w:hAnsi="Calibri" w:cs="Times New Roman"/>
          <w:color w:val="1F497D"/>
          <w:lang w:val="en-GB"/>
        </w:rPr>
        <w:t xml:space="preserve">. </w:t>
      </w:r>
      <w:proofErr w:type="spellStart"/>
      <w:r w:rsidRPr="00305A6E">
        <w:rPr>
          <w:rFonts w:ascii="Calibri" w:eastAsia="Calibri" w:hAnsi="Calibri" w:cs="Times New Roman"/>
          <w:color w:val="1F497D"/>
          <w:lang w:val="en-GB"/>
        </w:rPr>
        <w:t>bioRxiv</w:t>
      </w:r>
      <w:proofErr w:type="spellEnd"/>
      <w:r w:rsidRPr="00305A6E">
        <w:rPr>
          <w:rFonts w:ascii="Calibri" w:eastAsia="Calibri" w:hAnsi="Calibri" w:cs="Times New Roman"/>
          <w:color w:val="1F497D"/>
          <w:lang w:val="en-GB"/>
        </w:rPr>
        <w:t xml:space="preserve">. </w:t>
      </w:r>
      <w:proofErr w:type="spellStart"/>
      <w:r w:rsidRPr="00305A6E">
        <w:rPr>
          <w:rFonts w:ascii="Calibri" w:eastAsia="Calibri" w:hAnsi="Calibri" w:cs="Times New Roman"/>
          <w:color w:val="1F497D"/>
          <w:lang w:val="en-GB"/>
        </w:rPr>
        <w:t>Doi</w:t>
      </w:r>
      <w:proofErr w:type="spellEnd"/>
      <w:r w:rsidRPr="00305A6E">
        <w:rPr>
          <w:rFonts w:ascii="Calibri" w:eastAsia="Calibri" w:hAnsi="Calibri" w:cs="Times New Roman"/>
          <w:color w:val="1F497D"/>
          <w:lang w:val="en-GB"/>
        </w:rPr>
        <w:t>: 10.1101/096289.</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Murphy, B., Jansen, C., Murray, J., De </w:t>
      </w:r>
      <w:proofErr w:type="spellStart"/>
      <w:r w:rsidRPr="00305A6E">
        <w:rPr>
          <w:rFonts w:ascii="Calibri" w:eastAsia="Calibri" w:hAnsi="Calibri" w:cs="Times New Roman"/>
          <w:color w:val="1F497D"/>
          <w:lang w:val="en-GB"/>
        </w:rPr>
        <w:t>Barro</w:t>
      </w:r>
      <w:proofErr w:type="spellEnd"/>
      <w:r w:rsidRPr="00305A6E">
        <w:rPr>
          <w:rFonts w:ascii="Calibri" w:eastAsia="Calibri" w:hAnsi="Calibri" w:cs="Times New Roman"/>
          <w:color w:val="1F497D"/>
          <w:lang w:val="en-GB"/>
        </w:rPr>
        <w:t xml:space="preserve">, P. (2010): Risk analysis on the Australian release of </w:t>
      </w:r>
      <w:proofErr w:type="spellStart"/>
      <w:r w:rsidRPr="00305A6E">
        <w:rPr>
          <w:rFonts w:ascii="Calibri" w:eastAsia="Calibri" w:hAnsi="Calibri" w:cs="Times New Roman"/>
          <w:color w:val="1F497D"/>
          <w:lang w:val="en-GB"/>
        </w:rPr>
        <w:t>Aedes</w:t>
      </w:r>
      <w:proofErr w:type="spellEnd"/>
      <w:r w:rsidRPr="00305A6E">
        <w:rPr>
          <w:rFonts w:ascii="Calibri" w:eastAsia="Calibri" w:hAnsi="Calibri" w:cs="Times New Roman"/>
          <w:color w:val="1F497D"/>
          <w:lang w:val="en-GB"/>
        </w:rPr>
        <w:t xml:space="preserve"> </w:t>
      </w:r>
      <w:proofErr w:type="spellStart"/>
      <w:r w:rsidRPr="00305A6E">
        <w:rPr>
          <w:rFonts w:ascii="Calibri" w:eastAsia="Calibri" w:hAnsi="Calibri" w:cs="Times New Roman"/>
          <w:color w:val="1F497D"/>
          <w:lang w:val="en-GB"/>
        </w:rPr>
        <w:t>aegypti</w:t>
      </w:r>
      <w:proofErr w:type="spellEnd"/>
      <w:r w:rsidRPr="00305A6E">
        <w:rPr>
          <w:rFonts w:ascii="Calibri" w:eastAsia="Calibri" w:hAnsi="Calibri" w:cs="Times New Roman"/>
          <w:color w:val="1F497D"/>
          <w:lang w:val="en-GB"/>
        </w:rPr>
        <w:t xml:space="preserve"> (L.) (</w:t>
      </w:r>
      <w:proofErr w:type="spellStart"/>
      <w:r w:rsidRPr="00305A6E">
        <w:rPr>
          <w:rFonts w:ascii="Calibri" w:eastAsia="Calibri" w:hAnsi="Calibri" w:cs="Times New Roman"/>
          <w:color w:val="1F497D"/>
          <w:lang w:val="en-GB"/>
        </w:rPr>
        <w:t>Diptera</w:t>
      </w:r>
      <w:proofErr w:type="spellEnd"/>
      <w:r w:rsidRPr="00305A6E">
        <w:rPr>
          <w:rFonts w:ascii="Calibri" w:eastAsia="Calibri" w:hAnsi="Calibri" w:cs="Times New Roman"/>
          <w:color w:val="1F497D"/>
          <w:lang w:val="en-GB"/>
        </w:rPr>
        <w:t xml:space="preserve">: </w:t>
      </w:r>
      <w:proofErr w:type="spellStart"/>
      <w:r w:rsidRPr="00305A6E">
        <w:rPr>
          <w:rFonts w:ascii="Calibri" w:eastAsia="Calibri" w:hAnsi="Calibri" w:cs="Times New Roman"/>
          <w:color w:val="1F497D"/>
          <w:lang w:val="en-GB"/>
        </w:rPr>
        <w:t>Culicidae</w:t>
      </w:r>
      <w:proofErr w:type="spellEnd"/>
      <w:r w:rsidRPr="00305A6E">
        <w:rPr>
          <w:rFonts w:ascii="Calibri" w:eastAsia="Calibri" w:hAnsi="Calibri" w:cs="Times New Roman"/>
          <w:color w:val="1F497D"/>
          <w:lang w:val="en-GB"/>
        </w:rPr>
        <w:t xml:space="preserve">) containing </w:t>
      </w:r>
      <w:proofErr w:type="spellStart"/>
      <w:r w:rsidRPr="00305A6E">
        <w:rPr>
          <w:rFonts w:ascii="Calibri" w:eastAsia="Calibri" w:hAnsi="Calibri" w:cs="Times New Roman"/>
          <w:color w:val="1F497D"/>
          <w:lang w:val="en-GB"/>
        </w:rPr>
        <w:t>Wolbachia</w:t>
      </w:r>
      <w:proofErr w:type="spellEnd"/>
      <w:r w:rsidRPr="00305A6E">
        <w:rPr>
          <w:rFonts w:ascii="Calibri" w:eastAsia="Calibri" w:hAnsi="Calibri" w:cs="Times New Roman"/>
          <w:color w:val="1F497D"/>
          <w:lang w:val="en-GB"/>
        </w:rPr>
        <w:t xml:space="preserve">. </w:t>
      </w:r>
      <w:hyperlink r:id="rId8" w:history="1">
        <w:r w:rsidRPr="00305A6E">
          <w:rPr>
            <w:rFonts w:ascii="Calibri" w:eastAsia="Calibri" w:hAnsi="Calibri" w:cs="Times New Roman"/>
            <w:color w:val="0000FF"/>
            <w:u w:val="single"/>
            <w:lang w:val="en-GB"/>
          </w:rPr>
          <w:t>www.cisro.au</w:t>
        </w:r>
      </w:hyperlink>
    </w:p>
    <w:p w:rsidR="00305A6E" w:rsidRPr="00305A6E" w:rsidRDefault="00305A6E" w:rsidP="00305A6E">
      <w:pPr>
        <w:spacing w:after="0" w:line="240" w:lineRule="auto"/>
        <w:rPr>
          <w:rFonts w:ascii="Calibri" w:eastAsia="Calibri" w:hAnsi="Calibri" w:cs="Times New Roman"/>
          <w:color w:val="1F497D"/>
          <w:lang w:val="en-GB"/>
        </w:rPr>
      </w:pP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NAS (2016): Gene Drives on the Horizon: Advancing Science, Navigating Un-certainty, and Aligning Research with Public Values. Washington DC. </w:t>
      </w:r>
      <w:proofErr w:type="spellStart"/>
      <w:r w:rsidRPr="00305A6E">
        <w:rPr>
          <w:rFonts w:ascii="Calibri" w:eastAsia="Calibri" w:hAnsi="Calibri" w:cs="Times New Roman"/>
          <w:color w:val="1F497D"/>
          <w:lang w:val="en-GB"/>
        </w:rPr>
        <w:t>Doi</w:t>
      </w:r>
      <w:proofErr w:type="spellEnd"/>
      <w:r w:rsidRPr="00305A6E">
        <w:rPr>
          <w:rFonts w:ascii="Calibri" w:eastAsia="Calibri" w:hAnsi="Calibri" w:cs="Times New Roman"/>
          <w:color w:val="1F497D"/>
          <w:lang w:val="en-GB"/>
        </w:rPr>
        <w:t>: 10.17226/23405</w:t>
      </w:r>
    </w:p>
    <w:p w:rsidR="00305A6E" w:rsidRPr="00305A6E" w:rsidRDefault="00305A6E" w:rsidP="00305A6E">
      <w:pPr>
        <w:spacing w:after="0" w:line="240" w:lineRule="auto"/>
        <w:rPr>
          <w:rFonts w:ascii="Calibri" w:eastAsia="Calibri" w:hAnsi="Calibri" w:cs="Times New Roman"/>
          <w:color w:val="1F497D"/>
          <w:lang w:val="en-GB"/>
        </w:rPr>
      </w:pPr>
      <w:proofErr w:type="spellStart"/>
      <w:r w:rsidRPr="00305A6E">
        <w:rPr>
          <w:rFonts w:ascii="Calibri" w:eastAsia="Calibri" w:hAnsi="Calibri" w:cs="Times New Roman"/>
          <w:color w:val="1F497D"/>
          <w:lang w:val="en-GB"/>
        </w:rPr>
        <w:t>Najjar</w:t>
      </w:r>
      <w:proofErr w:type="spellEnd"/>
      <w:r w:rsidRPr="00305A6E">
        <w:rPr>
          <w:rFonts w:ascii="Calibri" w:eastAsia="Calibri" w:hAnsi="Calibri" w:cs="Times New Roman"/>
          <w:color w:val="1F497D"/>
          <w:lang w:val="en-GB"/>
        </w:rPr>
        <w:t xml:space="preserve"> D., </w:t>
      </w:r>
      <w:proofErr w:type="spellStart"/>
      <w:r w:rsidRPr="00305A6E">
        <w:rPr>
          <w:rFonts w:ascii="Calibri" w:eastAsia="Calibri" w:hAnsi="Calibri" w:cs="Times New Roman"/>
          <w:color w:val="1F497D"/>
          <w:lang w:val="en-GB"/>
        </w:rPr>
        <w:t>Normandin</w:t>
      </w:r>
      <w:proofErr w:type="spellEnd"/>
      <w:r w:rsidRPr="00305A6E">
        <w:rPr>
          <w:rFonts w:ascii="Calibri" w:eastAsia="Calibri" w:hAnsi="Calibri" w:cs="Times New Roman"/>
          <w:color w:val="1F497D"/>
          <w:lang w:val="en-GB"/>
        </w:rPr>
        <w:t xml:space="preserve"> A. M., Strait E. A., </w:t>
      </w:r>
      <w:proofErr w:type="spellStart"/>
      <w:r w:rsidRPr="00305A6E">
        <w:rPr>
          <w:rFonts w:ascii="Calibri" w:eastAsia="Calibri" w:hAnsi="Calibri" w:cs="Times New Roman"/>
          <w:color w:val="1F497D"/>
          <w:lang w:val="en-GB"/>
        </w:rPr>
        <w:t>Esvelt</w:t>
      </w:r>
      <w:proofErr w:type="spellEnd"/>
      <w:r w:rsidRPr="00305A6E">
        <w:rPr>
          <w:rFonts w:ascii="Calibri" w:eastAsia="Calibri" w:hAnsi="Calibri" w:cs="Times New Roman"/>
          <w:color w:val="1F497D"/>
          <w:lang w:val="en-GB"/>
        </w:rPr>
        <w:t xml:space="preserve"> K. M. (2017). Driving towards </w:t>
      </w:r>
      <w:proofErr w:type="spellStart"/>
      <w:r w:rsidRPr="00305A6E">
        <w:rPr>
          <w:rFonts w:ascii="Calibri" w:eastAsia="Calibri" w:hAnsi="Calibri" w:cs="Times New Roman"/>
          <w:color w:val="1F497D"/>
          <w:lang w:val="en-GB"/>
        </w:rPr>
        <w:t>ecotechnologies</w:t>
      </w:r>
      <w:proofErr w:type="spellEnd"/>
      <w:r w:rsidRPr="00305A6E">
        <w:rPr>
          <w:rFonts w:ascii="Calibri" w:eastAsia="Calibri" w:hAnsi="Calibri" w:cs="Times New Roman"/>
          <w:color w:val="1F497D"/>
          <w:lang w:val="en-GB"/>
        </w:rPr>
        <w:t>. Pathogens and Global Health 111 (8): 448-458</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Noble, Ch., </w:t>
      </w:r>
      <w:proofErr w:type="spellStart"/>
      <w:r w:rsidRPr="00305A6E">
        <w:rPr>
          <w:rFonts w:ascii="Calibri" w:eastAsia="Calibri" w:hAnsi="Calibri" w:cs="Times New Roman"/>
          <w:color w:val="1F497D"/>
          <w:lang w:val="en-GB"/>
        </w:rPr>
        <w:t>Olejarz</w:t>
      </w:r>
      <w:proofErr w:type="spellEnd"/>
      <w:r w:rsidRPr="00305A6E">
        <w:rPr>
          <w:rFonts w:ascii="Calibri" w:eastAsia="Calibri" w:hAnsi="Calibri" w:cs="Times New Roman"/>
          <w:color w:val="1F497D"/>
          <w:lang w:val="en-GB"/>
        </w:rPr>
        <w:t xml:space="preserve">, J., </w:t>
      </w:r>
      <w:proofErr w:type="spellStart"/>
      <w:r w:rsidRPr="00305A6E">
        <w:rPr>
          <w:rFonts w:ascii="Calibri" w:eastAsia="Calibri" w:hAnsi="Calibri" w:cs="Times New Roman"/>
          <w:color w:val="1F497D"/>
          <w:lang w:val="en-GB"/>
        </w:rPr>
        <w:t>Esvelt</w:t>
      </w:r>
      <w:proofErr w:type="spellEnd"/>
      <w:r w:rsidRPr="00305A6E">
        <w:rPr>
          <w:rFonts w:ascii="Calibri" w:eastAsia="Calibri" w:hAnsi="Calibri" w:cs="Times New Roman"/>
          <w:color w:val="1F497D"/>
          <w:lang w:val="en-GB"/>
        </w:rPr>
        <w:t>, K. M., Church, G. M., Nowak, M. A. (2017): Evolutionary dynamics of CRISPR gene drives. Science Advances 3: e1601964.</w:t>
      </w:r>
    </w:p>
    <w:p w:rsidR="00305A6E" w:rsidRPr="00305A6E" w:rsidRDefault="00305A6E" w:rsidP="00305A6E">
      <w:pPr>
        <w:spacing w:after="0" w:line="240" w:lineRule="auto"/>
        <w:rPr>
          <w:rFonts w:ascii="Calibri" w:eastAsia="Calibri" w:hAnsi="Calibri" w:cs="Times New Roman"/>
          <w:color w:val="1F497D"/>
          <w:lang w:val="en-GB"/>
        </w:rPr>
      </w:pPr>
      <w:r w:rsidRPr="00305A6E">
        <w:rPr>
          <w:rFonts w:ascii="Calibri" w:eastAsia="Calibri" w:hAnsi="Calibri" w:cs="Times New Roman"/>
          <w:color w:val="1F497D"/>
          <w:lang w:val="en-GB"/>
        </w:rPr>
        <w:t xml:space="preserve">Oliveira, E., </w:t>
      </w:r>
      <w:proofErr w:type="spellStart"/>
      <w:r w:rsidRPr="00305A6E">
        <w:rPr>
          <w:rFonts w:ascii="Calibri" w:eastAsia="Calibri" w:hAnsi="Calibri" w:cs="Times New Roman"/>
          <w:color w:val="1F497D"/>
          <w:lang w:val="en-GB"/>
        </w:rPr>
        <w:t>Salgueiro</w:t>
      </w:r>
      <w:proofErr w:type="spellEnd"/>
      <w:r w:rsidRPr="00305A6E">
        <w:rPr>
          <w:rFonts w:ascii="Calibri" w:eastAsia="Calibri" w:hAnsi="Calibri" w:cs="Times New Roman"/>
          <w:color w:val="1F497D"/>
          <w:lang w:val="en-GB"/>
        </w:rPr>
        <w:t xml:space="preserve">, P., </w:t>
      </w:r>
      <w:proofErr w:type="spellStart"/>
      <w:r w:rsidRPr="00305A6E">
        <w:rPr>
          <w:rFonts w:ascii="Calibri" w:eastAsia="Calibri" w:hAnsi="Calibri" w:cs="Times New Roman"/>
          <w:color w:val="1F497D"/>
          <w:lang w:val="en-GB"/>
        </w:rPr>
        <w:t>Palsson</w:t>
      </w:r>
      <w:proofErr w:type="spellEnd"/>
      <w:r w:rsidRPr="00305A6E">
        <w:rPr>
          <w:rFonts w:ascii="Calibri" w:eastAsia="Calibri" w:hAnsi="Calibri" w:cs="Times New Roman"/>
          <w:color w:val="1F497D"/>
          <w:lang w:val="en-GB"/>
        </w:rPr>
        <w:t xml:space="preserve">, K., Vicente, J. L., </w:t>
      </w:r>
      <w:proofErr w:type="spellStart"/>
      <w:r w:rsidRPr="00305A6E">
        <w:rPr>
          <w:rFonts w:ascii="Calibri" w:eastAsia="Calibri" w:hAnsi="Calibri" w:cs="Times New Roman"/>
          <w:color w:val="1F497D"/>
          <w:lang w:val="en-GB"/>
        </w:rPr>
        <w:t>Arez</w:t>
      </w:r>
      <w:proofErr w:type="spellEnd"/>
      <w:r w:rsidRPr="00305A6E">
        <w:rPr>
          <w:rFonts w:ascii="Calibri" w:eastAsia="Calibri" w:hAnsi="Calibri" w:cs="Times New Roman"/>
          <w:color w:val="1F497D"/>
          <w:lang w:val="en-GB"/>
        </w:rPr>
        <w:t xml:space="preserve">, A. P., </w:t>
      </w:r>
      <w:proofErr w:type="spellStart"/>
      <w:r w:rsidRPr="00305A6E">
        <w:rPr>
          <w:rFonts w:ascii="Calibri" w:eastAsia="Calibri" w:hAnsi="Calibri" w:cs="Times New Roman"/>
          <w:color w:val="1F497D"/>
          <w:lang w:val="en-GB"/>
        </w:rPr>
        <w:t>Jaenson</w:t>
      </w:r>
      <w:proofErr w:type="spellEnd"/>
      <w:r w:rsidRPr="00305A6E">
        <w:rPr>
          <w:rFonts w:ascii="Calibri" w:eastAsia="Calibri" w:hAnsi="Calibri" w:cs="Times New Roman"/>
          <w:color w:val="1F497D"/>
          <w:lang w:val="en-GB"/>
        </w:rPr>
        <w:t xml:space="preserve">, T. G., </w:t>
      </w:r>
      <w:proofErr w:type="spellStart"/>
      <w:r w:rsidRPr="00305A6E">
        <w:rPr>
          <w:rFonts w:ascii="Calibri" w:eastAsia="Calibri" w:hAnsi="Calibri" w:cs="Times New Roman"/>
          <w:color w:val="1F497D"/>
          <w:lang w:val="en-GB"/>
        </w:rPr>
        <w:t>Caccone</w:t>
      </w:r>
      <w:proofErr w:type="spellEnd"/>
      <w:r w:rsidRPr="00305A6E">
        <w:rPr>
          <w:rFonts w:ascii="Calibri" w:eastAsia="Calibri" w:hAnsi="Calibri" w:cs="Times New Roman"/>
          <w:color w:val="1F497D"/>
          <w:lang w:val="en-GB"/>
        </w:rPr>
        <w:t xml:space="preserve">, A., Pinto, J. (2008): High levels of hybridization between molecular forms of Anopheles </w:t>
      </w:r>
      <w:proofErr w:type="spellStart"/>
      <w:r w:rsidRPr="00305A6E">
        <w:rPr>
          <w:rFonts w:ascii="Calibri" w:eastAsia="Calibri" w:hAnsi="Calibri" w:cs="Times New Roman"/>
          <w:color w:val="1F497D"/>
          <w:lang w:val="en-GB"/>
        </w:rPr>
        <w:t>gambiae</w:t>
      </w:r>
      <w:proofErr w:type="spellEnd"/>
      <w:r w:rsidRPr="00305A6E">
        <w:rPr>
          <w:rFonts w:ascii="Calibri" w:eastAsia="Calibri" w:hAnsi="Calibri" w:cs="Times New Roman"/>
          <w:color w:val="1F497D"/>
          <w:lang w:val="en-GB"/>
        </w:rPr>
        <w:t xml:space="preserve"> from Guinea Bissau. Journal of Medical Entomology 45 (6): 1057-1063.</w:t>
      </w:r>
    </w:p>
    <w:p w:rsidR="00305A6E" w:rsidRPr="00305A6E" w:rsidRDefault="00305A6E" w:rsidP="00305A6E">
      <w:pPr>
        <w:spacing w:after="0" w:line="240" w:lineRule="auto"/>
        <w:rPr>
          <w:rFonts w:ascii="Calibri" w:eastAsia="Calibri" w:hAnsi="Calibri" w:cs="Times New Roman"/>
          <w:color w:val="1F497D"/>
          <w:lang w:val="en-GB"/>
        </w:rPr>
      </w:pPr>
      <w:proofErr w:type="spellStart"/>
      <w:r w:rsidRPr="00305A6E">
        <w:rPr>
          <w:rFonts w:ascii="Calibri" w:eastAsia="Calibri" w:hAnsi="Calibri" w:cs="Times New Roman"/>
          <w:color w:val="1F497D"/>
          <w:lang w:val="en-GB"/>
        </w:rPr>
        <w:t>Oye</w:t>
      </w:r>
      <w:proofErr w:type="spellEnd"/>
      <w:r w:rsidRPr="00305A6E">
        <w:rPr>
          <w:rFonts w:ascii="Calibri" w:eastAsia="Calibri" w:hAnsi="Calibri" w:cs="Times New Roman"/>
          <w:color w:val="1F497D"/>
          <w:lang w:val="en-GB"/>
        </w:rPr>
        <w:t xml:space="preserve">, K. A., </w:t>
      </w:r>
      <w:proofErr w:type="spellStart"/>
      <w:r w:rsidRPr="00305A6E">
        <w:rPr>
          <w:rFonts w:ascii="Calibri" w:eastAsia="Calibri" w:hAnsi="Calibri" w:cs="Times New Roman"/>
          <w:color w:val="1F497D"/>
          <w:lang w:val="en-GB"/>
        </w:rPr>
        <w:t>Esvelt</w:t>
      </w:r>
      <w:proofErr w:type="spellEnd"/>
      <w:r w:rsidRPr="00305A6E">
        <w:rPr>
          <w:rFonts w:ascii="Calibri" w:eastAsia="Calibri" w:hAnsi="Calibri" w:cs="Times New Roman"/>
          <w:color w:val="1F497D"/>
          <w:lang w:val="en-GB"/>
        </w:rPr>
        <w:t xml:space="preserve">, K., Appleton, E., </w:t>
      </w:r>
      <w:proofErr w:type="spellStart"/>
      <w:r w:rsidRPr="00305A6E">
        <w:rPr>
          <w:rFonts w:ascii="Calibri" w:eastAsia="Calibri" w:hAnsi="Calibri" w:cs="Times New Roman"/>
          <w:color w:val="1F497D"/>
          <w:lang w:val="en-GB"/>
        </w:rPr>
        <w:t>Catteruccia</w:t>
      </w:r>
      <w:proofErr w:type="spellEnd"/>
      <w:r w:rsidRPr="00305A6E">
        <w:rPr>
          <w:rFonts w:ascii="Calibri" w:eastAsia="Calibri" w:hAnsi="Calibri" w:cs="Times New Roman"/>
          <w:color w:val="1F497D"/>
          <w:lang w:val="en-GB"/>
        </w:rPr>
        <w:t xml:space="preserve">, F., Church, G. M., </w:t>
      </w:r>
      <w:proofErr w:type="spellStart"/>
      <w:r w:rsidRPr="00305A6E">
        <w:rPr>
          <w:rFonts w:ascii="Calibri" w:eastAsia="Calibri" w:hAnsi="Calibri" w:cs="Times New Roman"/>
          <w:color w:val="1F497D"/>
          <w:lang w:val="en-GB"/>
        </w:rPr>
        <w:t>Kuiken</w:t>
      </w:r>
      <w:proofErr w:type="spellEnd"/>
      <w:r w:rsidRPr="00305A6E">
        <w:rPr>
          <w:rFonts w:ascii="Calibri" w:eastAsia="Calibri" w:hAnsi="Calibri" w:cs="Times New Roman"/>
          <w:color w:val="1F497D"/>
          <w:lang w:val="en-GB"/>
        </w:rPr>
        <w:t xml:space="preserve">, T., Lightfoot, S. B. Y., McNamara, J., </w:t>
      </w:r>
      <w:proofErr w:type="spellStart"/>
      <w:r w:rsidRPr="00305A6E">
        <w:rPr>
          <w:rFonts w:ascii="Calibri" w:eastAsia="Calibri" w:hAnsi="Calibri" w:cs="Times New Roman"/>
          <w:color w:val="1F497D"/>
          <w:lang w:val="en-GB"/>
        </w:rPr>
        <w:t>Smidler</w:t>
      </w:r>
      <w:proofErr w:type="spellEnd"/>
      <w:r w:rsidRPr="00305A6E">
        <w:rPr>
          <w:rFonts w:ascii="Calibri" w:eastAsia="Calibri" w:hAnsi="Calibri" w:cs="Times New Roman"/>
          <w:color w:val="1F497D"/>
          <w:lang w:val="en-GB"/>
        </w:rPr>
        <w:t xml:space="preserve">, A. L., Collins, J. P. (2014): Regulating gene drives. </w:t>
      </w:r>
      <w:proofErr w:type="spellStart"/>
      <w:r w:rsidRPr="00305A6E">
        <w:rPr>
          <w:rFonts w:ascii="Calibri" w:eastAsia="Calibri" w:hAnsi="Calibri" w:cs="Times New Roman"/>
          <w:color w:val="1F497D"/>
          <w:lang w:val="en-GB"/>
        </w:rPr>
        <w:t>Sciencexpress</w:t>
      </w:r>
      <w:proofErr w:type="spellEnd"/>
      <w:r w:rsidRPr="00305A6E">
        <w:rPr>
          <w:rFonts w:ascii="Calibri" w:eastAsia="Calibri" w:hAnsi="Calibri" w:cs="Times New Roman"/>
          <w:color w:val="1F497D"/>
          <w:lang w:val="en-GB"/>
        </w:rPr>
        <w:t xml:space="preserve">. </w:t>
      </w:r>
      <w:proofErr w:type="spellStart"/>
      <w:r w:rsidRPr="00305A6E">
        <w:rPr>
          <w:rFonts w:ascii="Calibri" w:eastAsia="Calibri" w:hAnsi="Calibri" w:cs="Times New Roman"/>
          <w:color w:val="1F497D"/>
          <w:lang w:val="en-GB"/>
        </w:rPr>
        <w:t>Doi</w:t>
      </w:r>
      <w:proofErr w:type="spellEnd"/>
      <w:r w:rsidRPr="00305A6E">
        <w:rPr>
          <w:rFonts w:ascii="Calibri" w:eastAsia="Calibri" w:hAnsi="Calibri" w:cs="Times New Roman"/>
          <w:color w:val="1F497D"/>
          <w:lang w:val="en-GB"/>
        </w:rPr>
        <w:t>: 10.1126/science.1254287</w:t>
      </w:r>
    </w:p>
    <w:p w:rsidR="00305A6E" w:rsidRPr="00874EF7" w:rsidRDefault="00305A6E" w:rsidP="00305A6E">
      <w:pPr>
        <w:spacing w:after="0" w:line="240" w:lineRule="auto"/>
        <w:rPr>
          <w:rFonts w:ascii="Calibri" w:eastAsia="Calibri" w:hAnsi="Calibri" w:cs="Times New Roman"/>
          <w:color w:val="1F497D"/>
          <w:lang w:val="en-US"/>
        </w:rPr>
      </w:pPr>
      <w:r w:rsidRPr="00305A6E">
        <w:rPr>
          <w:rFonts w:ascii="Calibri" w:eastAsia="Calibri" w:hAnsi="Calibri" w:cs="Times New Roman"/>
          <w:color w:val="1F497D"/>
          <w:lang w:val="en-GB"/>
        </w:rPr>
        <w:t xml:space="preserve">Simon S., Otto M., Engelhard M. (2018). Synthetic gene drive: between continuity and novelty. </w:t>
      </w:r>
      <w:r w:rsidRPr="00874EF7">
        <w:rPr>
          <w:rFonts w:ascii="Calibri" w:eastAsia="Calibri" w:hAnsi="Calibri" w:cs="Times New Roman"/>
          <w:color w:val="1F497D"/>
          <w:lang w:val="en-US"/>
        </w:rPr>
        <w:t>EMBO reports 19:e45760, p 4</w:t>
      </w:r>
    </w:p>
    <w:p w:rsidR="00A01326" w:rsidRDefault="00A01326" w:rsidP="00A01326">
      <w:pPr>
        <w:pStyle w:val="NurText"/>
        <w:rPr>
          <w:lang w:val="en-CA"/>
        </w:rPr>
      </w:pPr>
    </w:p>
    <w:p w:rsidR="00305A6E" w:rsidRDefault="00305A6E" w:rsidP="00A01326">
      <w:pPr>
        <w:pStyle w:val="NurText"/>
        <w:rPr>
          <w:lang w:val="en-CA"/>
        </w:rPr>
      </w:pPr>
    </w:p>
    <w:p w:rsidR="00A01326" w:rsidRDefault="00A01326" w:rsidP="00A01326">
      <w:pPr>
        <w:pStyle w:val="NurText"/>
        <w:rPr>
          <w:lang w:val="en-CA"/>
        </w:rPr>
      </w:pPr>
      <w:r>
        <w:rPr>
          <w:lang w:val="en-CA"/>
        </w:rPr>
        <w:t>(d)          Living organisms developed thus far through new developments in synthetic biology that may fall outside the definition of living modified organisms as per the Cartagena Protocol.</w:t>
      </w:r>
    </w:p>
    <w:p w:rsidR="005D754B" w:rsidRDefault="005D754B" w:rsidP="005D754B">
      <w:pPr>
        <w:spacing w:after="0" w:line="240" w:lineRule="auto"/>
        <w:rPr>
          <w:rFonts w:ascii="Calibri" w:eastAsia="Calibri" w:hAnsi="Calibri" w:cs="Times New Roman"/>
          <w:color w:val="1F497D"/>
          <w:lang w:val="en-CA"/>
        </w:rPr>
      </w:pPr>
    </w:p>
    <w:p w:rsidR="005D754B" w:rsidRPr="005D754B" w:rsidRDefault="005D754B" w:rsidP="005D754B">
      <w:pPr>
        <w:spacing w:after="0" w:line="240" w:lineRule="auto"/>
        <w:rPr>
          <w:rFonts w:ascii="Calibri" w:eastAsia="Calibri" w:hAnsi="Calibri" w:cs="Times New Roman"/>
          <w:color w:val="1F497D"/>
          <w:lang w:val="en-CA"/>
        </w:rPr>
      </w:pPr>
      <w:r w:rsidRPr="005D754B">
        <w:rPr>
          <w:rFonts w:ascii="Calibri" w:eastAsia="Calibri" w:hAnsi="Calibri" w:cs="Times New Roman"/>
          <w:color w:val="1F497D"/>
          <w:lang w:val="en-CA"/>
        </w:rPr>
        <w:t xml:space="preserve">A contentious case may be living organisms generated by multiplexed DNA free ZFN/TALEN/MN applications, which can be considered </w:t>
      </w:r>
      <w:proofErr w:type="spellStart"/>
      <w:r w:rsidRPr="005D754B">
        <w:rPr>
          <w:rFonts w:ascii="Calibri" w:eastAsia="Calibri" w:hAnsi="Calibri" w:cs="Times New Roman"/>
          <w:color w:val="1F497D"/>
          <w:lang w:val="en-CA"/>
        </w:rPr>
        <w:t>SynBio</w:t>
      </w:r>
      <w:proofErr w:type="spellEnd"/>
      <w:r w:rsidRPr="005D754B">
        <w:rPr>
          <w:rFonts w:ascii="Calibri" w:eastAsia="Calibri" w:hAnsi="Calibri" w:cs="Times New Roman"/>
          <w:color w:val="1F497D"/>
          <w:lang w:val="en-CA"/>
        </w:rPr>
        <w:t xml:space="preserve"> (see question b).</w:t>
      </w:r>
    </w:p>
    <w:p w:rsidR="005D754B" w:rsidRPr="005D754B" w:rsidRDefault="005D754B" w:rsidP="005D754B">
      <w:pPr>
        <w:spacing w:after="0" w:line="240" w:lineRule="auto"/>
        <w:rPr>
          <w:rFonts w:ascii="Calibri" w:eastAsia="Calibri" w:hAnsi="Calibri" w:cs="Times New Roman"/>
          <w:color w:val="1F497D"/>
          <w:lang w:val="en-CA"/>
        </w:rPr>
      </w:pPr>
      <w:r w:rsidRPr="005D754B">
        <w:rPr>
          <w:rFonts w:ascii="Calibri" w:eastAsia="Calibri" w:hAnsi="Calibri" w:cs="Times New Roman"/>
          <w:color w:val="1F497D"/>
          <w:lang w:val="en-CA"/>
        </w:rPr>
        <w:t xml:space="preserve">Such systems may be targeted to modify the genotype (through SDN-applications) or the phenotype by modification of gene expression through epigenetic mechanisms (through SDNs modified with domains that impact regulation of gene expression, repressors, positive transcription factors, or domains to introduce epigenetic modifications, e.g. </w:t>
      </w:r>
      <w:proofErr w:type="spellStart"/>
      <w:r w:rsidRPr="005D754B">
        <w:rPr>
          <w:rFonts w:ascii="Calibri" w:eastAsia="Calibri" w:hAnsi="Calibri" w:cs="Times New Roman"/>
          <w:color w:val="1F497D"/>
          <w:lang w:val="en-CA"/>
        </w:rPr>
        <w:t>methylases</w:t>
      </w:r>
      <w:proofErr w:type="spellEnd"/>
      <w:r w:rsidRPr="005D754B">
        <w:rPr>
          <w:rFonts w:ascii="Calibri" w:eastAsia="Calibri" w:hAnsi="Calibri" w:cs="Times New Roman"/>
          <w:color w:val="1F497D"/>
          <w:lang w:val="en-CA"/>
        </w:rPr>
        <w:t xml:space="preserve">, demethylases, etc.)  (see e.g. </w:t>
      </w:r>
      <w:proofErr w:type="spellStart"/>
      <w:r w:rsidRPr="005D754B">
        <w:rPr>
          <w:rFonts w:ascii="Calibri" w:eastAsia="Calibri" w:hAnsi="Calibri" w:cs="Times New Roman"/>
          <w:color w:val="1F497D"/>
          <w:lang w:val="en-CA"/>
        </w:rPr>
        <w:t>Tycko</w:t>
      </w:r>
      <w:proofErr w:type="spellEnd"/>
      <w:r w:rsidRPr="005D754B">
        <w:rPr>
          <w:rFonts w:ascii="Calibri" w:eastAsia="Calibri" w:hAnsi="Calibri" w:cs="Times New Roman"/>
          <w:color w:val="1F497D"/>
          <w:lang w:val="en-CA"/>
        </w:rPr>
        <w:t xml:space="preserve"> 2017).</w:t>
      </w:r>
    </w:p>
    <w:p w:rsidR="005D754B" w:rsidRPr="005D754B" w:rsidRDefault="005D754B" w:rsidP="005D754B">
      <w:pPr>
        <w:spacing w:after="0" w:line="240" w:lineRule="auto"/>
        <w:rPr>
          <w:rFonts w:ascii="Calibri" w:eastAsia="Calibri" w:hAnsi="Calibri" w:cs="Times New Roman"/>
          <w:color w:val="1F497D"/>
          <w:lang w:val="en-CA"/>
        </w:rPr>
      </w:pPr>
    </w:p>
    <w:p w:rsidR="005D754B" w:rsidRPr="005D754B" w:rsidRDefault="005D754B" w:rsidP="005D754B">
      <w:pPr>
        <w:spacing w:after="0" w:line="240" w:lineRule="auto"/>
        <w:ind w:left="720" w:hanging="720"/>
        <w:rPr>
          <w:rFonts w:ascii="Calibri" w:hAnsi="Calibri"/>
          <w:color w:val="1F497D" w:themeColor="text2"/>
          <w:lang w:val="en-US"/>
        </w:rPr>
      </w:pPr>
      <w:proofErr w:type="spellStart"/>
      <w:r w:rsidRPr="005D754B">
        <w:rPr>
          <w:rFonts w:ascii="Calibri" w:hAnsi="Calibri"/>
          <w:color w:val="1F497D" w:themeColor="text2"/>
          <w:lang w:val="en-US"/>
        </w:rPr>
        <w:t>Tycko</w:t>
      </w:r>
      <w:proofErr w:type="spellEnd"/>
      <w:r w:rsidRPr="005D754B">
        <w:rPr>
          <w:rFonts w:ascii="Calibri" w:hAnsi="Calibri"/>
          <w:color w:val="1F497D" w:themeColor="text2"/>
          <w:lang w:val="en-US"/>
        </w:rPr>
        <w:t xml:space="preserve">, J., Hess, G.T., </w:t>
      </w:r>
      <w:proofErr w:type="spellStart"/>
      <w:r w:rsidRPr="005D754B">
        <w:rPr>
          <w:rFonts w:ascii="Calibri" w:hAnsi="Calibri"/>
          <w:color w:val="1F497D" w:themeColor="text2"/>
          <w:lang w:val="en-US"/>
        </w:rPr>
        <w:t>Jeng</w:t>
      </w:r>
      <w:proofErr w:type="spellEnd"/>
      <w:r w:rsidRPr="005D754B">
        <w:rPr>
          <w:rFonts w:ascii="Calibri" w:hAnsi="Calibri"/>
          <w:color w:val="1F497D" w:themeColor="text2"/>
          <w:lang w:val="en-US"/>
        </w:rPr>
        <w:t xml:space="preserve">, E.E., </w:t>
      </w:r>
      <w:proofErr w:type="spellStart"/>
      <w:r w:rsidRPr="005D754B">
        <w:rPr>
          <w:rFonts w:ascii="Calibri" w:hAnsi="Calibri"/>
          <w:color w:val="1F497D" w:themeColor="text2"/>
          <w:lang w:val="en-US"/>
        </w:rPr>
        <w:t>Dubreuil</w:t>
      </w:r>
      <w:proofErr w:type="spellEnd"/>
      <w:r w:rsidRPr="005D754B">
        <w:rPr>
          <w:rFonts w:ascii="Calibri" w:hAnsi="Calibri"/>
          <w:color w:val="1F497D" w:themeColor="text2"/>
          <w:lang w:val="en-US"/>
        </w:rPr>
        <w:t xml:space="preserve">, M., and </w:t>
      </w:r>
      <w:proofErr w:type="spellStart"/>
      <w:r w:rsidRPr="005D754B">
        <w:rPr>
          <w:rFonts w:ascii="Calibri" w:hAnsi="Calibri"/>
          <w:color w:val="1F497D" w:themeColor="text2"/>
          <w:lang w:val="en-US"/>
        </w:rPr>
        <w:t>Bassik</w:t>
      </w:r>
      <w:proofErr w:type="spellEnd"/>
      <w:r w:rsidRPr="005D754B">
        <w:rPr>
          <w:rFonts w:ascii="Calibri" w:hAnsi="Calibri"/>
          <w:color w:val="1F497D" w:themeColor="text2"/>
          <w:lang w:val="en-US"/>
        </w:rPr>
        <w:t xml:space="preserve">, M.C. (2017). </w:t>
      </w:r>
      <w:r w:rsidRPr="005D754B">
        <w:rPr>
          <w:rFonts w:ascii="Calibri" w:hAnsi="Calibri"/>
          <w:i/>
          <w:iCs/>
          <w:color w:val="1F497D" w:themeColor="text2"/>
          <w:lang w:val="en-US"/>
        </w:rPr>
        <w:t xml:space="preserve">The expanding CRISPR toolbox </w:t>
      </w:r>
      <w:r w:rsidRPr="005D754B">
        <w:rPr>
          <w:rFonts w:ascii="Calibri" w:hAnsi="Calibri"/>
          <w:color w:val="1F497D" w:themeColor="text2"/>
          <w:lang w:val="en-US"/>
        </w:rPr>
        <w:t xml:space="preserve">[Online]. Nature Methods. Available: </w:t>
      </w:r>
      <w:hyperlink r:id="rId9" w:history="1">
        <w:r w:rsidRPr="005D754B">
          <w:rPr>
            <w:rFonts w:ascii="Calibri" w:hAnsi="Calibri"/>
            <w:color w:val="1F497D" w:themeColor="text2"/>
            <w:u w:val="single"/>
            <w:lang w:val="en-US"/>
          </w:rPr>
          <w:t>http://s3-service-broker-live-19ea8b98-4d41-4cb4-be4c-d68f4963b7dd.s3.amazonaws.com/uploads/ckeditor/attachments/7742/CRISPR_poster-WEB.pdf</w:t>
        </w:r>
      </w:hyperlink>
      <w:r w:rsidRPr="005D754B">
        <w:rPr>
          <w:rFonts w:ascii="Calibri" w:hAnsi="Calibri"/>
          <w:color w:val="1F497D" w:themeColor="text2"/>
          <w:lang w:val="en-US"/>
        </w:rPr>
        <w:t xml:space="preserve"> [Accessed 27.11.2018].</w:t>
      </w:r>
    </w:p>
    <w:p w:rsidR="005D754B" w:rsidRPr="005D754B" w:rsidRDefault="005D754B" w:rsidP="005D754B">
      <w:pPr>
        <w:spacing w:after="0" w:line="240" w:lineRule="auto"/>
        <w:rPr>
          <w:rFonts w:ascii="Calibri" w:eastAsia="Calibri" w:hAnsi="Calibri" w:cs="Times New Roman"/>
          <w:lang w:val="en-US"/>
        </w:rPr>
      </w:pPr>
    </w:p>
    <w:p w:rsidR="00A01326" w:rsidRPr="005D754B" w:rsidRDefault="00A01326">
      <w:pPr>
        <w:rPr>
          <w:lang w:val="en-US"/>
        </w:rPr>
      </w:pPr>
    </w:p>
    <w:p w:rsidR="005D754B" w:rsidRPr="00A01326" w:rsidRDefault="005D754B">
      <w:pPr>
        <w:rPr>
          <w:lang w:val="en-CA"/>
        </w:rPr>
      </w:pPr>
    </w:p>
    <w:sectPr w:rsidR="005D754B" w:rsidRPr="00A01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E4850"/>
    <w:multiLevelType w:val="hybridMultilevel"/>
    <w:tmpl w:val="E53237A8"/>
    <w:lvl w:ilvl="0" w:tplc="B6D48048">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26"/>
    <w:rsid w:val="00305A6E"/>
    <w:rsid w:val="004E1A9D"/>
    <w:rsid w:val="00594026"/>
    <w:rsid w:val="005D754B"/>
    <w:rsid w:val="00874EF7"/>
    <w:rsid w:val="009448AD"/>
    <w:rsid w:val="00A013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01326"/>
    <w:pPr>
      <w:spacing w:after="0" w:line="240" w:lineRule="auto"/>
    </w:pPr>
    <w:rPr>
      <w:rFonts w:ascii="Calibri" w:hAnsi="Calibri" w:cs="Times New Roman"/>
    </w:rPr>
  </w:style>
  <w:style w:type="character" w:customStyle="1" w:styleId="NurTextZchn">
    <w:name w:val="Nur Text Zchn"/>
    <w:basedOn w:val="Absatz-Standardschriftart"/>
    <w:link w:val="NurText"/>
    <w:uiPriority w:val="99"/>
    <w:semiHidden/>
    <w:rsid w:val="00A0132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01326"/>
    <w:pPr>
      <w:spacing w:after="0" w:line="240" w:lineRule="auto"/>
    </w:pPr>
    <w:rPr>
      <w:rFonts w:ascii="Calibri" w:hAnsi="Calibri" w:cs="Times New Roman"/>
    </w:rPr>
  </w:style>
  <w:style w:type="character" w:customStyle="1" w:styleId="NurTextZchn">
    <w:name w:val="Nur Text Zchn"/>
    <w:basedOn w:val="Absatz-Standardschriftart"/>
    <w:link w:val="NurText"/>
    <w:uiPriority w:val="99"/>
    <w:semiHidden/>
    <w:rsid w:val="00A0132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281">
      <w:bodyDiv w:val="1"/>
      <w:marLeft w:val="0"/>
      <w:marRight w:val="0"/>
      <w:marTop w:val="0"/>
      <w:marBottom w:val="0"/>
      <w:divBdr>
        <w:top w:val="none" w:sz="0" w:space="0" w:color="auto"/>
        <w:left w:val="none" w:sz="0" w:space="0" w:color="auto"/>
        <w:bottom w:val="none" w:sz="0" w:space="0" w:color="auto"/>
        <w:right w:val="none" w:sz="0" w:space="0" w:color="auto"/>
      </w:divBdr>
    </w:div>
    <w:div w:id="134690601">
      <w:bodyDiv w:val="1"/>
      <w:marLeft w:val="0"/>
      <w:marRight w:val="0"/>
      <w:marTop w:val="0"/>
      <w:marBottom w:val="0"/>
      <w:divBdr>
        <w:top w:val="none" w:sz="0" w:space="0" w:color="auto"/>
        <w:left w:val="none" w:sz="0" w:space="0" w:color="auto"/>
        <w:bottom w:val="none" w:sz="0" w:space="0" w:color="auto"/>
        <w:right w:val="none" w:sz="0" w:space="0" w:color="auto"/>
      </w:divBdr>
    </w:div>
    <w:div w:id="960652210">
      <w:bodyDiv w:val="1"/>
      <w:marLeft w:val="0"/>
      <w:marRight w:val="0"/>
      <w:marTop w:val="0"/>
      <w:marBottom w:val="0"/>
      <w:divBdr>
        <w:top w:val="none" w:sz="0" w:space="0" w:color="auto"/>
        <w:left w:val="none" w:sz="0" w:space="0" w:color="auto"/>
        <w:bottom w:val="none" w:sz="0" w:space="0" w:color="auto"/>
        <w:right w:val="none" w:sz="0" w:space="0" w:color="auto"/>
      </w:divBdr>
    </w:div>
    <w:div w:id="1042367351">
      <w:bodyDiv w:val="1"/>
      <w:marLeft w:val="0"/>
      <w:marRight w:val="0"/>
      <w:marTop w:val="0"/>
      <w:marBottom w:val="0"/>
      <w:divBdr>
        <w:top w:val="none" w:sz="0" w:space="0" w:color="auto"/>
        <w:left w:val="none" w:sz="0" w:space="0" w:color="auto"/>
        <w:bottom w:val="none" w:sz="0" w:space="0" w:color="auto"/>
        <w:right w:val="none" w:sz="0" w:space="0" w:color="auto"/>
      </w:divBdr>
    </w:div>
    <w:div w:id="10548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ro.au" TargetMode="External"/><Relationship Id="rId3" Type="http://schemas.microsoft.com/office/2007/relationships/stylesWithEffects" Target="stylesWithEffects.xml"/><Relationship Id="rId7" Type="http://schemas.openxmlformats.org/officeDocument/2006/relationships/hyperlink" Target="http://www.etc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environment/genome-editing-agricultu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3-service-broker-live-19ea8b98-4d41-4cb4-be4c-d68f4963b7dd.s3.amazonaws.com/uploads/ckeditor/attachments/7742/CRISPR_poster-WEB.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12503</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Umweltbundesamt</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Gaugitsch Helmut</dc:creator>
  <cp:lastModifiedBy>Andreas Heissenberger</cp:lastModifiedBy>
  <cp:revision>3</cp:revision>
  <dcterms:created xsi:type="dcterms:W3CDTF">2019-02-15T16:21:00Z</dcterms:created>
  <dcterms:modified xsi:type="dcterms:W3CDTF">2019-02-15T16:24:00Z</dcterms:modified>
</cp:coreProperties>
</file>