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8E" w:rsidRPr="002B61A6" w:rsidRDefault="002B61A6" w:rsidP="002B61A6">
      <w:pPr>
        <w:jc w:val="right"/>
        <w:rPr>
          <w:rFonts w:asciiTheme="majorBidi" w:hAnsiTheme="majorBidi" w:cstheme="majorBidi"/>
          <w:bCs/>
          <w:i/>
          <w:iCs/>
          <w:sz w:val="24"/>
          <w:szCs w:val="24"/>
          <w:lang w:val="en-GB"/>
        </w:rPr>
      </w:pPr>
      <w:r w:rsidRPr="002B61A6">
        <w:rPr>
          <w:rFonts w:asciiTheme="majorBidi" w:hAnsiTheme="majorBidi" w:cstheme="majorBidi"/>
          <w:bCs/>
          <w:i/>
          <w:iCs/>
          <w:sz w:val="24"/>
          <w:szCs w:val="24"/>
          <w:lang w:val="en-GB"/>
        </w:rPr>
        <w:t>15 March 2019</w:t>
      </w:r>
    </w:p>
    <w:p w:rsidR="002B61A6" w:rsidRDefault="002B61A6" w:rsidP="002B61A6">
      <w:pPr>
        <w:jc w:val="right"/>
        <w:rPr>
          <w:rFonts w:asciiTheme="majorBidi" w:hAnsiTheme="majorBidi" w:cstheme="majorBidi"/>
          <w:bCs/>
          <w:sz w:val="24"/>
          <w:szCs w:val="24"/>
          <w:lang w:val="en-GB"/>
        </w:rPr>
      </w:pPr>
    </w:p>
    <w:p w:rsidR="002E7FD2" w:rsidRDefault="00DF1909" w:rsidP="00DF1909">
      <w:pPr>
        <w:jc w:val="center"/>
        <w:rPr>
          <w:rFonts w:asciiTheme="majorBidi" w:hAnsiTheme="majorBidi" w:cstheme="majorBidi"/>
          <w:b/>
          <w:bCs/>
          <w:sz w:val="24"/>
          <w:szCs w:val="24"/>
          <w:lang w:val="en-GB"/>
        </w:rPr>
      </w:pPr>
      <w:r w:rsidRPr="009537A6">
        <w:rPr>
          <w:rFonts w:asciiTheme="majorBidi" w:hAnsiTheme="majorBidi" w:cstheme="majorBidi"/>
          <w:b/>
          <w:bCs/>
          <w:sz w:val="24"/>
          <w:szCs w:val="24"/>
          <w:lang w:val="en-GB"/>
        </w:rPr>
        <w:t>Submission by the European Union and its Member States</w:t>
      </w:r>
      <w:r w:rsidRPr="009537A6">
        <w:rPr>
          <w:rFonts w:asciiTheme="majorBidi" w:hAnsiTheme="majorBidi" w:cstheme="majorBidi"/>
          <w:b/>
          <w:bCs/>
          <w:sz w:val="24"/>
          <w:szCs w:val="24"/>
          <w:lang w:val="en-GB"/>
        </w:rPr>
        <w:br/>
        <w:t>to Notification</w:t>
      </w:r>
      <w:r>
        <w:rPr>
          <w:rFonts w:asciiTheme="majorBidi" w:hAnsiTheme="majorBidi" w:cstheme="majorBidi"/>
          <w:b/>
          <w:bCs/>
          <w:sz w:val="24"/>
          <w:szCs w:val="24"/>
          <w:lang w:val="en-GB"/>
        </w:rPr>
        <w:t xml:space="preserve"> 2019-009</w:t>
      </w:r>
    </w:p>
    <w:p w:rsidR="00DF1909" w:rsidRDefault="00DF1909" w:rsidP="008B518B">
      <w:pPr>
        <w:snapToGrid w:val="0"/>
        <w:spacing w:before="120" w:after="120"/>
        <w:jc w:val="center"/>
        <w:rPr>
          <w:rFonts w:asciiTheme="majorBidi" w:hAnsiTheme="majorBidi" w:cstheme="majorBidi"/>
          <w:b/>
          <w:bCs/>
          <w:sz w:val="24"/>
          <w:szCs w:val="24"/>
          <w:lang w:val="en-GB"/>
        </w:rPr>
      </w:pPr>
      <w:r w:rsidRPr="001A1F95">
        <w:rPr>
          <w:rFonts w:asciiTheme="majorBidi" w:hAnsiTheme="majorBidi" w:cstheme="majorBidi"/>
          <w:b/>
          <w:bCs/>
          <w:sz w:val="24"/>
          <w:szCs w:val="24"/>
          <w:lang w:val="en-GB"/>
        </w:rPr>
        <w:t xml:space="preserve">Information on </w:t>
      </w:r>
      <w:r w:rsidR="001A1F95" w:rsidRPr="001A1F95">
        <w:rPr>
          <w:rFonts w:asciiTheme="majorBidi" w:hAnsiTheme="majorBidi" w:cstheme="majorBidi"/>
          <w:b/>
          <w:bCs/>
          <w:sz w:val="24"/>
          <w:szCs w:val="24"/>
          <w:lang w:val="en-GB"/>
        </w:rPr>
        <w:t>risk assessment of living modified organisms containing engineered gene drives and l</w:t>
      </w:r>
      <w:r w:rsidRPr="001A1F95">
        <w:rPr>
          <w:rFonts w:asciiTheme="majorBidi" w:hAnsiTheme="majorBidi" w:cstheme="majorBidi"/>
          <w:b/>
          <w:bCs/>
          <w:sz w:val="24"/>
          <w:szCs w:val="24"/>
          <w:lang w:val="en-GB"/>
        </w:rPr>
        <w:t>iving modified fish</w:t>
      </w:r>
      <w:r w:rsidRPr="009537A6">
        <w:rPr>
          <w:rFonts w:asciiTheme="majorBidi" w:hAnsiTheme="majorBidi" w:cstheme="majorBidi"/>
          <w:b/>
          <w:bCs/>
          <w:sz w:val="24"/>
          <w:szCs w:val="24"/>
          <w:lang w:val="en-GB"/>
        </w:rPr>
        <w:t xml:space="preserve"> </w:t>
      </w:r>
    </w:p>
    <w:p w:rsidR="00DF1909" w:rsidRDefault="00DF1909" w:rsidP="00DF1909">
      <w:pPr>
        <w:snapToGrid w:val="0"/>
        <w:spacing w:before="120" w:after="120"/>
        <w:jc w:val="center"/>
        <w:rPr>
          <w:rFonts w:asciiTheme="majorBidi" w:hAnsiTheme="majorBidi" w:cstheme="majorBidi"/>
          <w:b/>
          <w:bCs/>
          <w:sz w:val="24"/>
          <w:szCs w:val="24"/>
          <w:lang w:val="en-GB"/>
        </w:rPr>
      </w:pPr>
      <w:r w:rsidRPr="009537A6">
        <w:rPr>
          <w:rFonts w:asciiTheme="majorBidi" w:hAnsiTheme="majorBidi" w:cstheme="majorBidi"/>
          <w:b/>
          <w:bCs/>
          <w:sz w:val="24"/>
          <w:szCs w:val="24"/>
          <w:lang w:val="en-GB"/>
        </w:rPr>
        <w:t>for a</w:t>
      </w:r>
      <w:bookmarkStart w:id="0" w:name="_GoBack"/>
      <w:bookmarkEnd w:id="0"/>
      <w:r w:rsidRPr="009537A6">
        <w:rPr>
          <w:rFonts w:asciiTheme="majorBidi" w:hAnsiTheme="majorBidi" w:cstheme="majorBidi"/>
          <w:b/>
          <w:bCs/>
          <w:sz w:val="24"/>
          <w:szCs w:val="24"/>
          <w:lang w:val="en-GB"/>
        </w:rPr>
        <w:t>n Open-ended online forum</w:t>
      </w:r>
    </w:p>
    <w:p w:rsidR="00F96C8E" w:rsidRDefault="00F96C8E" w:rsidP="00DF1909">
      <w:pPr>
        <w:snapToGrid w:val="0"/>
        <w:spacing w:before="120" w:after="120"/>
        <w:jc w:val="center"/>
        <w:rPr>
          <w:rFonts w:asciiTheme="majorBidi" w:hAnsiTheme="majorBidi" w:cstheme="majorBidi"/>
          <w:b/>
          <w:bCs/>
          <w:sz w:val="24"/>
          <w:szCs w:val="24"/>
          <w:lang w:val="en-GB"/>
        </w:rPr>
      </w:pPr>
    </w:p>
    <w:p w:rsidR="00DF1909" w:rsidRPr="006A6DE5" w:rsidRDefault="00DF1909" w:rsidP="008B518B">
      <w:pPr>
        <w:jc w:val="both"/>
        <w:rPr>
          <w:rFonts w:asciiTheme="majorBidi" w:hAnsiTheme="majorBidi" w:cstheme="majorBidi"/>
          <w:lang w:val="en-GB"/>
        </w:rPr>
      </w:pPr>
      <w:r w:rsidRPr="006A6DE5">
        <w:rPr>
          <w:rFonts w:asciiTheme="majorBidi" w:hAnsiTheme="majorBidi" w:cstheme="majorBidi"/>
          <w:lang w:val="en-GB"/>
        </w:rPr>
        <w:t xml:space="preserve">The EU and its Member States are pleased to share their overall views and information on issues related to this notification. Additional and more specific information is provided by individual EU Member States in </w:t>
      </w:r>
      <w:r w:rsidR="008B518B" w:rsidRPr="006A6DE5">
        <w:rPr>
          <w:rFonts w:asciiTheme="majorBidi" w:hAnsiTheme="majorBidi" w:cstheme="majorBidi"/>
          <w:lang w:val="en-GB"/>
        </w:rPr>
        <w:t>their national</w:t>
      </w:r>
      <w:r w:rsidRPr="006A6DE5">
        <w:rPr>
          <w:rFonts w:asciiTheme="majorBidi" w:hAnsiTheme="majorBidi" w:cstheme="majorBidi"/>
          <w:lang w:val="en-GB"/>
        </w:rPr>
        <w:t xml:space="preserve"> submission</w:t>
      </w:r>
      <w:r w:rsidR="00A40B3F" w:rsidRPr="006A6DE5">
        <w:rPr>
          <w:rFonts w:asciiTheme="majorBidi" w:hAnsiTheme="majorBidi" w:cstheme="majorBidi"/>
          <w:lang w:val="en-GB"/>
        </w:rPr>
        <w:t>s</w:t>
      </w:r>
      <w:r w:rsidRPr="006A6DE5">
        <w:rPr>
          <w:rFonts w:asciiTheme="majorBidi" w:hAnsiTheme="majorBidi" w:cstheme="majorBidi"/>
          <w:lang w:val="en-GB"/>
        </w:rPr>
        <w:t>.</w:t>
      </w:r>
    </w:p>
    <w:p w:rsidR="000174EF" w:rsidRPr="006A6DE5" w:rsidRDefault="000174EF" w:rsidP="00DF1909">
      <w:pPr>
        <w:jc w:val="both"/>
        <w:rPr>
          <w:rFonts w:asciiTheme="majorBidi" w:hAnsiTheme="majorBidi" w:cstheme="majorBidi"/>
          <w:lang w:val="en-GB"/>
        </w:rPr>
      </w:pPr>
      <w:r w:rsidRPr="006A6DE5">
        <w:rPr>
          <w:rFonts w:asciiTheme="majorBidi" w:hAnsiTheme="majorBidi" w:cstheme="majorBidi"/>
          <w:lang w:val="en-GB"/>
        </w:rPr>
        <w:t xml:space="preserve">The EU and its Member States support the establishment of an Ad Hoc Technical Expert Group (AHTEG) on risk assessment and the extension of the open-ended online forum on risk assessment and risk management to assist the work of the AHTEG on </w:t>
      </w:r>
      <w:r w:rsidR="008B518B" w:rsidRPr="006A6DE5">
        <w:rPr>
          <w:rFonts w:asciiTheme="majorBidi" w:hAnsiTheme="majorBidi" w:cstheme="majorBidi"/>
          <w:lang w:val="en-GB"/>
        </w:rPr>
        <w:t>living modified organisms (</w:t>
      </w:r>
      <w:r w:rsidRPr="006A6DE5">
        <w:rPr>
          <w:rFonts w:asciiTheme="majorBidi" w:hAnsiTheme="majorBidi" w:cstheme="majorBidi"/>
          <w:lang w:val="en-GB"/>
        </w:rPr>
        <w:t>LMOs</w:t>
      </w:r>
      <w:r w:rsidR="008B518B" w:rsidRPr="006A6DE5">
        <w:rPr>
          <w:rFonts w:asciiTheme="majorBidi" w:hAnsiTheme="majorBidi" w:cstheme="majorBidi"/>
          <w:lang w:val="en-GB"/>
        </w:rPr>
        <w:t>)</w:t>
      </w:r>
      <w:r w:rsidRPr="006A6DE5">
        <w:rPr>
          <w:rFonts w:asciiTheme="majorBidi" w:hAnsiTheme="majorBidi" w:cstheme="majorBidi"/>
          <w:lang w:val="en-GB"/>
        </w:rPr>
        <w:t xml:space="preserve"> containing engineered gene drives and </w:t>
      </w:r>
      <w:r w:rsidR="008B518B" w:rsidRPr="006A6DE5">
        <w:rPr>
          <w:rFonts w:asciiTheme="majorBidi" w:hAnsiTheme="majorBidi" w:cstheme="majorBidi"/>
          <w:lang w:val="en-GB"/>
        </w:rPr>
        <w:t>living modified (</w:t>
      </w:r>
      <w:r w:rsidRPr="006A6DE5">
        <w:rPr>
          <w:rFonts w:asciiTheme="majorBidi" w:hAnsiTheme="majorBidi" w:cstheme="majorBidi"/>
          <w:lang w:val="en-GB"/>
        </w:rPr>
        <w:t>LM</w:t>
      </w:r>
      <w:r w:rsidR="008B518B" w:rsidRPr="006A6DE5">
        <w:rPr>
          <w:rFonts w:asciiTheme="majorBidi" w:hAnsiTheme="majorBidi" w:cstheme="majorBidi"/>
          <w:lang w:val="en-GB"/>
        </w:rPr>
        <w:t>)</w:t>
      </w:r>
      <w:r w:rsidRPr="006A6DE5">
        <w:rPr>
          <w:rFonts w:asciiTheme="majorBidi" w:hAnsiTheme="majorBidi" w:cstheme="majorBidi"/>
          <w:lang w:val="en-GB"/>
        </w:rPr>
        <w:t xml:space="preserve"> fish; we will constructively participate in their work.</w:t>
      </w:r>
    </w:p>
    <w:p w:rsidR="001A1F95" w:rsidRPr="006A6DE5" w:rsidRDefault="001A1F95" w:rsidP="001A1F95">
      <w:pPr>
        <w:pStyle w:val="first"/>
        <w:spacing w:before="240"/>
        <w:jc w:val="both"/>
        <w:rPr>
          <w:rFonts w:asciiTheme="majorBidi" w:hAnsiTheme="majorBidi" w:cstheme="majorBidi"/>
          <w:sz w:val="22"/>
          <w:szCs w:val="22"/>
          <w:lang w:val="en-GB"/>
        </w:rPr>
      </w:pPr>
      <w:r w:rsidRPr="006A6DE5">
        <w:rPr>
          <w:rFonts w:asciiTheme="majorBidi" w:hAnsiTheme="majorBidi" w:cstheme="majorBidi"/>
          <w:sz w:val="22"/>
          <w:szCs w:val="22"/>
          <w:lang w:val="en-GB"/>
        </w:rPr>
        <w:t>The EU and its Member States are pleased to share updated information concerning the risk assessment of LMOs containing engineered gene drives in the EU:</w:t>
      </w:r>
    </w:p>
    <w:p w:rsidR="001A1F95" w:rsidRPr="006A6DE5" w:rsidRDefault="001A1F95" w:rsidP="001A1F95">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The Scientific Advice Mechanism (SAM) explanatory note of April 2017 on new techniques in agricultural biotechnology</w:t>
      </w:r>
      <w:r w:rsidRPr="006A6DE5">
        <w:rPr>
          <w:rStyle w:val="FootnoteReference"/>
          <w:rFonts w:ascii="Times New Roman" w:hAnsi="Times New Roman" w:cs="Times New Roman"/>
          <w:lang w:val="en-GB"/>
        </w:rPr>
        <w:footnoteReference w:id="1"/>
      </w:r>
      <w:r w:rsidRPr="006A6DE5">
        <w:rPr>
          <w:rFonts w:ascii="Times New Roman" w:hAnsi="Times New Roman" w:cs="Times New Roman"/>
          <w:lang w:val="en-GB"/>
        </w:rPr>
        <w:t xml:space="preserve"> included an outline of the agricultural application of new techniques in the fields of synthetic biology and gene drives.</w:t>
      </w:r>
    </w:p>
    <w:p w:rsidR="001A1F95" w:rsidRPr="006A6DE5" w:rsidRDefault="001A1F95" w:rsidP="001A1F95">
      <w:pPr>
        <w:pStyle w:val="ListParagraph"/>
        <w:numPr>
          <w:ilvl w:val="0"/>
          <w:numId w:val="1"/>
        </w:numPr>
        <w:spacing w:after="0"/>
        <w:jc w:val="both"/>
        <w:rPr>
          <w:rFonts w:ascii="Times New Roman" w:hAnsi="Times New Roman" w:cs="Times New Roman"/>
          <w:lang w:val="en-GB"/>
        </w:rPr>
      </w:pPr>
      <w:r w:rsidRPr="006A6DE5">
        <w:rPr>
          <w:rFonts w:ascii="Times New Roman" w:hAnsi="Times New Roman" w:cs="Times New Roman"/>
          <w:lang w:val="en-GB"/>
        </w:rPr>
        <w:t>In December 2018, the Scientific Committee on Health, Environmental and Emerging Risks (SCHEER) adopted a Position paper on emerging issues and the role of the SCHEER</w:t>
      </w:r>
      <w:r w:rsidRPr="006A6DE5">
        <w:rPr>
          <w:rStyle w:val="FootnoteReference"/>
          <w:rFonts w:ascii="Times New Roman" w:hAnsi="Times New Roman" w:cs="Times New Roman"/>
          <w:lang w:val="en-GB"/>
        </w:rPr>
        <w:footnoteReference w:id="2"/>
      </w:r>
      <w:r w:rsidRPr="006A6DE5">
        <w:rPr>
          <w:rFonts w:ascii="Times New Roman" w:hAnsi="Times New Roman" w:cs="Times New Roman"/>
          <w:lang w:val="en-GB"/>
        </w:rPr>
        <w:t xml:space="preserve"> and a Statement on emerging health and environmental issues</w:t>
      </w:r>
      <w:r w:rsidRPr="006A6DE5">
        <w:rPr>
          <w:rStyle w:val="FootnoteReference"/>
          <w:rFonts w:ascii="Times New Roman" w:hAnsi="Times New Roman" w:cs="Times New Roman"/>
          <w:lang w:val="en-GB"/>
        </w:rPr>
        <w:footnoteReference w:id="3"/>
      </w:r>
      <w:r w:rsidRPr="006A6DE5">
        <w:rPr>
          <w:rFonts w:ascii="Times New Roman" w:hAnsi="Times New Roman" w:cs="Times New Roman"/>
          <w:lang w:val="en-GB"/>
        </w:rPr>
        <w:t xml:space="preserve">. </w:t>
      </w:r>
    </w:p>
    <w:p w:rsidR="001A1F95" w:rsidRPr="006A6DE5" w:rsidRDefault="001A1F95" w:rsidP="001A1F95">
      <w:pPr>
        <w:spacing w:after="0"/>
        <w:ind w:left="720"/>
        <w:jc w:val="both"/>
        <w:rPr>
          <w:rFonts w:ascii="Times New Roman" w:hAnsi="Times New Roman" w:cs="Times New Roman"/>
          <w:lang w:val="en-GB"/>
        </w:rPr>
      </w:pPr>
      <w:r w:rsidRPr="006A6DE5">
        <w:rPr>
          <w:rFonts w:ascii="Times New Roman" w:hAnsi="Times New Roman" w:cs="Times New Roman"/>
          <w:lang w:val="en-GB"/>
        </w:rPr>
        <w:t xml:space="preserve">The Position paper describes the SCHEER's methodology for identifying emerging issues in the non-food area. </w:t>
      </w:r>
    </w:p>
    <w:p w:rsidR="001A1F95" w:rsidRPr="006A6DE5" w:rsidRDefault="001A1F95" w:rsidP="001A1F95">
      <w:pPr>
        <w:spacing w:after="0"/>
        <w:ind w:left="720"/>
        <w:jc w:val="both"/>
        <w:rPr>
          <w:rFonts w:ascii="Times New Roman" w:hAnsi="Times New Roman" w:cs="Times New Roman"/>
          <w:lang w:val="en-GB"/>
        </w:rPr>
      </w:pPr>
      <w:r w:rsidRPr="006A6DE5">
        <w:rPr>
          <w:rFonts w:ascii="Times New Roman" w:hAnsi="Times New Roman" w:cs="Times New Roman"/>
          <w:lang w:val="en-GB"/>
        </w:rPr>
        <w:t xml:space="preserve">The Statement on emerging health and environmental issues specifies 14 emerging issues in the non-food area having a potential impact on human health and/or the environment in the future. </w:t>
      </w:r>
    </w:p>
    <w:p w:rsidR="001A1F95" w:rsidRPr="006A6DE5" w:rsidRDefault="001A1F95" w:rsidP="001A1F95">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 xml:space="preserve">The European Food Safety Authority (EFSA) has been mandated for an opinion on engineered gene drives to identify potential risks and determine whether existing guidance for risk assessment is adequate or needs to be updated. Final opinion is expected by the end of 2020. </w:t>
      </w:r>
    </w:p>
    <w:p w:rsidR="009E3975" w:rsidRPr="006A6DE5" w:rsidRDefault="001A1F95" w:rsidP="009E3975">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The European Group on Ethics in Science and New Technologies (EGE) has been requested to provide an opinion on gene editing (including engineered gene drives) by summer of 2019.</w:t>
      </w:r>
    </w:p>
    <w:p w:rsidR="001A1F95" w:rsidRPr="006A6DE5" w:rsidRDefault="000174EF" w:rsidP="008B518B">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lastRenderedPageBreak/>
        <w:t xml:space="preserve">Until today, no application for the authorisation of </w:t>
      </w:r>
      <w:r w:rsidR="007C1CD2" w:rsidRPr="006A6DE5">
        <w:rPr>
          <w:rFonts w:ascii="Times New Roman" w:hAnsi="Times New Roman" w:cs="Times New Roman"/>
          <w:lang w:val="en-GB"/>
        </w:rPr>
        <w:t>an</w:t>
      </w:r>
      <w:r w:rsidRPr="006A6DE5">
        <w:rPr>
          <w:rFonts w:ascii="Times New Roman" w:hAnsi="Times New Roman" w:cs="Times New Roman"/>
          <w:lang w:val="en-GB"/>
        </w:rPr>
        <w:t xml:space="preserve"> LMO containing an engineered gene drive has been submitted in the EU</w:t>
      </w:r>
      <w:r w:rsidR="008B518B" w:rsidRPr="006A6DE5">
        <w:rPr>
          <w:rFonts w:ascii="Times New Roman" w:hAnsi="Times New Roman" w:cs="Times New Roman"/>
          <w:lang w:val="en-GB"/>
        </w:rPr>
        <w:t>.</w:t>
      </w:r>
    </w:p>
    <w:p w:rsidR="00AB0507" w:rsidRPr="006A6DE5" w:rsidRDefault="00AB0507" w:rsidP="00AB0507">
      <w:pPr>
        <w:pStyle w:val="first"/>
        <w:spacing w:before="240"/>
        <w:jc w:val="both"/>
        <w:rPr>
          <w:rFonts w:asciiTheme="majorBidi" w:hAnsiTheme="majorBidi" w:cstheme="majorBidi"/>
          <w:sz w:val="22"/>
          <w:szCs w:val="22"/>
          <w:lang w:val="en-GB"/>
        </w:rPr>
      </w:pPr>
      <w:r w:rsidRPr="006A6DE5">
        <w:rPr>
          <w:rFonts w:asciiTheme="majorBidi" w:hAnsiTheme="majorBidi" w:cstheme="majorBidi"/>
          <w:sz w:val="22"/>
          <w:szCs w:val="22"/>
          <w:lang w:val="en-GB"/>
        </w:rPr>
        <w:t xml:space="preserve">The EU and its Member States are pleased to share updated information concerning </w:t>
      </w:r>
      <w:r w:rsidR="00FA681C" w:rsidRPr="006A6DE5">
        <w:rPr>
          <w:rFonts w:asciiTheme="majorBidi" w:hAnsiTheme="majorBidi" w:cstheme="majorBidi"/>
          <w:sz w:val="22"/>
          <w:szCs w:val="22"/>
          <w:lang w:val="en-GB"/>
        </w:rPr>
        <w:t>the risk assessment of LM fish</w:t>
      </w:r>
      <w:r w:rsidRPr="006A6DE5">
        <w:rPr>
          <w:rFonts w:asciiTheme="majorBidi" w:hAnsiTheme="majorBidi" w:cstheme="majorBidi"/>
          <w:sz w:val="22"/>
          <w:szCs w:val="22"/>
          <w:lang w:val="en-GB"/>
        </w:rPr>
        <w:t xml:space="preserve"> in the EU:</w:t>
      </w:r>
    </w:p>
    <w:p w:rsidR="00AB0507" w:rsidRPr="006A6DE5" w:rsidRDefault="006E25FD" w:rsidP="006E25FD">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 xml:space="preserve">The Environmental Risk Assessment </w:t>
      </w:r>
      <w:r w:rsidR="00864372" w:rsidRPr="006A6DE5">
        <w:rPr>
          <w:rFonts w:ascii="Times New Roman" w:hAnsi="Times New Roman" w:cs="Times New Roman"/>
          <w:lang w:val="en-GB"/>
        </w:rPr>
        <w:t xml:space="preserve">(ERA) </w:t>
      </w:r>
      <w:r w:rsidR="004F6DA9" w:rsidRPr="006A6DE5">
        <w:rPr>
          <w:rFonts w:ascii="Times New Roman" w:hAnsi="Times New Roman" w:cs="Times New Roman"/>
          <w:lang w:val="en-GB"/>
        </w:rPr>
        <w:t>of LM fish</w:t>
      </w:r>
      <w:r w:rsidRPr="006A6DE5">
        <w:rPr>
          <w:rFonts w:ascii="Times New Roman" w:hAnsi="Times New Roman" w:cs="Times New Roman"/>
          <w:lang w:val="en-GB"/>
        </w:rPr>
        <w:t xml:space="preserve"> is regulated in the EU under Directive 2001/18/EC</w:t>
      </w:r>
      <w:r w:rsidRPr="006A6DE5">
        <w:rPr>
          <w:rStyle w:val="FootnoteReference"/>
          <w:rFonts w:ascii="Times New Roman" w:hAnsi="Times New Roman" w:cs="Times New Roman"/>
          <w:lang w:val="en-GB"/>
        </w:rPr>
        <w:footnoteReference w:id="4"/>
      </w:r>
      <w:r w:rsidRPr="006A6DE5">
        <w:rPr>
          <w:rFonts w:ascii="Times New Roman" w:hAnsi="Times New Roman" w:cs="Times New Roman"/>
          <w:lang w:val="en-GB"/>
        </w:rPr>
        <w:t xml:space="preserve">. </w:t>
      </w:r>
      <w:r w:rsidR="00864372" w:rsidRPr="006A6DE5">
        <w:rPr>
          <w:rFonts w:ascii="Times New Roman" w:hAnsi="Times New Roman" w:cs="Times New Roman"/>
          <w:lang w:val="en-GB"/>
        </w:rPr>
        <w:t xml:space="preserve">Annex II of this Directive provides for the general principles and methodologies of ERA of LMOs, including a </w:t>
      </w:r>
      <w:r w:rsidR="004F6DA9" w:rsidRPr="006A6DE5">
        <w:rPr>
          <w:rFonts w:ascii="Times New Roman" w:hAnsi="Times New Roman" w:cs="Times New Roman"/>
          <w:lang w:val="en-GB"/>
        </w:rPr>
        <w:t>six-step</w:t>
      </w:r>
      <w:r w:rsidR="00864372" w:rsidRPr="006A6DE5">
        <w:rPr>
          <w:rFonts w:ascii="Times New Roman" w:hAnsi="Times New Roman" w:cs="Times New Roman"/>
          <w:lang w:val="en-GB"/>
        </w:rPr>
        <w:t xml:space="preserve"> approach </w:t>
      </w:r>
      <w:r w:rsidR="004F6DA9" w:rsidRPr="006A6DE5">
        <w:rPr>
          <w:rFonts w:ascii="Times New Roman" w:hAnsi="Times New Roman" w:cs="Times New Roman"/>
          <w:lang w:val="en-GB"/>
        </w:rPr>
        <w:t>of</w:t>
      </w:r>
      <w:r w:rsidR="00864372" w:rsidRPr="006A6DE5">
        <w:rPr>
          <w:rFonts w:ascii="Times New Roman" w:hAnsi="Times New Roman" w:cs="Times New Roman"/>
          <w:lang w:val="en-GB"/>
        </w:rPr>
        <w:t xml:space="preserve"> the assessment and </w:t>
      </w:r>
      <w:r w:rsidR="00B30193" w:rsidRPr="006A6DE5">
        <w:rPr>
          <w:rFonts w:ascii="Times New Roman" w:hAnsi="Times New Roman" w:cs="Times New Roman"/>
          <w:lang w:val="en-GB"/>
        </w:rPr>
        <w:t>listing</w:t>
      </w:r>
      <w:r w:rsidR="004F6DA9" w:rsidRPr="006A6DE5">
        <w:rPr>
          <w:rFonts w:ascii="Times New Roman" w:hAnsi="Times New Roman" w:cs="Times New Roman"/>
          <w:lang w:val="en-GB"/>
        </w:rPr>
        <w:t xml:space="preserve"> relevant areas of risk.</w:t>
      </w:r>
    </w:p>
    <w:p w:rsidR="004F6DA9" w:rsidRPr="006A6DE5" w:rsidRDefault="004F6DA9" w:rsidP="008A1861">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 xml:space="preserve">The European Food Safety Authority (EFSA) adopted in 2013 a </w:t>
      </w:r>
      <w:r w:rsidRPr="006A6DE5">
        <w:rPr>
          <w:rFonts w:ascii="Times New Roman" w:hAnsi="Times New Roman" w:cs="Times New Roman"/>
          <w:i/>
          <w:lang w:val="en-GB"/>
        </w:rPr>
        <w:t>Guidance on the environmental risk assessment of genetically modified animals</w:t>
      </w:r>
      <w:r w:rsidR="00B30193" w:rsidRPr="006A6DE5">
        <w:rPr>
          <w:rStyle w:val="FootnoteReference"/>
          <w:rFonts w:ascii="Times New Roman" w:hAnsi="Times New Roman" w:cs="Times New Roman"/>
          <w:lang w:val="en-GB"/>
        </w:rPr>
        <w:footnoteReference w:id="5"/>
      </w:r>
      <w:r w:rsidR="00B30193" w:rsidRPr="006A6DE5">
        <w:rPr>
          <w:rFonts w:ascii="Times New Roman" w:hAnsi="Times New Roman" w:cs="Times New Roman"/>
          <w:lang w:val="en-GB"/>
        </w:rPr>
        <w:t xml:space="preserve">. </w:t>
      </w:r>
      <w:r w:rsidR="00310F06" w:rsidRPr="006A6DE5">
        <w:rPr>
          <w:rFonts w:ascii="Times New Roman" w:hAnsi="Times New Roman" w:cs="Times New Roman"/>
          <w:lang w:val="en-GB"/>
        </w:rPr>
        <w:t>The scope of this Guidance covers LM fish reared</w:t>
      </w:r>
      <w:r w:rsidR="008A1861" w:rsidRPr="006A6DE5">
        <w:rPr>
          <w:rFonts w:ascii="Times New Roman" w:hAnsi="Times New Roman" w:cs="Times New Roman"/>
          <w:lang w:val="en-GB"/>
        </w:rPr>
        <w:t xml:space="preserve"> within controlled aquaculture and aquaria facilities </w:t>
      </w:r>
      <w:r w:rsidR="00310F06" w:rsidRPr="006A6DE5">
        <w:rPr>
          <w:rFonts w:ascii="Times New Roman" w:hAnsi="Times New Roman" w:cs="Times New Roman"/>
          <w:lang w:val="en-GB"/>
        </w:rPr>
        <w:t>to be placed on the market of the EU for food and feed production or other uses (i.e. ornamental fish)</w:t>
      </w:r>
      <w:r w:rsidR="00B52664" w:rsidRPr="006A6DE5">
        <w:rPr>
          <w:rFonts w:ascii="Times New Roman" w:hAnsi="Times New Roman" w:cs="Times New Roman"/>
          <w:lang w:val="en-GB"/>
        </w:rPr>
        <w:t>. The Guidance</w:t>
      </w:r>
      <w:r w:rsidR="008A1861" w:rsidRPr="006A6DE5">
        <w:rPr>
          <w:rFonts w:ascii="Times New Roman" w:hAnsi="Times New Roman" w:cs="Times New Roman"/>
          <w:lang w:val="en-GB"/>
        </w:rPr>
        <w:t xml:space="preserve"> considers th</w:t>
      </w:r>
      <w:r w:rsidR="00B14865" w:rsidRPr="006A6DE5">
        <w:rPr>
          <w:rFonts w:ascii="Times New Roman" w:hAnsi="Times New Roman" w:cs="Times New Roman"/>
          <w:lang w:val="en-GB"/>
        </w:rPr>
        <w:t xml:space="preserve">e environmental impact both within the confined facilities and after </w:t>
      </w:r>
      <w:r w:rsidR="00B52664" w:rsidRPr="006A6DE5">
        <w:rPr>
          <w:rFonts w:ascii="Times New Roman" w:hAnsi="Times New Roman" w:cs="Times New Roman"/>
          <w:lang w:val="en-GB"/>
        </w:rPr>
        <w:t xml:space="preserve">an </w:t>
      </w:r>
      <w:r w:rsidR="00B14865" w:rsidRPr="006A6DE5">
        <w:rPr>
          <w:rFonts w:ascii="Times New Roman" w:hAnsi="Times New Roman" w:cs="Times New Roman"/>
          <w:lang w:val="en-GB"/>
        </w:rPr>
        <w:t xml:space="preserve">accidental release </w:t>
      </w:r>
      <w:r w:rsidR="00B52664" w:rsidRPr="006A6DE5">
        <w:rPr>
          <w:rFonts w:ascii="Times New Roman" w:hAnsi="Times New Roman" w:cs="Times New Roman"/>
          <w:lang w:val="en-GB"/>
        </w:rPr>
        <w:t xml:space="preserve">of LM fish </w:t>
      </w:r>
      <w:r w:rsidR="00B14865" w:rsidRPr="006A6DE5">
        <w:rPr>
          <w:rFonts w:ascii="Times New Roman" w:hAnsi="Times New Roman" w:cs="Times New Roman"/>
          <w:lang w:val="en-GB"/>
        </w:rPr>
        <w:t>into the environment.</w:t>
      </w:r>
    </w:p>
    <w:p w:rsidR="00B14865" w:rsidRPr="006A6DE5" w:rsidRDefault="00B14865" w:rsidP="00DB0CD4">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 xml:space="preserve">Additionally EFSA in 2012 adopted a </w:t>
      </w:r>
      <w:r w:rsidRPr="006A6DE5">
        <w:rPr>
          <w:rFonts w:ascii="Times New Roman" w:hAnsi="Times New Roman" w:cs="Times New Roman"/>
          <w:i/>
          <w:lang w:val="en-GB"/>
        </w:rPr>
        <w:t>Guidance on the risk assessment of food and feed from genetically modified animals and animal health and welfare aspects</w:t>
      </w:r>
      <w:r w:rsidRPr="006A6DE5">
        <w:rPr>
          <w:rStyle w:val="FootnoteReference"/>
          <w:rFonts w:ascii="Times New Roman" w:hAnsi="Times New Roman" w:cs="Times New Roman"/>
          <w:lang w:val="en-GB"/>
        </w:rPr>
        <w:footnoteReference w:id="6"/>
      </w:r>
      <w:r w:rsidRPr="006A6DE5">
        <w:rPr>
          <w:rFonts w:ascii="Times New Roman" w:hAnsi="Times New Roman" w:cs="Times New Roman"/>
          <w:i/>
          <w:lang w:val="en-GB"/>
        </w:rPr>
        <w:t xml:space="preserve">. </w:t>
      </w:r>
      <w:r w:rsidR="00A40B3F" w:rsidRPr="006A6DE5">
        <w:rPr>
          <w:rFonts w:ascii="Times New Roman" w:hAnsi="Times New Roman" w:cs="Times New Roman"/>
          <w:lang w:val="en-GB"/>
        </w:rPr>
        <w:t>This guidance</w:t>
      </w:r>
      <w:r w:rsidR="00DB0CD4" w:rsidRPr="006A6DE5">
        <w:rPr>
          <w:rFonts w:ascii="Times New Roman" w:hAnsi="Times New Roman" w:cs="Times New Roman"/>
          <w:lang w:val="en-GB"/>
        </w:rPr>
        <w:t xml:space="preserve"> provides appropriate approaches to compare GM animals and derived food and feed with their respective comparators.</w:t>
      </w:r>
      <w:r w:rsidR="00DB0CD4" w:rsidRPr="006A6DE5">
        <w:rPr>
          <w:rFonts w:ascii="Times New Roman" w:hAnsi="Times New Roman" w:cs="Times New Roman"/>
          <w:i/>
          <w:lang w:val="en-GB"/>
        </w:rPr>
        <w:t xml:space="preserve"> </w:t>
      </w:r>
      <w:r w:rsidR="00DB0CD4" w:rsidRPr="006A6DE5">
        <w:rPr>
          <w:rFonts w:ascii="Times New Roman" w:hAnsi="Times New Roman" w:cs="Times New Roman"/>
          <w:lang w:val="en-GB"/>
        </w:rPr>
        <w:t xml:space="preserve">Animals that are taken into consideration include all husbandry animals, and fish, as well as crustaceans and molluscs. The </w:t>
      </w:r>
      <w:r w:rsidR="005F0C47" w:rsidRPr="006A6DE5">
        <w:rPr>
          <w:rFonts w:ascii="Times New Roman" w:hAnsi="Times New Roman" w:cs="Times New Roman"/>
          <w:lang w:val="en-GB"/>
        </w:rPr>
        <w:t xml:space="preserve">components included in the guidance are: </w:t>
      </w:r>
      <w:r w:rsidR="00A40B3F" w:rsidRPr="006A6DE5">
        <w:rPr>
          <w:rFonts w:ascii="Times New Roman" w:hAnsi="Times New Roman" w:cs="Times New Roman"/>
          <w:lang w:val="en-GB"/>
        </w:rPr>
        <w:t xml:space="preserve">the </w:t>
      </w:r>
      <w:r w:rsidR="00DB0CD4" w:rsidRPr="006A6DE5">
        <w:rPr>
          <w:rFonts w:ascii="Times New Roman" w:hAnsi="Times New Roman" w:cs="Times New Roman"/>
          <w:lang w:val="en-GB"/>
        </w:rPr>
        <w:t xml:space="preserve">comparative analysis of the phenotypic characteristics of the </w:t>
      </w:r>
      <w:r w:rsidR="005F0C47" w:rsidRPr="006A6DE5">
        <w:rPr>
          <w:rFonts w:ascii="Times New Roman" w:hAnsi="Times New Roman" w:cs="Times New Roman"/>
          <w:lang w:val="en-GB"/>
        </w:rPr>
        <w:t>L</w:t>
      </w:r>
      <w:r w:rsidR="00DB0CD4" w:rsidRPr="006A6DE5">
        <w:rPr>
          <w:rFonts w:ascii="Times New Roman" w:hAnsi="Times New Roman" w:cs="Times New Roman"/>
          <w:lang w:val="en-GB"/>
        </w:rPr>
        <w:t>M animal, including health and physiological parameters</w:t>
      </w:r>
      <w:r w:rsidR="005F0C47" w:rsidRPr="006A6DE5">
        <w:rPr>
          <w:rFonts w:ascii="Times New Roman" w:hAnsi="Times New Roman" w:cs="Times New Roman"/>
          <w:lang w:val="en-GB"/>
        </w:rPr>
        <w:t>,</w:t>
      </w:r>
      <w:r w:rsidR="00DB0CD4" w:rsidRPr="006A6DE5">
        <w:rPr>
          <w:rFonts w:ascii="Times New Roman" w:hAnsi="Times New Roman" w:cs="Times New Roman"/>
          <w:lang w:val="en-GB"/>
        </w:rPr>
        <w:t xml:space="preserve"> the molecular characterisation, the toxicological assessment, the assessment of potential allergenicity of the novel protein(s), as well as of the whole food derived from the </w:t>
      </w:r>
      <w:r w:rsidR="005F0C47" w:rsidRPr="006A6DE5">
        <w:rPr>
          <w:rFonts w:ascii="Times New Roman" w:hAnsi="Times New Roman" w:cs="Times New Roman"/>
          <w:lang w:val="en-GB"/>
        </w:rPr>
        <w:t>LM animal</w:t>
      </w:r>
      <w:r w:rsidR="00DB0CD4" w:rsidRPr="006A6DE5">
        <w:rPr>
          <w:rFonts w:ascii="Times New Roman" w:hAnsi="Times New Roman" w:cs="Times New Roman"/>
          <w:lang w:val="en-GB"/>
        </w:rPr>
        <w:t xml:space="preserve"> and the nutritional assessment.</w:t>
      </w:r>
    </w:p>
    <w:p w:rsidR="005F0C47" w:rsidRDefault="00A40B3F" w:rsidP="00DB0CD4">
      <w:pPr>
        <w:pStyle w:val="ListParagraph"/>
        <w:numPr>
          <w:ilvl w:val="0"/>
          <w:numId w:val="1"/>
        </w:numPr>
        <w:jc w:val="both"/>
        <w:rPr>
          <w:rFonts w:ascii="Times New Roman" w:hAnsi="Times New Roman" w:cs="Times New Roman"/>
          <w:lang w:val="en-GB"/>
        </w:rPr>
      </w:pPr>
      <w:r w:rsidRPr="006A6DE5">
        <w:rPr>
          <w:rFonts w:ascii="Times New Roman" w:hAnsi="Times New Roman" w:cs="Times New Roman"/>
          <w:lang w:val="en-GB"/>
        </w:rPr>
        <w:t>Until today</w:t>
      </w:r>
      <w:r w:rsidR="005F0C47" w:rsidRPr="006A6DE5">
        <w:rPr>
          <w:rFonts w:ascii="Times New Roman" w:hAnsi="Times New Roman" w:cs="Times New Roman"/>
          <w:lang w:val="en-GB"/>
        </w:rPr>
        <w:t>, no application for the authorisation of an LM fish has been submitted in the EU.</w:t>
      </w:r>
    </w:p>
    <w:p w:rsidR="006A6DE5" w:rsidRDefault="006A6DE5" w:rsidP="006A6DE5">
      <w:pPr>
        <w:pStyle w:val="ListParagraph"/>
        <w:jc w:val="both"/>
        <w:rPr>
          <w:rFonts w:ascii="Times New Roman" w:hAnsi="Times New Roman" w:cs="Times New Roman"/>
          <w:lang w:val="en-GB"/>
        </w:rPr>
      </w:pPr>
    </w:p>
    <w:p w:rsidR="006A6DE5" w:rsidRDefault="006A6DE5" w:rsidP="006A6DE5">
      <w:pPr>
        <w:pStyle w:val="ListParagraph"/>
        <w:ind w:left="0"/>
        <w:jc w:val="both"/>
        <w:rPr>
          <w:rFonts w:ascii="Times New Roman" w:hAnsi="Times New Roman" w:cs="Times New Roman"/>
          <w:lang w:val="en-GB"/>
        </w:rPr>
      </w:pPr>
    </w:p>
    <w:p w:rsidR="006A6DE5" w:rsidRDefault="006A6DE5" w:rsidP="006A6DE5">
      <w:pPr>
        <w:pStyle w:val="ListParagraph"/>
        <w:ind w:left="0"/>
        <w:jc w:val="both"/>
        <w:rPr>
          <w:rFonts w:ascii="Times New Roman" w:hAnsi="Times New Roman" w:cs="Times New Roman"/>
          <w:lang w:val="en-GB"/>
        </w:rPr>
      </w:pPr>
    </w:p>
    <w:p w:rsidR="006A6DE5" w:rsidRDefault="006A6DE5" w:rsidP="006A6DE5">
      <w:pPr>
        <w:pStyle w:val="ListParagraph"/>
        <w:ind w:left="0"/>
        <w:jc w:val="both"/>
        <w:rPr>
          <w:rFonts w:ascii="Times New Roman" w:hAnsi="Times New Roman" w:cs="Times New Roman"/>
          <w:lang w:val="en-GB"/>
        </w:rPr>
      </w:pPr>
    </w:p>
    <w:p w:rsidR="006A6DE5" w:rsidRPr="006A6DE5" w:rsidRDefault="006A6DE5" w:rsidP="006A6DE5">
      <w:pPr>
        <w:pStyle w:val="ListParagraph"/>
        <w:ind w:left="0"/>
        <w:jc w:val="center"/>
        <w:rPr>
          <w:rFonts w:ascii="Times New Roman" w:hAnsi="Times New Roman" w:cs="Times New Roman"/>
          <w:lang w:val="en-GB"/>
        </w:rPr>
      </w:pPr>
      <w:r>
        <w:rPr>
          <w:rFonts w:ascii="Times New Roman" w:hAnsi="Times New Roman" w:cs="Times New Roman"/>
          <w:lang w:val="en-GB"/>
        </w:rPr>
        <w:t>________________</w:t>
      </w:r>
    </w:p>
    <w:sectPr w:rsidR="006A6DE5" w:rsidRPr="006A6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37" w:rsidRDefault="00DD7337" w:rsidP="006E25FD">
      <w:pPr>
        <w:spacing w:after="0" w:line="240" w:lineRule="auto"/>
      </w:pPr>
      <w:r>
        <w:separator/>
      </w:r>
    </w:p>
  </w:endnote>
  <w:endnote w:type="continuationSeparator" w:id="0">
    <w:p w:rsidR="00DD7337" w:rsidRDefault="00DD7337" w:rsidP="006E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37" w:rsidRDefault="00DD7337" w:rsidP="006E25FD">
      <w:pPr>
        <w:spacing w:after="0" w:line="240" w:lineRule="auto"/>
      </w:pPr>
      <w:r>
        <w:separator/>
      </w:r>
    </w:p>
  </w:footnote>
  <w:footnote w:type="continuationSeparator" w:id="0">
    <w:p w:rsidR="00DD7337" w:rsidRDefault="00DD7337" w:rsidP="006E25FD">
      <w:pPr>
        <w:spacing w:after="0" w:line="240" w:lineRule="auto"/>
      </w:pPr>
      <w:r>
        <w:continuationSeparator/>
      </w:r>
    </w:p>
  </w:footnote>
  <w:footnote w:id="1">
    <w:p w:rsidR="001A1F95" w:rsidRPr="008B7B8C" w:rsidRDefault="001A1F95" w:rsidP="001A1F95">
      <w:pPr>
        <w:pStyle w:val="FootnoteText"/>
      </w:pPr>
      <w:r>
        <w:rPr>
          <w:rStyle w:val="FootnoteReference"/>
        </w:rPr>
        <w:footnoteRef/>
      </w:r>
      <w:r>
        <w:t xml:space="preserve"> </w:t>
      </w:r>
      <w:r w:rsidRPr="008B7B8C">
        <w:t>Scientific Advice Mechanism (SAM) High Level Group of Scientific Advisors, Explanatory Note 02 - New Techniques in Agricultural Biotechn</w:t>
      </w:r>
      <w:r w:rsidR="008B518B">
        <w:t xml:space="preserve">ology, Brussels, 28 April 2017, available at: </w:t>
      </w:r>
      <w:hyperlink r:id="rId1" w:history="1">
        <w:r w:rsidRPr="00861DB9">
          <w:rPr>
            <w:rStyle w:val="Hyperlink"/>
          </w:rPr>
          <w:t>https://ec.europa.eu/research/sam/index.cfm?pg=agribiotechnology</w:t>
        </w:r>
      </w:hyperlink>
      <w:r>
        <w:t xml:space="preserve"> </w:t>
      </w:r>
    </w:p>
  </w:footnote>
  <w:footnote w:id="2">
    <w:p w:rsidR="001A1F95" w:rsidRPr="001A1F95" w:rsidRDefault="001A1F95" w:rsidP="001A1F95">
      <w:pPr>
        <w:pStyle w:val="FootnoteText"/>
      </w:pPr>
      <w:r>
        <w:rPr>
          <w:rStyle w:val="FootnoteReference"/>
        </w:rPr>
        <w:footnoteRef/>
      </w:r>
      <w:r>
        <w:t xml:space="preserve"> </w:t>
      </w:r>
      <w:r w:rsidRPr="008B7B8C">
        <w:t>SCHEER (Scientific Committee on Health, Environmental and Emerging Risks). Emerging Issues and the Role of the SCHEER. Positi</w:t>
      </w:r>
      <w:r w:rsidR="008B518B">
        <w:t xml:space="preserve">on Paper (2018), 5-6 June 2018, available at: </w:t>
      </w:r>
      <w:hyperlink r:id="rId2" w:history="1">
        <w:r w:rsidRPr="00861DB9">
          <w:rPr>
            <w:rStyle w:val="Hyperlink"/>
          </w:rPr>
          <w:t>https://ec.europa.eu/health/sites/health/files/scientific_committees/scheer/docs/scheer_s_001.pdf</w:t>
        </w:r>
      </w:hyperlink>
      <w:r>
        <w:t xml:space="preserve"> </w:t>
      </w:r>
    </w:p>
  </w:footnote>
  <w:footnote w:id="3">
    <w:p w:rsidR="001A1F95" w:rsidRPr="008B7B8C" w:rsidRDefault="001A1F95" w:rsidP="001A1F95">
      <w:pPr>
        <w:pStyle w:val="FootnoteText"/>
      </w:pPr>
      <w:r>
        <w:rPr>
          <w:rStyle w:val="FootnoteReference"/>
        </w:rPr>
        <w:footnoteRef/>
      </w:r>
      <w:r>
        <w:t xml:space="preserve"> </w:t>
      </w:r>
      <w:r w:rsidRPr="008B7B8C">
        <w:t xml:space="preserve">SCHEER (Scientific Committee on Health, Environmental and Emerging Risks) Statement on emerging health and environmental </w:t>
      </w:r>
      <w:r w:rsidR="008B518B">
        <w:t xml:space="preserve">issues (2018), 20 December 2018, available at: </w:t>
      </w:r>
      <w:r w:rsidRPr="008B7B8C">
        <w:t xml:space="preserve"> </w:t>
      </w:r>
      <w:hyperlink r:id="rId3" w:history="1">
        <w:r w:rsidRPr="00861DB9">
          <w:rPr>
            <w:rStyle w:val="Hyperlink"/>
          </w:rPr>
          <w:t>https://ec.europa.eu/health/sites/health/files/scientific_committees/scheer/docs/scheer_s_002.pdf</w:t>
        </w:r>
      </w:hyperlink>
      <w:r>
        <w:t xml:space="preserve"> </w:t>
      </w:r>
    </w:p>
  </w:footnote>
  <w:footnote w:id="4">
    <w:p w:rsidR="006E25FD" w:rsidRPr="00B30193" w:rsidRDefault="006E25FD">
      <w:pPr>
        <w:pStyle w:val="FootnoteText"/>
        <w:rPr>
          <w:rFonts w:ascii="Times New Roman" w:eastAsia="Calibri" w:hAnsi="Times New Roman" w:cs="Times New Roman"/>
          <w:szCs w:val="22"/>
          <w:lang w:val="en-GB"/>
        </w:rPr>
      </w:pPr>
      <w:r w:rsidRPr="00B30193">
        <w:rPr>
          <w:rStyle w:val="FootnoteReference"/>
          <w:sz w:val="18"/>
        </w:rPr>
        <w:footnoteRef/>
      </w:r>
      <w:r w:rsidRPr="00B30193">
        <w:rPr>
          <w:sz w:val="18"/>
        </w:rPr>
        <w:t xml:space="preserve"> </w:t>
      </w:r>
      <w:r w:rsidRPr="00B30193">
        <w:rPr>
          <w:rFonts w:ascii="Times New Roman" w:eastAsia="Calibri" w:hAnsi="Times New Roman" w:cs="Times New Roman"/>
          <w:szCs w:val="22"/>
          <w:lang w:val="en-GB"/>
        </w:rPr>
        <w:t>Directive 2001/18/EC of the European Parliament and of the Council of 12 March 2001 on the deliberate release into the environment of genetically modified organisms and repealing Council Directive 90/220/EEC (OJ L 106, 17.4.2001, p. 1)</w:t>
      </w:r>
      <w:r w:rsidR="008B518B">
        <w:rPr>
          <w:rFonts w:ascii="Times New Roman" w:eastAsia="Calibri" w:hAnsi="Times New Roman" w:cs="Times New Roman"/>
          <w:szCs w:val="22"/>
          <w:lang w:val="en-GB"/>
        </w:rPr>
        <w:t>, available at:</w:t>
      </w:r>
      <w:r w:rsidRPr="00B30193">
        <w:rPr>
          <w:rFonts w:ascii="Times New Roman" w:eastAsia="Calibri" w:hAnsi="Times New Roman" w:cs="Times New Roman"/>
          <w:szCs w:val="22"/>
          <w:lang w:val="en-GB"/>
        </w:rPr>
        <w:t xml:space="preserve"> </w:t>
      </w:r>
    </w:p>
    <w:p w:rsidR="006E25FD" w:rsidRPr="006E25FD" w:rsidRDefault="002B61A6">
      <w:pPr>
        <w:pStyle w:val="FootnoteText"/>
        <w:rPr>
          <w:lang w:val="en-IE"/>
        </w:rPr>
      </w:pPr>
      <w:hyperlink r:id="rId4" w:history="1">
        <w:r w:rsidR="006E25FD" w:rsidRPr="00B30193">
          <w:rPr>
            <w:rStyle w:val="Hyperlink"/>
            <w:rFonts w:ascii="Times New Roman" w:eastAsia="Calibri" w:hAnsi="Times New Roman" w:cs="Times New Roman"/>
            <w:szCs w:val="22"/>
            <w:lang w:val="en-GB"/>
          </w:rPr>
          <w:t>https://eur-lex.europa.eu/legal-content/EN/TXT/PDF/?uri=CELEX:02001L0018-20180329&amp;qid=1550847942646&amp;from=EN</w:t>
        </w:r>
      </w:hyperlink>
    </w:p>
  </w:footnote>
  <w:footnote w:id="5">
    <w:p w:rsidR="00B30193" w:rsidRPr="00B30193" w:rsidRDefault="00B30193" w:rsidP="00B30193">
      <w:pPr>
        <w:pStyle w:val="FootnoteText"/>
        <w:rPr>
          <w:rFonts w:ascii="Times New Roman" w:hAnsi="Times New Roman" w:cs="Times New Roman"/>
        </w:rPr>
      </w:pPr>
      <w:r>
        <w:rPr>
          <w:rStyle w:val="FootnoteReference"/>
        </w:rPr>
        <w:footnoteRef/>
      </w:r>
      <w:r>
        <w:t xml:space="preserve"> </w:t>
      </w:r>
      <w:r w:rsidRPr="00B30193">
        <w:rPr>
          <w:rFonts w:ascii="Times New Roman" w:hAnsi="Times New Roman" w:cs="Times New Roman"/>
        </w:rPr>
        <w:t xml:space="preserve">EFSA  GMO  Panel  (EFSA  Panel  on  Genetically  Modified  Organisms),  2013.  Guidance  on  the </w:t>
      </w:r>
    </w:p>
    <w:p w:rsidR="00B30193" w:rsidRPr="00B30193" w:rsidRDefault="00B30193" w:rsidP="00B30193">
      <w:pPr>
        <w:pStyle w:val="FootnoteText"/>
        <w:rPr>
          <w:rFonts w:ascii="Times New Roman" w:hAnsi="Times New Roman" w:cs="Times New Roman"/>
        </w:rPr>
      </w:pPr>
      <w:r w:rsidRPr="00B30193">
        <w:rPr>
          <w:rFonts w:ascii="Times New Roman" w:hAnsi="Times New Roman" w:cs="Times New Roman"/>
        </w:rPr>
        <w:t xml:space="preserve">environmental  risk  assessment  of  genetically  modified  animals.  EFSA  Journal  2013;11(5):3200,  190  pp. </w:t>
      </w:r>
    </w:p>
    <w:p w:rsidR="00B30193" w:rsidRPr="008B518B" w:rsidRDefault="00B30193" w:rsidP="00B30193">
      <w:pPr>
        <w:pStyle w:val="FootnoteText"/>
      </w:pPr>
      <w:r w:rsidRPr="00B30193">
        <w:rPr>
          <w:rFonts w:ascii="Times New Roman" w:hAnsi="Times New Roman" w:cs="Times New Roman"/>
        </w:rPr>
        <w:t>doi:10.2903/j.efsa.2013.3200</w:t>
      </w:r>
      <w:r w:rsidR="008B518B">
        <w:rPr>
          <w:rFonts w:ascii="Times New Roman" w:hAnsi="Times New Roman" w:cs="Times New Roman"/>
        </w:rPr>
        <w:t xml:space="preserve">, </w:t>
      </w:r>
      <w:r w:rsidR="008B518B">
        <w:t>available at:</w:t>
      </w:r>
      <w:r>
        <w:t xml:space="preserve"> </w:t>
      </w:r>
      <w:hyperlink r:id="rId5" w:history="1">
        <w:r w:rsidRPr="00B30193">
          <w:rPr>
            <w:rStyle w:val="Hyperlink"/>
            <w:rFonts w:ascii="Times New Roman" w:hAnsi="Times New Roman" w:cs="Times New Roman"/>
          </w:rPr>
          <w:t>https://efsa.onlinelibrary.wiley.com/doi/epdf/10.2903/j.efsa.2013.3200</w:t>
        </w:r>
      </w:hyperlink>
      <w:r w:rsidRPr="00B30193">
        <w:rPr>
          <w:rFonts w:ascii="Times New Roman" w:hAnsi="Times New Roman" w:cs="Times New Roman"/>
        </w:rPr>
        <w:t xml:space="preserve"> </w:t>
      </w:r>
    </w:p>
  </w:footnote>
  <w:footnote w:id="6">
    <w:p w:rsidR="00B14865" w:rsidRPr="00B14865" w:rsidRDefault="00B14865" w:rsidP="00B14865">
      <w:pPr>
        <w:pStyle w:val="FootnoteText"/>
        <w:rPr>
          <w:rFonts w:ascii="Times New Roman" w:hAnsi="Times New Roman" w:cs="Times New Roman"/>
        </w:rPr>
      </w:pPr>
      <w:r>
        <w:rPr>
          <w:rStyle w:val="FootnoteReference"/>
        </w:rPr>
        <w:footnoteRef/>
      </w:r>
      <w:r>
        <w:t xml:space="preserve"> </w:t>
      </w:r>
      <w:r w:rsidRPr="00B14865">
        <w:rPr>
          <w:rFonts w:ascii="Times New Roman" w:hAnsi="Times New Roman" w:cs="Times New Roman"/>
        </w:rPr>
        <w:t xml:space="preserve">EFSA Panels on GMO and AHAW; 2012. Scientific Opinion on the Guidance on the risk assessment of </w:t>
      </w:r>
    </w:p>
    <w:p w:rsidR="00B14865" w:rsidRPr="008B518B" w:rsidRDefault="00B14865" w:rsidP="00B14865">
      <w:pPr>
        <w:pStyle w:val="FootnoteText"/>
        <w:rPr>
          <w:rFonts w:ascii="Times New Roman" w:hAnsi="Times New Roman" w:cs="Times New Roman"/>
        </w:rPr>
      </w:pPr>
      <w:r w:rsidRPr="00B14865">
        <w:rPr>
          <w:rFonts w:ascii="Times New Roman" w:hAnsi="Times New Roman" w:cs="Times New Roman"/>
        </w:rPr>
        <w:t>food and feed from genetically modified animals and animal health and welfare aspects. EFSA Journal 2012;10(1):2501. [43 pp.] doi:10.2903/j.efsa.2012.2501</w:t>
      </w:r>
      <w:r w:rsidR="008B518B">
        <w:rPr>
          <w:rFonts w:ascii="Times New Roman" w:hAnsi="Times New Roman" w:cs="Times New Roman"/>
        </w:rPr>
        <w:t xml:space="preserve">, </w:t>
      </w:r>
      <w:r w:rsidR="008B518B">
        <w:t>available at:</w:t>
      </w:r>
      <w:r>
        <w:rPr>
          <w:rFonts w:ascii="Times New Roman" w:hAnsi="Times New Roman" w:cs="Times New Roman"/>
        </w:rPr>
        <w:t xml:space="preserve"> </w:t>
      </w:r>
      <w:hyperlink r:id="rId6" w:history="1">
        <w:r w:rsidRPr="004B57DC">
          <w:rPr>
            <w:rStyle w:val="Hyperlink"/>
            <w:rFonts w:ascii="Times New Roman" w:hAnsi="Times New Roman" w:cs="Times New Roman"/>
          </w:rPr>
          <w:t>https://efsa.onlinelibrary.wiley.com/doi/epdf/10.2903/j.efsa.2012.2501</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31A9"/>
    <w:multiLevelType w:val="hybridMultilevel"/>
    <w:tmpl w:val="1E2CC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6551AC"/>
    <w:rsid w:val="000174EF"/>
    <w:rsid w:val="00050251"/>
    <w:rsid w:val="001A1F95"/>
    <w:rsid w:val="001B4F28"/>
    <w:rsid w:val="001E0E2D"/>
    <w:rsid w:val="002B61A6"/>
    <w:rsid w:val="002E7FD2"/>
    <w:rsid w:val="002F4F5B"/>
    <w:rsid w:val="00310F06"/>
    <w:rsid w:val="004F6DA9"/>
    <w:rsid w:val="00524235"/>
    <w:rsid w:val="005E1E7F"/>
    <w:rsid w:val="005F0C47"/>
    <w:rsid w:val="006551AC"/>
    <w:rsid w:val="006A6DE5"/>
    <w:rsid w:val="006E25FD"/>
    <w:rsid w:val="006F4386"/>
    <w:rsid w:val="007051E9"/>
    <w:rsid w:val="007C1CD2"/>
    <w:rsid w:val="00864372"/>
    <w:rsid w:val="00864B2F"/>
    <w:rsid w:val="008A1861"/>
    <w:rsid w:val="008B518B"/>
    <w:rsid w:val="008B7B8C"/>
    <w:rsid w:val="009677CC"/>
    <w:rsid w:val="009E3975"/>
    <w:rsid w:val="00A40B3F"/>
    <w:rsid w:val="00AB0507"/>
    <w:rsid w:val="00B14865"/>
    <w:rsid w:val="00B30193"/>
    <w:rsid w:val="00B52664"/>
    <w:rsid w:val="00BB524A"/>
    <w:rsid w:val="00C61597"/>
    <w:rsid w:val="00C903A3"/>
    <w:rsid w:val="00DB0CD4"/>
    <w:rsid w:val="00DD7337"/>
    <w:rsid w:val="00DF1909"/>
    <w:rsid w:val="00F96C8E"/>
    <w:rsid w:val="00FA681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EEA7"/>
  <w15:chartTrackingRefBased/>
  <w15:docId w15:val="{83898931-5CFE-40DA-B4A1-DFAF7E98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09"/>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909"/>
    <w:rPr>
      <w:sz w:val="16"/>
      <w:szCs w:val="16"/>
    </w:rPr>
  </w:style>
  <w:style w:type="paragraph" w:styleId="CommentText">
    <w:name w:val="annotation text"/>
    <w:basedOn w:val="Normal"/>
    <w:link w:val="CommentTextChar"/>
    <w:uiPriority w:val="99"/>
    <w:semiHidden/>
    <w:unhideWhenUsed/>
    <w:rsid w:val="00DF1909"/>
    <w:pPr>
      <w:spacing w:line="240" w:lineRule="auto"/>
    </w:pPr>
    <w:rPr>
      <w:sz w:val="20"/>
      <w:szCs w:val="20"/>
    </w:rPr>
  </w:style>
  <w:style w:type="character" w:customStyle="1" w:styleId="CommentTextChar">
    <w:name w:val="Comment Text Char"/>
    <w:basedOn w:val="DefaultParagraphFont"/>
    <w:link w:val="CommentText"/>
    <w:uiPriority w:val="99"/>
    <w:semiHidden/>
    <w:rsid w:val="00DF1909"/>
    <w:rPr>
      <w:sz w:val="20"/>
      <w:szCs w:val="20"/>
      <w:lang w:val="lv-LV"/>
    </w:rPr>
  </w:style>
  <w:style w:type="paragraph" w:styleId="CommentSubject">
    <w:name w:val="annotation subject"/>
    <w:basedOn w:val="CommentText"/>
    <w:next w:val="CommentText"/>
    <w:link w:val="CommentSubjectChar"/>
    <w:uiPriority w:val="99"/>
    <w:semiHidden/>
    <w:unhideWhenUsed/>
    <w:rsid w:val="00DF1909"/>
    <w:rPr>
      <w:b/>
      <w:bCs/>
    </w:rPr>
  </w:style>
  <w:style w:type="character" w:customStyle="1" w:styleId="CommentSubjectChar">
    <w:name w:val="Comment Subject Char"/>
    <w:basedOn w:val="CommentTextChar"/>
    <w:link w:val="CommentSubject"/>
    <w:uiPriority w:val="99"/>
    <w:semiHidden/>
    <w:rsid w:val="00DF1909"/>
    <w:rPr>
      <w:b/>
      <w:bCs/>
      <w:sz w:val="20"/>
      <w:szCs w:val="20"/>
      <w:lang w:val="lv-LV"/>
    </w:rPr>
  </w:style>
  <w:style w:type="paragraph" w:styleId="BalloonText">
    <w:name w:val="Balloon Text"/>
    <w:basedOn w:val="Normal"/>
    <w:link w:val="BalloonTextChar"/>
    <w:uiPriority w:val="99"/>
    <w:semiHidden/>
    <w:unhideWhenUsed/>
    <w:rsid w:val="00DF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09"/>
    <w:rPr>
      <w:rFonts w:ascii="Segoe UI" w:hAnsi="Segoe UI" w:cs="Segoe UI"/>
      <w:sz w:val="18"/>
      <w:szCs w:val="18"/>
      <w:lang w:val="lv-LV"/>
    </w:rPr>
  </w:style>
  <w:style w:type="paragraph" w:customStyle="1" w:styleId="first">
    <w:name w:val="first"/>
    <w:basedOn w:val="Normal"/>
    <w:rsid w:val="00AB0507"/>
    <w:pPr>
      <w:tabs>
        <w:tab w:val="left" w:pos="357"/>
        <w:tab w:val="left" w:pos="714"/>
        <w:tab w:val="left" w:pos="1072"/>
      </w:tabs>
      <w:spacing w:before="120" w:after="0" w:line="240" w:lineRule="atLeast"/>
    </w:pPr>
    <w:rPr>
      <w:rFonts w:ascii="Times New Roman" w:eastAsia="Times New Roman" w:hAnsi="Times New Roman" w:cs="Times New Roman"/>
      <w:sz w:val="24"/>
      <w:szCs w:val="20"/>
      <w:lang w:val="de-DE" w:eastAsia="de-DE"/>
    </w:rPr>
  </w:style>
  <w:style w:type="paragraph" w:styleId="ListParagraph">
    <w:name w:val="List Paragraph"/>
    <w:basedOn w:val="Normal"/>
    <w:uiPriority w:val="34"/>
    <w:qFormat/>
    <w:rsid w:val="006E25FD"/>
    <w:pPr>
      <w:ind w:left="720"/>
      <w:contextualSpacing/>
    </w:pPr>
  </w:style>
  <w:style w:type="paragraph" w:styleId="FootnoteText">
    <w:name w:val="footnote text"/>
    <w:basedOn w:val="Normal"/>
    <w:link w:val="FootnoteTextChar"/>
    <w:uiPriority w:val="99"/>
    <w:semiHidden/>
    <w:unhideWhenUsed/>
    <w:rsid w:val="006E2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FD"/>
    <w:rPr>
      <w:sz w:val="20"/>
      <w:szCs w:val="20"/>
      <w:lang w:val="lv-LV"/>
    </w:rPr>
  </w:style>
  <w:style w:type="character" w:styleId="FootnoteReference">
    <w:name w:val="footnote reference"/>
    <w:basedOn w:val="DefaultParagraphFont"/>
    <w:uiPriority w:val="99"/>
    <w:semiHidden/>
    <w:unhideWhenUsed/>
    <w:rsid w:val="006E25FD"/>
    <w:rPr>
      <w:vertAlign w:val="superscript"/>
    </w:rPr>
  </w:style>
  <w:style w:type="character" w:styleId="Hyperlink">
    <w:name w:val="Hyperlink"/>
    <w:basedOn w:val="DefaultParagraphFont"/>
    <w:uiPriority w:val="99"/>
    <w:unhideWhenUsed/>
    <w:rsid w:val="006E25FD"/>
    <w:rPr>
      <w:color w:val="0563C1" w:themeColor="hyperlink"/>
      <w:u w:val="single"/>
    </w:rPr>
  </w:style>
  <w:style w:type="character" w:styleId="FollowedHyperlink">
    <w:name w:val="FollowedHyperlink"/>
    <w:basedOn w:val="DefaultParagraphFont"/>
    <w:uiPriority w:val="99"/>
    <w:semiHidden/>
    <w:unhideWhenUsed/>
    <w:rsid w:val="00B52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scientific_committees/scheer/docs/scheer_s_002.pdf" TargetMode="External"/><Relationship Id="rId2" Type="http://schemas.openxmlformats.org/officeDocument/2006/relationships/hyperlink" Target="https://ec.europa.eu/health/sites/health/files/scientific_committees/scheer/docs/scheer_s_001.pdf" TargetMode="External"/><Relationship Id="rId1" Type="http://schemas.openxmlformats.org/officeDocument/2006/relationships/hyperlink" Target="https://ec.europa.eu/research/sam/index.cfm?pg=agribiotechnology" TargetMode="External"/><Relationship Id="rId6" Type="http://schemas.openxmlformats.org/officeDocument/2006/relationships/hyperlink" Target="https://efsa.onlinelibrary.wiley.com/doi/epdf/10.2903/j.efsa.2012.2501" TargetMode="External"/><Relationship Id="rId5" Type="http://schemas.openxmlformats.org/officeDocument/2006/relationships/hyperlink" Target="https://efsa.onlinelibrary.wiley.com/doi/epdf/10.2903/j.efsa.2013.3200" TargetMode="External"/><Relationship Id="rId4" Type="http://schemas.openxmlformats.org/officeDocument/2006/relationships/hyperlink" Target="https://eur-lex.europa.eu/legal-content/EN/TXT/PDF/?uri=CELEX:02001L0018-20180329&amp;qid=155084794264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A24EF5-2861-49E6-BF11-158014C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3543</Characters>
  <Application>Microsoft Office Word</Application>
  <DocSecurity>4</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2019-02-25T11:56:00Z</cp:lastPrinted>
  <dcterms:created xsi:type="dcterms:W3CDTF">2019-03-18T14:16:00Z</dcterms:created>
  <dcterms:modified xsi:type="dcterms:W3CDTF">2019-03-18T14:16:00Z</dcterms:modified>
</cp:coreProperties>
</file>