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95" w:rsidRPr="0035740F" w:rsidRDefault="00583495" w:rsidP="00583495">
      <w:pPr>
        <w:jc w:val="center"/>
        <w:rPr>
          <w:rFonts w:ascii="Cambria" w:hAnsi="Cambria"/>
          <w:i w:val="0"/>
          <w:sz w:val="22"/>
          <w:szCs w:val="22"/>
        </w:rPr>
      </w:pPr>
      <w:r w:rsidRPr="0035740F">
        <w:rPr>
          <w:rFonts w:ascii="Cambria" w:hAnsi="Cambria"/>
          <w:i w:val="0"/>
          <w:sz w:val="22"/>
          <w:szCs w:val="22"/>
        </w:rPr>
        <w:t xml:space="preserve">Determination of the Safety of </w:t>
      </w:r>
      <w:r w:rsidR="00A8340E">
        <w:rPr>
          <w:rFonts w:ascii="Cambria" w:hAnsi="Cambria"/>
          <w:i w:val="0"/>
          <w:sz w:val="22"/>
          <w:szCs w:val="22"/>
        </w:rPr>
        <w:t>Syngenta</w:t>
      </w:r>
      <w:r w:rsidRPr="0035740F">
        <w:rPr>
          <w:rFonts w:ascii="Cambria" w:hAnsi="Cambria"/>
          <w:i w:val="0"/>
          <w:sz w:val="22"/>
          <w:szCs w:val="22"/>
        </w:rPr>
        <w:t>’s</w:t>
      </w:r>
    </w:p>
    <w:p w:rsidR="00583495" w:rsidRPr="0035740F" w:rsidRDefault="00A8340E" w:rsidP="00583495">
      <w:pPr>
        <w:jc w:val="center"/>
        <w:rPr>
          <w:rFonts w:ascii="Cambria" w:hAnsi="Cambria"/>
          <w:i w:val="0"/>
          <w:sz w:val="22"/>
          <w:szCs w:val="22"/>
        </w:rPr>
      </w:pPr>
      <w:r>
        <w:rPr>
          <w:rFonts w:ascii="Cambria" w:hAnsi="Cambria"/>
          <w:i w:val="0"/>
          <w:sz w:val="22"/>
          <w:szCs w:val="22"/>
        </w:rPr>
        <w:t>Corn MIR604</w:t>
      </w:r>
    </w:p>
    <w:p w:rsidR="00583495" w:rsidRPr="0035740F" w:rsidRDefault="00583495" w:rsidP="00583495">
      <w:pPr>
        <w:pBdr>
          <w:bottom w:val="single" w:sz="12" w:space="1" w:color="auto"/>
        </w:pBdr>
        <w:jc w:val="center"/>
        <w:rPr>
          <w:rFonts w:ascii="Cambria" w:hAnsi="Cambria"/>
          <w:b w:val="0"/>
          <w:i w:val="0"/>
          <w:sz w:val="22"/>
          <w:szCs w:val="22"/>
        </w:rPr>
      </w:pPr>
      <w:proofErr w:type="gramStart"/>
      <w:r w:rsidRPr="0035740F">
        <w:rPr>
          <w:rFonts w:ascii="Cambria" w:hAnsi="Cambria"/>
          <w:i w:val="0"/>
          <w:sz w:val="22"/>
          <w:szCs w:val="22"/>
        </w:rPr>
        <w:t>for</w:t>
      </w:r>
      <w:proofErr w:type="gramEnd"/>
      <w:r w:rsidRPr="0035740F">
        <w:rPr>
          <w:rFonts w:ascii="Cambria" w:hAnsi="Cambria"/>
          <w:i w:val="0"/>
          <w:sz w:val="22"/>
          <w:szCs w:val="22"/>
        </w:rPr>
        <w:t xml:space="preserve"> Direct use as Food, Feed, or Processing</w:t>
      </w:r>
    </w:p>
    <w:p w:rsidR="00264D1D" w:rsidRDefault="00264D1D" w:rsidP="00583495">
      <w:pPr>
        <w:spacing w:after="40"/>
        <w:jc w:val="both"/>
        <w:rPr>
          <w:rFonts w:ascii="Cambria" w:hAnsi="Cambria"/>
          <w:i w:val="0"/>
          <w:sz w:val="22"/>
          <w:szCs w:val="22"/>
        </w:rPr>
      </w:pPr>
    </w:p>
    <w:p w:rsidR="007756B8" w:rsidRPr="0035740F" w:rsidRDefault="00583495" w:rsidP="00583495">
      <w:pPr>
        <w:spacing w:after="40"/>
        <w:jc w:val="both"/>
        <w:rPr>
          <w:rFonts w:ascii="Cambria" w:hAnsi="Cambria"/>
          <w:b w:val="0"/>
          <w:i w:val="0"/>
          <w:sz w:val="22"/>
          <w:szCs w:val="22"/>
        </w:rPr>
      </w:pPr>
      <w:r w:rsidRPr="0035740F">
        <w:rPr>
          <w:rFonts w:ascii="Cambria" w:hAnsi="Cambria"/>
          <w:b w:val="0"/>
          <w:i w:val="0"/>
          <w:sz w:val="22"/>
          <w:szCs w:val="22"/>
        </w:rPr>
        <w:t xml:space="preserve">The product dossier of </w:t>
      </w:r>
      <w:r w:rsidR="00082777">
        <w:rPr>
          <w:rFonts w:ascii="Cambria" w:hAnsi="Cambria"/>
          <w:b w:val="0"/>
          <w:i w:val="0"/>
          <w:sz w:val="22"/>
          <w:szCs w:val="22"/>
        </w:rPr>
        <w:t>Syngenta</w:t>
      </w:r>
      <w:r w:rsidRPr="0035740F">
        <w:rPr>
          <w:rFonts w:ascii="Cambria" w:hAnsi="Cambria"/>
          <w:b w:val="0"/>
          <w:i w:val="0"/>
          <w:sz w:val="22"/>
          <w:szCs w:val="22"/>
        </w:rPr>
        <w:t xml:space="preserve">’s </w:t>
      </w:r>
      <w:r w:rsidR="00082777">
        <w:rPr>
          <w:rFonts w:ascii="Cambria" w:hAnsi="Cambria"/>
          <w:b w:val="0"/>
          <w:i w:val="0"/>
          <w:sz w:val="22"/>
          <w:szCs w:val="22"/>
        </w:rPr>
        <w:t>corn</w:t>
      </w:r>
      <w:r w:rsidRPr="0035740F">
        <w:rPr>
          <w:rFonts w:ascii="Cambria" w:hAnsi="Cambria"/>
          <w:b w:val="0"/>
          <w:i w:val="0"/>
          <w:sz w:val="22"/>
          <w:szCs w:val="22"/>
        </w:rPr>
        <w:t xml:space="preserve"> </w:t>
      </w:r>
      <w:r w:rsidR="00082777">
        <w:rPr>
          <w:rFonts w:ascii="Cambria" w:hAnsi="Cambria"/>
          <w:b w:val="0"/>
          <w:i w:val="0"/>
          <w:sz w:val="22"/>
          <w:szCs w:val="22"/>
        </w:rPr>
        <w:t>MIR604</w:t>
      </w:r>
      <w:r w:rsidR="00401EED" w:rsidRPr="0035740F">
        <w:rPr>
          <w:rFonts w:ascii="Cambria" w:hAnsi="Cambria"/>
          <w:b w:val="0"/>
          <w:i w:val="0"/>
          <w:sz w:val="22"/>
          <w:szCs w:val="22"/>
        </w:rPr>
        <w:t xml:space="preserve"> </w:t>
      </w:r>
      <w:r w:rsidRPr="0035740F">
        <w:rPr>
          <w:rFonts w:ascii="Cambria" w:hAnsi="Cambria"/>
          <w:b w:val="0"/>
          <w:i w:val="0"/>
          <w:sz w:val="22"/>
          <w:szCs w:val="22"/>
        </w:rPr>
        <w:t xml:space="preserve">was reviewed for safety and nutritional differences compared to the conventional </w:t>
      </w:r>
      <w:r w:rsidR="00D05E55">
        <w:rPr>
          <w:rFonts w:ascii="Cambria" w:hAnsi="Cambria"/>
          <w:b w:val="0"/>
          <w:i w:val="0"/>
          <w:sz w:val="22"/>
          <w:szCs w:val="22"/>
        </w:rPr>
        <w:t>corn</w:t>
      </w:r>
      <w:r w:rsidRPr="0035740F">
        <w:rPr>
          <w:rFonts w:ascii="Cambria" w:hAnsi="Cambria"/>
          <w:b w:val="0"/>
          <w:i w:val="0"/>
          <w:sz w:val="22"/>
          <w:szCs w:val="22"/>
        </w:rPr>
        <w:t>.</w:t>
      </w:r>
      <w:r w:rsidR="0022418C" w:rsidRPr="0035740F">
        <w:rPr>
          <w:rFonts w:ascii="Cambria" w:hAnsi="Cambria"/>
          <w:b w:val="0"/>
          <w:i w:val="0"/>
          <w:sz w:val="22"/>
          <w:szCs w:val="22"/>
        </w:rPr>
        <w:t xml:space="preserve"> </w:t>
      </w:r>
      <w:r w:rsidRPr="0035740F">
        <w:rPr>
          <w:rFonts w:ascii="Cambria" w:hAnsi="Cambria"/>
          <w:b w:val="0"/>
          <w:i w:val="0"/>
          <w:sz w:val="22"/>
          <w:szCs w:val="22"/>
        </w:rPr>
        <w:t xml:space="preserve">The focus of the food/feed safety assessment is based on the following issues: (a) the nature of the genetic modification; (b) novel protein expression; (c) </w:t>
      </w:r>
      <w:r w:rsidRPr="0035740F">
        <w:rPr>
          <w:rFonts w:ascii="Cambria" w:hAnsi="Cambria"/>
          <w:b w:val="0"/>
          <w:i w:val="0"/>
          <w:iCs/>
          <w:sz w:val="22"/>
          <w:szCs w:val="22"/>
        </w:rPr>
        <w:t>in vitro</w:t>
      </w:r>
      <w:r w:rsidRPr="0035740F">
        <w:rPr>
          <w:rFonts w:ascii="Cambria" w:hAnsi="Cambria"/>
          <w:b w:val="0"/>
          <w:i w:val="0"/>
          <w:sz w:val="22"/>
          <w:szCs w:val="22"/>
        </w:rPr>
        <w:t xml:space="preserve"> digestibility; (d) toxicological assessment; (e) allergenic potential; and (f) compositional and nutritional assessment.</w:t>
      </w:r>
    </w:p>
    <w:p w:rsidR="00583495" w:rsidRPr="0035740F" w:rsidRDefault="00583495" w:rsidP="00583495">
      <w:pPr>
        <w:pStyle w:val="BodyText2"/>
        <w:spacing w:after="40"/>
        <w:ind w:left="360"/>
        <w:rPr>
          <w:rFonts w:ascii="Cambria" w:hAnsi="Cambria"/>
          <w:sz w:val="22"/>
          <w:szCs w:val="22"/>
        </w:rPr>
      </w:pPr>
    </w:p>
    <w:p w:rsidR="00583495" w:rsidRPr="0035740F" w:rsidRDefault="00583495" w:rsidP="00583495">
      <w:pPr>
        <w:jc w:val="both"/>
        <w:rPr>
          <w:rFonts w:ascii="Cambria" w:hAnsi="Cambria"/>
          <w:b w:val="0"/>
          <w:i w:val="0"/>
          <w:sz w:val="22"/>
          <w:szCs w:val="22"/>
        </w:rPr>
      </w:pPr>
      <w:r w:rsidRPr="0035740F">
        <w:rPr>
          <w:rFonts w:ascii="Cambria" w:hAnsi="Cambria"/>
          <w:b w:val="0"/>
          <w:i w:val="0"/>
          <w:sz w:val="22"/>
          <w:szCs w:val="22"/>
        </w:rPr>
        <w:t xml:space="preserve">A biosafety permit for </w:t>
      </w:r>
      <w:r w:rsidR="00D05E55">
        <w:rPr>
          <w:rFonts w:ascii="Cambria" w:hAnsi="Cambria"/>
          <w:b w:val="0"/>
          <w:i w:val="0"/>
          <w:sz w:val="22"/>
          <w:szCs w:val="22"/>
        </w:rPr>
        <w:t>corn MIR604</w:t>
      </w:r>
      <w:r w:rsidRPr="0035740F">
        <w:rPr>
          <w:rFonts w:ascii="Cambria" w:hAnsi="Cambria"/>
          <w:b w:val="0"/>
          <w:i w:val="0"/>
          <w:sz w:val="22"/>
          <w:szCs w:val="22"/>
        </w:rPr>
        <w:t xml:space="preserve"> and all progenies derived from crosses of the product with any conventionally bred </w:t>
      </w:r>
      <w:r w:rsidR="00D05E55">
        <w:rPr>
          <w:rFonts w:ascii="Cambria" w:hAnsi="Cambria"/>
          <w:b w:val="0"/>
          <w:i w:val="0"/>
          <w:sz w:val="22"/>
          <w:szCs w:val="22"/>
        </w:rPr>
        <w:t>corn</w:t>
      </w:r>
      <w:r w:rsidRPr="0035740F">
        <w:rPr>
          <w:rFonts w:ascii="Cambria" w:hAnsi="Cambria"/>
          <w:b w:val="0"/>
          <w:i w:val="0"/>
          <w:sz w:val="22"/>
          <w:szCs w:val="22"/>
        </w:rPr>
        <w:t xml:space="preserve"> and </w:t>
      </w:r>
      <w:r w:rsidR="00D05E55">
        <w:rPr>
          <w:rFonts w:ascii="Cambria" w:hAnsi="Cambria"/>
          <w:b w:val="0"/>
          <w:i w:val="0"/>
          <w:sz w:val="22"/>
          <w:szCs w:val="22"/>
        </w:rPr>
        <w:t>corn</w:t>
      </w:r>
      <w:r w:rsidRPr="0035740F">
        <w:rPr>
          <w:rFonts w:ascii="Cambria" w:hAnsi="Cambria"/>
          <w:b w:val="0"/>
          <w:i w:val="0"/>
          <w:sz w:val="22"/>
          <w:szCs w:val="22"/>
        </w:rPr>
        <w:t xml:space="preserve"> containing approved-biotech events for direct use as food, feed or for processing, was issued to </w:t>
      </w:r>
      <w:r w:rsidR="00D05E55">
        <w:rPr>
          <w:rFonts w:ascii="Cambria" w:hAnsi="Cambria"/>
          <w:b w:val="0"/>
          <w:i w:val="0"/>
          <w:sz w:val="22"/>
          <w:szCs w:val="22"/>
        </w:rPr>
        <w:t>Syngenta Philippines</w:t>
      </w:r>
      <w:r w:rsidRPr="0035740F">
        <w:rPr>
          <w:rFonts w:ascii="Cambria" w:hAnsi="Cambria"/>
          <w:b w:val="0"/>
          <w:i w:val="0"/>
          <w:sz w:val="22"/>
          <w:szCs w:val="22"/>
        </w:rPr>
        <w:t xml:space="preserve"> Inc. on </w:t>
      </w:r>
      <w:r w:rsidR="00D05E55">
        <w:rPr>
          <w:rFonts w:ascii="Cambria" w:hAnsi="Cambria"/>
          <w:b w:val="0"/>
          <w:i w:val="0"/>
          <w:sz w:val="22"/>
          <w:szCs w:val="22"/>
        </w:rPr>
        <w:t>March 6, 2018</w:t>
      </w:r>
      <w:r w:rsidRPr="0035740F">
        <w:rPr>
          <w:rFonts w:ascii="Cambria" w:hAnsi="Cambria"/>
          <w:b w:val="0"/>
          <w:i w:val="0"/>
          <w:sz w:val="22"/>
          <w:szCs w:val="22"/>
        </w:rPr>
        <w:t xml:space="preserve">. The permit is valid for five years and shall expire on </w:t>
      </w:r>
      <w:r w:rsidR="00D05E55">
        <w:rPr>
          <w:rFonts w:ascii="Cambria" w:hAnsi="Cambria"/>
          <w:b w:val="0"/>
          <w:i w:val="0"/>
          <w:sz w:val="22"/>
          <w:szCs w:val="22"/>
        </w:rPr>
        <w:t>March 5, 2023</w:t>
      </w:r>
      <w:r w:rsidRPr="0035740F">
        <w:rPr>
          <w:rFonts w:ascii="Cambria" w:hAnsi="Cambria"/>
          <w:b w:val="0"/>
          <w:i w:val="0"/>
          <w:sz w:val="22"/>
          <w:szCs w:val="22"/>
        </w:rPr>
        <w:t xml:space="preserve"> subject to the terms and conditions set forth in </w:t>
      </w:r>
      <w:r w:rsidR="0022418C" w:rsidRPr="0035740F">
        <w:rPr>
          <w:rFonts w:ascii="Cambria" w:hAnsi="Cambria"/>
          <w:b w:val="0"/>
          <w:i w:val="0"/>
          <w:sz w:val="22"/>
          <w:szCs w:val="22"/>
        </w:rPr>
        <w:t>DOST-DA-DENR-DOH-DILG Joint Department Circular No. 1 series of 2016</w:t>
      </w:r>
      <w:r w:rsidRPr="0035740F">
        <w:rPr>
          <w:rFonts w:ascii="Cambria" w:hAnsi="Cambria"/>
          <w:b w:val="0"/>
          <w:i w:val="0"/>
          <w:sz w:val="22"/>
          <w:szCs w:val="22"/>
        </w:rPr>
        <w:t>. The said product was included in the Lists of Approval Registry being prepared by the Department of Agriculture – Bureau of Plant Industry.</w:t>
      </w:r>
    </w:p>
    <w:p w:rsidR="00583495" w:rsidRPr="0035740F" w:rsidRDefault="00583495" w:rsidP="00583495">
      <w:pPr>
        <w:spacing w:after="40"/>
        <w:ind w:left="360"/>
        <w:jc w:val="both"/>
        <w:rPr>
          <w:rFonts w:ascii="Cambria" w:hAnsi="Cambria"/>
          <w:b w:val="0"/>
          <w:i w:val="0"/>
          <w:sz w:val="22"/>
          <w:szCs w:val="22"/>
        </w:rPr>
      </w:pPr>
    </w:p>
    <w:p w:rsidR="00583495" w:rsidRPr="0035740F" w:rsidRDefault="00583495" w:rsidP="00583495">
      <w:pPr>
        <w:pBdr>
          <w:bottom w:val="single" w:sz="12" w:space="1" w:color="auto"/>
        </w:pBdr>
        <w:spacing w:after="40"/>
        <w:jc w:val="both"/>
        <w:rPr>
          <w:rFonts w:ascii="Cambria" w:hAnsi="Cambria"/>
          <w:b w:val="0"/>
          <w:sz w:val="22"/>
          <w:szCs w:val="22"/>
        </w:rPr>
      </w:pPr>
      <w:r w:rsidRPr="0035740F">
        <w:rPr>
          <w:rFonts w:ascii="Cambria" w:hAnsi="Cambria"/>
          <w:b w:val="0"/>
          <w:sz w:val="22"/>
          <w:szCs w:val="22"/>
        </w:rPr>
        <w:t xml:space="preserve">This approval is for use as Food, Feed or </w:t>
      </w:r>
      <w:proofErr w:type="gramStart"/>
      <w:r w:rsidRPr="0035740F">
        <w:rPr>
          <w:rFonts w:ascii="Cambria" w:hAnsi="Cambria"/>
          <w:b w:val="0"/>
          <w:sz w:val="22"/>
          <w:szCs w:val="22"/>
        </w:rPr>
        <w:t>Processing</w:t>
      </w:r>
      <w:proofErr w:type="gramEnd"/>
      <w:r w:rsidRPr="0035740F">
        <w:rPr>
          <w:rFonts w:ascii="Cambria" w:hAnsi="Cambria"/>
          <w:b w:val="0"/>
          <w:sz w:val="22"/>
          <w:szCs w:val="22"/>
        </w:rPr>
        <w:t xml:space="preserve"> only. This does not include cultivation of </w:t>
      </w:r>
      <w:r w:rsidR="00D05E55">
        <w:rPr>
          <w:rFonts w:ascii="Cambria" w:hAnsi="Cambria"/>
          <w:b w:val="0"/>
          <w:sz w:val="22"/>
          <w:szCs w:val="22"/>
        </w:rPr>
        <w:t>MIR604</w:t>
      </w:r>
      <w:r w:rsidR="0022418C" w:rsidRPr="0035740F">
        <w:rPr>
          <w:rFonts w:ascii="Cambria" w:hAnsi="Cambria"/>
          <w:b w:val="0"/>
          <w:sz w:val="22"/>
          <w:szCs w:val="22"/>
        </w:rPr>
        <w:t xml:space="preserve"> </w:t>
      </w:r>
      <w:r w:rsidRPr="0035740F">
        <w:rPr>
          <w:rFonts w:ascii="Cambria" w:hAnsi="Cambria"/>
          <w:b w:val="0"/>
          <w:sz w:val="22"/>
          <w:szCs w:val="22"/>
        </w:rPr>
        <w:t xml:space="preserve">in the Philippines. Food and Feed use of </w:t>
      </w:r>
      <w:r w:rsidR="00D05E55">
        <w:rPr>
          <w:rFonts w:ascii="Cambria" w:hAnsi="Cambria"/>
          <w:b w:val="0"/>
          <w:sz w:val="22"/>
          <w:szCs w:val="22"/>
        </w:rPr>
        <w:t>MIR604</w:t>
      </w:r>
      <w:r w:rsidRPr="0035740F">
        <w:rPr>
          <w:rFonts w:ascii="Cambria" w:hAnsi="Cambria"/>
          <w:b w:val="0"/>
          <w:sz w:val="22"/>
          <w:szCs w:val="22"/>
        </w:rPr>
        <w:t xml:space="preserve"> and</w:t>
      </w:r>
      <w:r w:rsidR="0022418C" w:rsidRPr="0035740F">
        <w:rPr>
          <w:rFonts w:ascii="Cambria" w:hAnsi="Cambria"/>
          <w:b w:val="0"/>
          <w:sz w:val="22"/>
          <w:szCs w:val="22"/>
        </w:rPr>
        <w:t xml:space="preserve"> </w:t>
      </w:r>
      <w:r w:rsidRPr="0035740F">
        <w:rPr>
          <w:rFonts w:ascii="Cambria" w:hAnsi="Cambria"/>
          <w:b w:val="0"/>
          <w:sz w:val="22"/>
          <w:szCs w:val="22"/>
        </w:rPr>
        <w:t>its by-products is therefore authorized as of</w:t>
      </w:r>
      <w:r w:rsidR="002C2579">
        <w:rPr>
          <w:rFonts w:ascii="Cambria" w:hAnsi="Cambria"/>
          <w:b w:val="0"/>
          <w:sz w:val="22"/>
          <w:szCs w:val="22"/>
        </w:rPr>
        <w:t xml:space="preserve"> </w:t>
      </w:r>
      <w:r w:rsidR="00D05E55">
        <w:rPr>
          <w:rFonts w:ascii="Cambria" w:hAnsi="Cambria"/>
          <w:b w:val="0"/>
          <w:sz w:val="22"/>
          <w:szCs w:val="22"/>
        </w:rPr>
        <w:t>March 6, 2018</w:t>
      </w:r>
      <w:r w:rsidRPr="0035740F">
        <w:rPr>
          <w:rFonts w:ascii="Cambria" w:hAnsi="Cambria"/>
          <w:b w:val="0"/>
          <w:sz w:val="22"/>
          <w:szCs w:val="22"/>
        </w:rPr>
        <w:t>. The biosafety permit (</w:t>
      </w:r>
      <w:r w:rsidRPr="00D874D7">
        <w:rPr>
          <w:rFonts w:ascii="Cambria" w:hAnsi="Cambria"/>
          <w:b w:val="0"/>
          <w:sz w:val="22"/>
          <w:szCs w:val="22"/>
        </w:rPr>
        <w:t xml:space="preserve">No. </w:t>
      </w:r>
      <w:r w:rsidR="00D05E55">
        <w:rPr>
          <w:rFonts w:ascii="Cambria" w:hAnsi="Cambria"/>
          <w:b w:val="0"/>
          <w:sz w:val="22"/>
          <w:szCs w:val="22"/>
        </w:rPr>
        <w:t>17-005</w:t>
      </w:r>
      <w:r w:rsidR="00D874D7" w:rsidRPr="00D874D7">
        <w:rPr>
          <w:rFonts w:ascii="Cambria" w:hAnsi="Cambria"/>
          <w:b w:val="0"/>
          <w:sz w:val="22"/>
          <w:szCs w:val="22"/>
        </w:rPr>
        <w:t>FFP</w:t>
      </w:r>
      <w:r w:rsidRPr="0035740F">
        <w:rPr>
          <w:rFonts w:ascii="Cambria" w:hAnsi="Cambria"/>
          <w:b w:val="0"/>
          <w:sz w:val="22"/>
          <w:szCs w:val="22"/>
        </w:rPr>
        <w:t xml:space="preserve">) stated that </w:t>
      </w:r>
      <w:r w:rsidR="00D05E55">
        <w:rPr>
          <w:rFonts w:ascii="Cambria" w:hAnsi="Cambria"/>
          <w:b w:val="0"/>
          <w:sz w:val="22"/>
          <w:szCs w:val="22"/>
        </w:rPr>
        <w:t>MIR604</w:t>
      </w:r>
      <w:r w:rsidR="0022418C" w:rsidRPr="0035740F">
        <w:rPr>
          <w:rFonts w:ascii="Cambria" w:hAnsi="Cambria"/>
          <w:b w:val="0"/>
          <w:sz w:val="22"/>
          <w:szCs w:val="22"/>
        </w:rPr>
        <w:t xml:space="preserve"> </w:t>
      </w:r>
      <w:r w:rsidRPr="0035740F">
        <w:rPr>
          <w:rFonts w:ascii="Cambria" w:hAnsi="Cambria"/>
          <w:b w:val="0"/>
          <w:sz w:val="22"/>
          <w:szCs w:val="22"/>
        </w:rPr>
        <w:t xml:space="preserve">is as safe for human food, livestock feed and for processing as its conventional counterparts.  </w:t>
      </w:r>
    </w:p>
    <w:p w:rsidR="00583495" w:rsidRPr="0035740F" w:rsidRDefault="00583495" w:rsidP="00583495">
      <w:pPr>
        <w:spacing w:after="40"/>
        <w:jc w:val="both"/>
        <w:rPr>
          <w:rFonts w:ascii="Cambria" w:hAnsi="Cambria"/>
          <w:i w:val="0"/>
          <w:sz w:val="22"/>
          <w:szCs w:val="22"/>
        </w:rPr>
      </w:pPr>
    </w:p>
    <w:p w:rsidR="00583495" w:rsidRPr="0035740F" w:rsidRDefault="00583495" w:rsidP="00583495">
      <w:pPr>
        <w:numPr>
          <w:ilvl w:val="0"/>
          <w:numId w:val="1"/>
        </w:numPr>
        <w:tabs>
          <w:tab w:val="clear" w:pos="1080"/>
          <w:tab w:val="num" w:pos="360"/>
        </w:tabs>
        <w:spacing w:after="40"/>
        <w:ind w:left="360" w:hanging="360"/>
        <w:jc w:val="both"/>
        <w:rPr>
          <w:rFonts w:ascii="Cambria" w:hAnsi="Cambria"/>
          <w:i w:val="0"/>
          <w:sz w:val="22"/>
          <w:szCs w:val="22"/>
          <w:u w:val="single"/>
        </w:rPr>
      </w:pPr>
      <w:r w:rsidRPr="0035740F">
        <w:rPr>
          <w:rFonts w:ascii="Cambria" w:hAnsi="Cambria"/>
          <w:i w:val="0"/>
          <w:sz w:val="22"/>
          <w:szCs w:val="22"/>
          <w:u w:val="single"/>
        </w:rPr>
        <w:t>Brief Identification of the Genetically Modified Organism (Living Modified Organism)</w:t>
      </w:r>
    </w:p>
    <w:p w:rsidR="00583495" w:rsidRPr="0035740F" w:rsidRDefault="00583495" w:rsidP="00583495">
      <w:pPr>
        <w:spacing w:after="40"/>
        <w:ind w:left="1080"/>
        <w:jc w:val="both"/>
        <w:rPr>
          <w:rFonts w:ascii="Cambria" w:hAnsi="Cambria"/>
          <w:b w:val="0"/>
          <w:i w:val="0"/>
          <w:sz w:val="22"/>
          <w:szCs w:val="22"/>
        </w:rPr>
      </w:pPr>
    </w:p>
    <w:p w:rsidR="00583495" w:rsidRPr="0035740F" w:rsidRDefault="00583495" w:rsidP="00583495">
      <w:pPr>
        <w:ind w:left="3600" w:hanging="3240"/>
        <w:jc w:val="both"/>
        <w:rPr>
          <w:rFonts w:ascii="Cambria" w:hAnsi="Cambria"/>
          <w:b w:val="0"/>
          <w:i w:val="0"/>
          <w:sz w:val="22"/>
          <w:szCs w:val="22"/>
        </w:rPr>
      </w:pPr>
      <w:r w:rsidRPr="0035740F">
        <w:rPr>
          <w:rFonts w:ascii="Cambria" w:hAnsi="Cambria"/>
          <w:i w:val="0"/>
          <w:sz w:val="22"/>
          <w:szCs w:val="22"/>
        </w:rPr>
        <w:t>Designation:</w:t>
      </w:r>
      <w:r w:rsidRPr="0035740F">
        <w:rPr>
          <w:rFonts w:ascii="Cambria" w:hAnsi="Cambria"/>
          <w:b w:val="0"/>
          <w:i w:val="0"/>
          <w:sz w:val="22"/>
          <w:szCs w:val="22"/>
        </w:rPr>
        <w:tab/>
      </w:r>
      <w:r w:rsidR="00D05E55">
        <w:rPr>
          <w:rFonts w:ascii="Cambria" w:hAnsi="Cambria"/>
          <w:b w:val="0"/>
          <w:i w:val="0"/>
          <w:sz w:val="22"/>
          <w:szCs w:val="22"/>
        </w:rPr>
        <w:t>Corn</w:t>
      </w:r>
      <w:r w:rsidRPr="0035740F">
        <w:rPr>
          <w:rFonts w:ascii="Cambria" w:hAnsi="Cambria"/>
          <w:b w:val="0"/>
          <w:i w:val="0"/>
          <w:sz w:val="22"/>
          <w:szCs w:val="22"/>
        </w:rPr>
        <w:t xml:space="preserve"> </w:t>
      </w:r>
      <w:r w:rsidR="00D05E55">
        <w:rPr>
          <w:rFonts w:ascii="Cambria" w:hAnsi="Cambria"/>
          <w:b w:val="0"/>
          <w:i w:val="0"/>
          <w:sz w:val="22"/>
          <w:szCs w:val="22"/>
        </w:rPr>
        <w:t>MIR604</w:t>
      </w:r>
    </w:p>
    <w:p w:rsidR="00583495" w:rsidRPr="0035740F" w:rsidRDefault="00583495" w:rsidP="00583495">
      <w:pPr>
        <w:spacing w:after="40"/>
        <w:ind w:left="1080"/>
        <w:jc w:val="both"/>
        <w:rPr>
          <w:rFonts w:ascii="Cambria" w:hAnsi="Cambria"/>
          <w:b w:val="0"/>
          <w:i w:val="0"/>
          <w:sz w:val="22"/>
          <w:szCs w:val="22"/>
        </w:rPr>
      </w:pPr>
    </w:p>
    <w:p w:rsidR="00583495" w:rsidRPr="0035740F" w:rsidRDefault="00583495" w:rsidP="00583495">
      <w:pPr>
        <w:ind w:firstLine="360"/>
        <w:rPr>
          <w:rFonts w:ascii="Cambria" w:hAnsi="Cambria"/>
          <w:b w:val="0"/>
          <w:i w:val="0"/>
          <w:sz w:val="22"/>
          <w:szCs w:val="22"/>
        </w:rPr>
      </w:pPr>
      <w:r w:rsidRPr="0035740F">
        <w:rPr>
          <w:rFonts w:ascii="Cambria" w:hAnsi="Cambria"/>
          <w:i w:val="0"/>
          <w:sz w:val="22"/>
          <w:szCs w:val="22"/>
        </w:rPr>
        <w:t>Applicant:</w:t>
      </w:r>
      <w:r w:rsidRPr="0035740F">
        <w:rPr>
          <w:rFonts w:ascii="Cambria" w:hAnsi="Cambria"/>
          <w:i w:val="0"/>
          <w:sz w:val="22"/>
          <w:szCs w:val="22"/>
        </w:rPr>
        <w:tab/>
      </w:r>
      <w:r w:rsidRPr="0035740F">
        <w:rPr>
          <w:rFonts w:ascii="Cambria" w:hAnsi="Cambria"/>
          <w:i w:val="0"/>
          <w:sz w:val="22"/>
          <w:szCs w:val="22"/>
        </w:rPr>
        <w:tab/>
      </w:r>
      <w:r w:rsidRPr="0035740F">
        <w:rPr>
          <w:rFonts w:ascii="Cambria" w:hAnsi="Cambria"/>
          <w:i w:val="0"/>
          <w:sz w:val="22"/>
          <w:szCs w:val="22"/>
        </w:rPr>
        <w:tab/>
      </w:r>
      <w:r w:rsidRPr="0035740F">
        <w:rPr>
          <w:rFonts w:ascii="Cambria" w:hAnsi="Cambria"/>
          <w:i w:val="0"/>
          <w:sz w:val="22"/>
          <w:szCs w:val="22"/>
        </w:rPr>
        <w:tab/>
      </w:r>
      <w:r w:rsidR="0092443B">
        <w:rPr>
          <w:rFonts w:ascii="Cambria" w:hAnsi="Cambria"/>
          <w:b w:val="0"/>
          <w:i w:val="0"/>
          <w:sz w:val="22"/>
          <w:szCs w:val="22"/>
        </w:rPr>
        <w:t>SYNGENTA PHILIPPINES</w:t>
      </w:r>
      <w:r w:rsidRPr="0035740F">
        <w:rPr>
          <w:rFonts w:ascii="Cambria" w:hAnsi="Cambria"/>
          <w:b w:val="0"/>
          <w:i w:val="0"/>
          <w:sz w:val="22"/>
          <w:szCs w:val="22"/>
        </w:rPr>
        <w:t xml:space="preserve">, INC.                                                      </w:t>
      </w:r>
    </w:p>
    <w:p w:rsidR="0022418C" w:rsidRPr="0035740F" w:rsidRDefault="0092443B" w:rsidP="00583495">
      <w:pPr>
        <w:ind w:firstLine="3600"/>
        <w:rPr>
          <w:rFonts w:ascii="Cambria" w:hAnsi="Cambria"/>
          <w:b w:val="0"/>
          <w:i w:val="0"/>
          <w:sz w:val="22"/>
          <w:szCs w:val="22"/>
        </w:rPr>
      </w:pPr>
      <w:r>
        <w:rPr>
          <w:rFonts w:ascii="Cambria" w:hAnsi="Cambria"/>
          <w:b w:val="0"/>
          <w:i w:val="0"/>
          <w:sz w:val="22"/>
          <w:szCs w:val="22"/>
        </w:rPr>
        <w:t>12</w:t>
      </w:r>
      <w:r w:rsidRPr="0092443B">
        <w:rPr>
          <w:rFonts w:ascii="Cambria" w:hAnsi="Cambria"/>
          <w:b w:val="0"/>
          <w:i w:val="0"/>
          <w:sz w:val="22"/>
          <w:szCs w:val="22"/>
          <w:vertAlign w:val="superscript"/>
        </w:rPr>
        <w:t>th</w:t>
      </w:r>
      <w:r>
        <w:rPr>
          <w:rFonts w:ascii="Cambria" w:hAnsi="Cambria"/>
          <w:b w:val="0"/>
          <w:i w:val="0"/>
          <w:sz w:val="22"/>
          <w:szCs w:val="22"/>
        </w:rPr>
        <w:t xml:space="preserve"> </w:t>
      </w:r>
      <w:proofErr w:type="spellStart"/>
      <w:proofErr w:type="gramStart"/>
      <w:r>
        <w:rPr>
          <w:rFonts w:ascii="Cambria" w:hAnsi="Cambria"/>
          <w:b w:val="0"/>
          <w:i w:val="0"/>
          <w:sz w:val="22"/>
          <w:szCs w:val="22"/>
        </w:rPr>
        <w:t>Flr</w:t>
      </w:r>
      <w:proofErr w:type="spellEnd"/>
      <w:r>
        <w:rPr>
          <w:rFonts w:ascii="Cambria" w:hAnsi="Cambria"/>
          <w:b w:val="0"/>
          <w:i w:val="0"/>
          <w:sz w:val="22"/>
          <w:szCs w:val="22"/>
        </w:rPr>
        <w:t>.,</w:t>
      </w:r>
      <w:proofErr w:type="gramEnd"/>
      <w:r>
        <w:rPr>
          <w:rFonts w:ascii="Cambria" w:hAnsi="Cambria"/>
          <w:b w:val="0"/>
          <w:i w:val="0"/>
          <w:sz w:val="22"/>
          <w:szCs w:val="22"/>
        </w:rPr>
        <w:t xml:space="preserve"> Two World Square,</w:t>
      </w:r>
    </w:p>
    <w:p w:rsidR="0022418C" w:rsidRPr="0035740F" w:rsidRDefault="0092443B" w:rsidP="00583495">
      <w:pPr>
        <w:ind w:firstLine="3600"/>
        <w:rPr>
          <w:rFonts w:ascii="Cambria" w:hAnsi="Cambria"/>
          <w:b w:val="0"/>
          <w:i w:val="0"/>
          <w:sz w:val="22"/>
          <w:szCs w:val="22"/>
        </w:rPr>
      </w:pPr>
      <w:r>
        <w:rPr>
          <w:rFonts w:ascii="Cambria" w:hAnsi="Cambria"/>
          <w:b w:val="0"/>
          <w:i w:val="0"/>
          <w:sz w:val="22"/>
          <w:szCs w:val="22"/>
        </w:rPr>
        <w:t xml:space="preserve">Upper McKinley Rd., </w:t>
      </w:r>
      <w:proofErr w:type="spellStart"/>
      <w:r>
        <w:rPr>
          <w:rFonts w:ascii="Cambria" w:hAnsi="Cambria"/>
          <w:b w:val="0"/>
          <w:i w:val="0"/>
          <w:sz w:val="22"/>
          <w:szCs w:val="22"/>
        </w:rPr>
        <w:t>Mckinley</w:t>
      </w:r>
      <w:proofErr w:type="spellEnd"/>
      <w:r>
        <w:rPr>
          <w:rFonts w:ascii="Cambria" w:hAnsi="Cambria"/>
          <w:b w:val="0"/>
          <w:i w:val="0"/>
          <w:sz w:val="22"/>
          <w:szCs w:val="22"/>
        </w:rPr>
        <w:t xml:space="preserve"> Town Center</w:t>
      </w:r>
    </w:p>
    <w:p w:rsidR="00583495" w:rsidRPr="0035740F" w:rsidRDefault="0092443B" w:rsidP="00583495">
      <w:pPr>
        <w:ind w:firstLine="3600"/>
        <w:rPr>
          <w:rFonts w:ascii="Cambria" w:hAnsi="Cambria"/>
          <w:b w:val="0"/>
          <w:i w:val="0"/>
          <w:sz w:val="22"/>
          <w:szCs w:val="22"/>
        </w:rPr>
      </w:pPr>
      <w:r>
        <w:rPr>
          <w:rFonts w:ascii="Cambria" w:hAnsi="Cambria"/>
          <w:b w:val="0"/>
          <w:i w:val="0"/>
          <w:sz w:val="22"/>
          <w:szCs w:val="22"/>
        </w:rPr>
        <w:t xml:space="preserve">Fort </w:t>
      </w:r>
      <w:proofErr w:type="spellStart"/>
      <w:r>
        <w:rPr>
          <w:rFonts w:ascii="Cambria" w:hAnsi="Cambria"/>
          <w:b w:val="0"/>
          <w:i w:val="0"/>
          <w:sz w:val="22"/>
          <w:szCs w:val="22"/>
        </w:rPr>
        <w:t>Bonifacio</w:t>
      </w:r>
      <w:proofErr w:type="spellEnd"/>
      <w:r>
        <w:rPr>
          <w:rFonts w:ascii="Cambria" w:hAnsi="Cambria"/>
          <w:b w:val="0"/>
          <w:i w:val="0"/>
          <w:sz w:val="22"/>
          <w:szCs w:val="22"/>
        </w:rPr>
        <w:t xml:space="preserve">, </w:t>
      </w:r>
      <w:proofErr w:type="spellStart"/>
      <w:r>
        <w:rPr>
          <w:rFonts w:ascii="Cambria" w:hAnsi="Cambria"/>
          <w:b w:val="0"/>
          <w:i w:val="0"/>
          <w:sz w:val="22"/>
          <w:szCs w:val="22"/>
        </w:rPr>
        <w:t>Taguig</w:t>
      </w:r>
      <w:proofErr w:type="spellEnd"/>
      <w:r>
        <w:rPr>
          <w:rFonts w:ascii="Cambria" w:hAnsi="Cambria"/>
          <w:b w:val="0"/>
          <w:i w:val="0"/>
          <w:sz w:val="22"/>
          <w:szCs w:val="22"/>
        </w:rPr>
        <w:t xml:space="preserve"> City</w:t>
      </w:r>
      <w:r w:rsidR="00583495" w:rsidRPr="0035740F">
        <w:rPr>
          <w:rFonts w:ascii="Cambria" w:hAnsi="Cambria"/>
          <w:b w:val="0"/>
          <w:i w:val="0"/>
          <w:sz w:val="22"/>
          <w:szCs w:val="22"/>
        </w:rPr>
        <w:t xml:space="preserve">                                                                  </w:t>
      </w:r>
    </w:p>
    <w:p w:rsidR="00583495" w:rsidRPr="0035740F" w:rsidRDefault="00583495" w:rsidP="00583495">
      <w:pPr>
        <w:spacing w:after="40"/>
        <w:ind w:left="1080" w:hanging="720"/>
        <w:jc w:val="both"/>
        <w:rPr>
          <w:rFonts w:ascii="Cambria" w:hAnsi="Cambria"/>
          <w:i w:val="0"/>
          <w:sz w:val="22"/>
          <w:szCs w:val="22"/>
        </w:rPr>
      </w:pPr>
    </w:p>
    <w:p w:rsidR="00583495" w:rsidRPr="0035740F" w:rsidRDefault="00583495" w:rsidP="00583495">
      <w:pPr>
        <w:spacing w:after="40"/>
        <w:ind w:left="1080" w:hanging="720"/>
        <w:jc w:val="both"/>
        <w:rPr>
          <w:rFonts w:ascii="Cambria" w:hAnsi="Cambria"/>
          <w:i w:val="0"/>
          <w:sz w:val="22"/>
          <w:szCs w:val="22"/>
        </w:rPr>
      </w:pPr>
      <w:r w:rsidRPr="0035740F">
        <w:rPr>
          <w:rFonts w:ascii="Cambria" w:hAnsi="Cambria"/>
          <w:i w:val="0"/>
          <w:sz w:val="22"/>
          <w:szCs w:val="22"/>
        </w:rPr>
        <w:t>Plant Species:</w:t>
      </w:r>
    </w:p>
    <w:p w:rsidR="00583495" w:rsidRPr="0035740F" w:rsidRDefault="00583495" w:rsidP="00583495">
      <w:pPr>
        <w:spacing w:after="40"/>
        <w:ind w:left="1080" w:hanging="720"/>
        <w:jc w:val="both"/>
        <w:rPr>
          <w:rFonts w:ascii="Cambria" w:hAnsi="Cambria"/>
          <w:b w:val="0"/>
          <w:i w:val="0"/>
          <w:sz w:val="22"/>
          <w:szCs w:val="22"/>
        </w:rPr>
      </w:pPr>
    </w:p>
    <w:p w:rsidR="00643883" w:rsidRPr="0035740F" w:rsidRDefault="00583495" w:rsidP="00643883">
      <w:pPr>
        <w:spacing w:after="40"/>
        <w:ind w:left="720"/>
        <w:jc w:val="both"/>
        <w:rPr>
          <w:rFonts w:ascii="Cambria" w:hAnsi="Cambria"/>
          <w:b w:val="0"/>
          <w:sz w:val="22"/>
          <w:szCs w:val="22"/>
        </w:rPr>
      </w:pPr>
      <w:r w:rsidRPr="0035740F">
        <w:rPr>
          <w:rFonts w:ascii="Cambria" w:hAnsi="Cambria"/>
          <w:b w:val="0"/>
          <w:i w:val="0"/>
          <w:sz w:val="22"/>
          <w:szCs w:val="22"/>
        </w:rPr>
        <w:t>Name:</w:t>
      </w:r>
      <w:r w:rsidRPr="0035740F">
        <w:rPr>
          <w:rFonts w:ascii="Cambria" w:hAnsi="Cambria"/>
          <w:b w:val="0"/>
          <w:i w:val="0"/>
          <w:sz w:val="22"/>
          <w:szCs w:val="22"/>
        </w:rPr>
        <w:tab/>
      </w:r>
      <w:r w:rsidRPr="0035740F">
        <w:rPr>
          <w:rFonts w:ascii="Cambria" w:hAnsi="Cambria"/>
          <w:b w:val="0"/>
          <w:i w:val="0"/>
          <w:sz w:val="22"/>
          <w:szCs w:val="22"/>
        </w:rPr>
        <w:tab/>
      </w:r>
      <w:r w:rsidRPr="0035740F">
        <w:rPr>
          <w:rFonts w:ascii="Cambria" w:hAnsi="Cambria"/>
          <w:b w:val="0"/>
          <w:i w:val="0"/>
          <w:sz w:val="22"/>
          <w:szCs w:val="22"/>
        </w:rPr>
        <w:tab/>
      </w:r>
      <w:r w:rsidR="00643883" w:rsidRPr="0035740F">
        <w:rPr>
          <w:rFonts w:ascii="Cambria" w:hAnsi="Cambria"/>
          <w:b w:val="0"/>
          <w:i w:val="0"/>
          <w:sz w:val="22"/>
          <w:szCs w:val="22"/>
        </w:rPr>
        <w:tab/>
      </w:r>
      <w:r w:rsidR="0092443B">
        <w:rPr>
          <w:rFonts w:ascii="Cambria" w:hAnsi="Cambria"/>
          <w:b w:val="0"/>
          <w:i w:val="0"/>
          <w:sz w:val="22"/>
          <w:szCs w:val="22"/>
        </w:rPr>
        <w:t>Corn</w:t>
      </w:r>
      <w:r w:rsidRPr="0035740F">
        <w:rPr>
          <w:rFonts w:ascii="Cambria" w:hAnsi="Cambria"/>
          <w:b w:val="0"/>
          <w:i w:val="0"/>
          <w:sz w:val="22"/>
          <w:szCs w:val="22"/>
        </w:rPr>
        <w:t xml:space="preserve"> (</w:t>
      </w:r>
      <w:proofErr w:type="spellStart"/>
      <w:r w:rsidR="0092443B">
        <w:rPr>
          <w:rFonts w:ascii="Cambria" w:hAnsi="Cambria"/>
          <w:b w:val="0"/>
          <w:sz w:val="22"/>
          <w:szCs w:val="22"/>
        </w:rPr>
        <w:t>Zea</w:t>
      </w:r>
      <w:proofErr w:type="spellEnd"/>
      <w:r w:rsidR="0092443B">
        <w:rPr>
          <w:rFonts w:ascii="Cambria" w:hAnsi="Cambria"/>
          <w:b w:val="0"/>
          <w:sz w:val="22"/>
          <w:szCs w:val="22"/>
        </w:rPr>
        <w:t xml:space="preserve"> mays</w:t>
      </w:r>
      <w:r w:rsidRPr="0035740F">
        <w:rPr>
          <w:rFonts w:ascii="Cambria" w:hAnsi="Cambria"/>
          <w:b w:val="0"/>
          <w:sz w:val="22"/>
          <w:szCs w:val="22"/>
        </w:rPr>
        <w:t>)</w:t>
      </w:r>
    </w:p>
    <w:p w:rsidR="00643883" w:rsidRPr="0035740F" w:rsidRDefault="00643883" w:rsidP="00643883">
      <w:pPr>
        <w:spacing w:after="40"/>
        <w:ind w:left="720"/>
        <w:jc w:val="both"/>
        <w:rPr>
          <w:rFonts w:ascii="Cambria" w:hAnsi="Cambria"/>
          <w:b w:val="0"/>
          <w:sz w:val="22"/>
          <w:szCs w:val="22"/>
        </w:rPr>
      </w:pPr>
    </w:p>
    <w:p w:rsidR="00643883" w:rsidRPr="0035740F" w:rsidRDefault="00583495" w:rsidP="00643883">
      <w:pPr>
        <w:spacing w:after="40"/>
        <w:ind w:left="720"/>
        <w:jc w:val="both"/>
        <w:rPr>
          <w:rFonts w:ascii="Cambria" w:hAnsi="Cambria"/>
          <w:b w:val="0"/>
          <w:sz w:val="22"/>
          <w:szCs w:val="22"/>
        </w:rPr>
      </w:pPr>
      <w:r w:rsidRPr="0035740F">
        <w:rPr>
          <w:rFonts w:ascii="Cambria" w:hAnsi="Cambria"/>
          <w:b w:val="0"/>
          <w:i w:val="0"/>
          <w:sz w:val="22"/>
          <w:szCs w:val="22"/>
        </w:rPr>
        <w:t xml:space="preserve">Parent Material:         </w:t>
      </w:r>
      <w:r w:rsidRPr="0035740F">
        <w:rPr>
          <w:rFonts w:ascii="Cambria" w:hAnsi="Cambria"/>
          <w:b w:val="0"/>
          <w:i w:val="0"/>
          <w:sz w:val="22"/>
          <w:szCs w:val="22"/>
        </w:rPr>
        <w:tab/>
      </w:r>
      <w:r w:rsidR="00643883" w:rsidRPr="0035740F">
        <w:rPr>
          <w:rFonts w:ascii="Cambria" w:hAnsi="Cambria"/>
          <w:b w:val="0"/>
          <w:i w:val="0"/>
          <w:sz w:val="22"/>
          <w:szCs w:val="22"/>
        </w:rPr>
        <w:tab/>
      </w:r>
      <w:r w:rsidR="0092443B">
        <w:rPr>
          <w:rFonts w:ascii="Cambria" w:hAnsi="Cambria"/>
          <w:b w:val="0"/>
          <w:i w:val="0"/>
          <w:sz w:val="22"/>
          <w:szCs w:val="22"/>
        </w:rPr>
        <w:t>Corn MIR604</w:t>
      </w:r>
    </w:p>
    <w:p w:rsidR="00643883" w:rsidRPr="0035740F" w:rsidRDefault="00643883" w:rsidP="00643883">
      <w:pPr>
        <w:spacing w:after="40"/>
        <w:ind w:left="720"/>
        <w:jc w:val="both"/>
        <w:rPr>
          <w:rFonts w:ascii="Cambria" w:hAnsi="Cambria"/>
          <w:b w:val="0"/>
          <w:sz w:val="22"/>
          <w:szCs w:val="22"/>
        </w:rPr>
      </w:pPr>
    </w:p>
    <w:p w:rsidR="00583495" w:rsidRPr="0035740F" w:rsidRDefault="00583495" w:rsidP="00643883">
      <w:pPr>
        <w:spacing w:after="40"/>
        <w:ind w:left="720"/>
        <w:jc w:val="both"/>
        <w:rPr>
          <w:rFonts w:ascii="Cambria" w:hAnsi="Cambria"/>
          <w:b w:val="0"/>
          <w:sz w:val="22"/>
          <w:szCs w:val="22"/>
        </w:rPr>
      </w:pPr>
      <w:r w:rsidRPr="0035740F">
        <w:rPr>
          <w:rFonts w:ascii="Cambria" w:hAnsi="Cambria"/>
          <w:b w:val="0"/>
          <w:i w:val="0"/>
          <w:sz w:val="22"/>
          <w:szCs w:val="22"/>
        </w:rPr>
        <w:t xml:space="preserve">Center of Origin:        </w:t>
      </w:r>
      <w:r w:rsidRPr="0035740F">
        <w:rPr>
          <w:rFonts w:ascii="Cambria" w:hAnsi="Cambria"/>
          <w:b w:val="0"/>
          <w:i w:val="0"/>
          <w:sz w:val="22"/>
          <w:szCs w:val="22"/>
        </w:rPr>
        <w:tab/>
      </w:r>
      <w:r w:rsidR="00643883" w:rsidRPr="0035740F">
        <w:rPr>
          <w:rFonts w:ascii="Cambria" w:hAnsi="Cambria"/>
          <w:b w:val="0"/>
          <w:i w:val="0"/>
          <w:sz w:val="22"/>
          <w:szCs w:val="22"/>
        </w:rPr>
        <w:tab/>
      </w:r>
      <w:r w:rsidR="0092443B">
        <w:rPr>
          <w:rFonts w:ascii="Cambria" w:hAnsi="Cambria"/>
          <w:b w:val="0"/>
          <w:i w:val="0"/>
          <w:sz w:val="22"/>
          <w:szCs w:val="22"/>
        </w:rPr>
        <w:t>United States</w:t>
      </w:r>
    </w:p>
    <w:p w:rsidR="00583495" w:rsidRPr="0035740F" w:rsidRDefault="00583495" w:rsidP="00583495">
      <w:pPr>
        <w:spacing w:after="40"/>
        <w:ind w:left="3600" w:hanging="2520"/>
        <w:jc w:val="both"/>
        <w:rPr>
          <w:rFonts w:ascii="Cambria" w:hAnsi="Cambria"/>
          <w:b w:val="0"/>
          <w:i w:val="0"/>
          <w:sz w:val="22"/>
          <w:szCs w:val="22"/>
        </w:rPr>
      </w:pPr>
    </w:p>
    <w:p w:rsidR="00583495" w:rsidRPr="0035740F" w:rsidRDefault="00583495" w:rsidP="0022418C">
      <w:pPr>
        <w:spacing w:after="40"/>
        <w:ind w:left="3600" w:hanging="2880"/>
        <w:jc w:val="both"/>
        <w:rPr>
          <w:rFonts w:ascii="Cambria" w:hAnsi="Cambria"/>
          <w:b w:val="0"/>
          <w:i w:val="0"/>
          <w:sz w:val="22"/>
          <w:szCs w:val="22"/>
        </w:rPr>
      </w:pPr>
      <w:r w:rsidRPr="0035740F">
        <w:rPr>
          <w:rFonts w:ascii="Cambria" w:hAnsi="Cambria"/>
          <w:b w:val="0"/>
          <w:i w:val="0"/>
          <w:sz w:val="22"/>
          <w:szCs w:val="22"/>
        </w:rPr>
        <w:t xml:space="preserve">Toxic Factors/Allergen(s): </w:t>
      </w:r>
      <w:r w:rsidR="0022418C" w:rsidRPr="0035740F">
        <w:rPr>
          <w:rFonts w:ascii="Cambria" w:hAnsi="Cambria"/>
          <w:b w:val="0"/>
          <w:i w:val="0"/>
          <w:sz w:val="22"/>
          <w:szCs w:val="22"/>
        </w:rPr>
        <w:tab/>
      </w:r>
      <w:proofErr w:type="spellStart"/>
      <w:r w:rsidR="00A679C1" w:rsidRPr="00A679C1">
        <w:rPr>
          <w:rFonts w:ascii="Cambria" w:hAnsi="Cambria"/>
          <w:b w:val="0"/>
          <w:i w:val="0"/>
          <w:sz w:val="22"/>
          <w:szCs w:val="22"/>
        </w:rPr>
        <w:t>Phytic</w:t>
      </w:r>
      <w:proofErr w:type="spellEnd"/>
      <w:r w:rsidR="00A679C1" w:rsidRPr="00A679C1">
        <w:rPr>
          <w:rFonts w:ascii="Cambria" w:hAnsi="Cambria"/>
          <w:b w:val="0"/>
          <w:i w:val="0"/>
          <w:sz w:val="22"/>
          <w:szCs w:val="22"/>
        </w:rPr>
        <w:t xml:space="preserve"> acid, </w:t>
      </w:r>
      <w:proofErr w:type="spellStart"/>
      <w:r w:rsidR="00A679C1" w:rsidRPr="00A679C1">
        <w:rPr>
          <w:rFonts w:ascii="Cambria" w:hAnsi="Cambria"/>
          <w:b w:val="0"/>
          <w:i w:val="0"/>
          <w:sz w:val="22"/>
          <w:szCs w:val="22"/>
        </w:rPr>
        <w:t>raffinose</w:t>
      </w:r>
      <w:proofErr w:type="spellEnd"/>
      <w:r w:rsidR="00A679C1" w:rsidRPr="00A679C1">
        <w:rPr>
          <w:rFonts w:ascii="Cambria" w:hAnsi="Cambria"/>
          <w:b w:val="0"/>
          <w:i w:val="0"/>
          <w:sz w:val="22"/>
          <w:szCs w:val="22"/>
        </w:rPr>
        <w:t xml:space="preserve"> and trypsin inhibitor</w:t>
      </w:r>
    </w:p>
    <w:p w:rsidR="00583495" w:rsidRPr="0035740F" w:rsidRDefault="00583495" w:rsidP="00583495">
      <w:pPr>
        <w:spacing w:after="40"/>
        <w:ind w:left="1080" w:hanging="720"/>
        <w:jc w:val="both"/>
        <w:rPr>
          <w:rFonts w:ascii="Cambria" w:hAnsi="Cambria"/>
          <w:i w:val="0"/>
          <w:sz w:val="22"/>
          <w:szCs w:val="22"/>
        </w:rPr>
      </w:pPr>
    </w:p>
    <w:p w:rsidR="00583495" w:rsidRPr="0035740F" w:rsidRDefault="00583495" w:rsidP="008F7E4C">
      <w:pPr>
        <w:spacing w:after="40"/>
        <w:ind w:left="1080" w:hanging="720"/>
        <w:jc w:val="both"/>
        <w:rPr>
          <w:rFonts w:ascii="Cambria" w:hAnsi="Cambria"/>
          <w:b w:val="0"/>
          <w:i w:val="0"/>
          <w:sz w:val="22"/>
          <w:szCs w:val="22"/>
        </w:rPr>
      </w:pPr>
      <w:r w:rsidRPr="0035740F">
        <w:rPr>
          <w:rFonts w:ascii="Cambria" w:hAnsi="Cambria"/>
          <w:i w:val="0"/>
          <w:sz w:val="22"/>
          <w:szCs w:val="22"/>
        </w:rPr>
        <w:t>Trait Description:</w:t>
      </w:r>
      <w:r w:rsidRPr="0035740F">
        <w:rPr>
          <w:rFonts w:ascii="Cambria" w:hAnsi="Cambria"/>
          <w:i w:val="0"/>
          <w:sz w:val="22"/>
          <w:szCs w:val="22"/>
        </w:rPr>
        <w:tab/>
      </w:r>
      <w:r w:rsidRPr="0035740F">
        <w:rPr>
          <w:rFonts w:ascii="Cambria" w:hAnsi="Cambria"/>
          <w:i w:val="0"/>
          <w:sz w:val="22"/>
          <w:szCs w:val="22"/>
        </w:rPr>
        <w:tab/>
      </w:r>
      <w:r w:rsidR="00A679C1">
        <w:rPr>
          <w:rFonts w:ascii="Cambria" w:hAnsi="Cambria"/>
          <w:b w:val="0"/>
          <w:i w:val="0"/>
          <w:sz w:val="22"/>
          <w:szCs w:val="22"/>
        </w:rPr>
        <w:t>Insect</w:t>
      </w:r>
      <w:r w:rsidR="008F7E4C">
        <w:rPr>
          <w:rFonts w:ascii="Cambria" w:hAnsi="Cambria"/>
          <w:b w:val="0"/>
          <w:i w:val="0"/>
          <w:sz w:val="22"/>
          <w:szCs w:val="22"/>
        </w:rPr>
        <w:t xml:space="preserve"> </w:t>
      </w:r>
      <w:r w:rsidR="008F7E4C">
        <w:rPr>
          <w:rFonts w:ascii="Cambria" w:hAnsi="Cambria"/>
          <w:b w:val="0"/>
          <w:i w:val="0"/>
          <w:sz w:val="22"/>
          <w:szCs w:val="22"/>
        </w:rPr>
        <w:t>(Coleopterans)</w:t>
      </w:r>
      <w:r w:rsidR="00A679C1">
        <w:rPr>
          <w:rFonts w:ascii="Cambria" w:hAnsi="Cambria"/>
          <w:b w:val="0"/>
          <w:i w:val="0"/>
          <w:sz w:val="22"/>
          <w:szCs w:val="22"/>
        </w:rPr>
        <w:t xml:space="preserve"> resistance </w:t>
      </w:r>
    </w:p>
    <w:p w:rsidR="00583495" w:rsidRPr="0035740F" w:rsidRDefault="00583495" w:rsidP="00583495">
      <w:pPr>
        <w:spacing w:after="40"/>
        <w:ind w:left="1080"/>
        <w:jc w:val="both"/>
        <w:rPr>
          <w:rFonts w:ascii="Cambria" w:hAnsi="Cambria"/>
          <w:b w:val="0"/>
          <w:i w:val="0"/>
          <w:sz w:val="22"/>
          <w:szCs w:val="22"/>
        </w:rPr>
      </w:pPr>
      <w:r w:rsidRPr="0035740F">
        <w:rPr>
          <w:rFonts w:ascii="Cambria" w:hAnsi="Cambria"/>
          <w:i w:val="0"/>
          <w:sz w:val="22"/>
          <w:szCs w:val="22"/>
        </w:rPr>
        <w:tab/>
      </w:r>
      <w:r w:rsidRPr="0035740F">
        <w:rPr>
          <w:rFonts w:ascii="Cambria" w:hAnsi="Cambria"/>
          <w:i w:val="0"/>
          <w:sz w:val="22"/>
          <w:szCs w:val="22"/>
        </w:rPr>
        <w:tab/>
      </w:r>
    </w:p>
    <w:p w:rsidR="00583495" w:rsidRDefault="00583495" w:rsidP="00C92B6E">
      <w:pPr>
        <w:spacing w:after="40"/>
        <w:ind w:left="3600" w:hanging="3240"/>
        <w:jc w:val="both"/>
        <w:rPr>
          <w:rFonts w:ascii="Cambria" w:hAnsi="Cambria"/>
          <w:b w:val="0"/>
          <w:i w:val="0"/>
          <w:sz w:val="22"/>
          <w:szCs w:val="22"/>
        </w:rPr>
      </w:pPr>
      <w:r w:rsidRPr="0035740F">
        <w:rPr>
          <w:rFonts w:ascii="Cambria" w:hAnsi="Cambria"/>
          <w:i w:val="0"/>
          <w:sz w:val="22"/>
          <w:szCs w:val="22"/>
        </w:rPr>
        <w:t>Trait Introduction Method:</w:t>
      </w:r>
      <w:r w:rsidRPr="0035740F">
        <w:rPr>
          <w:rFonts w:ascii="Cambria" w:hAnsi="Cambria"/>
          <w:i w:val="0"/>
          <w:sz w:val="22"/>
          <w:szCs w:val="22"/>
        </w:rPr>
        <w:tab/>
      </w:r>
      <w:r w:rsidR="00A679C1" w:rsidRPr="00A679C1">
        <w:rPr>
          <w:rFonts w:ascii="Cambria" w:hAnsi="Cambria"/>
          <w:b w:val="0"/>
          <w:sz w:val="22"/>
          <w:szCs w:val="22"/>
        </w:rPr>
        <w:t xml:space="preserve">Agrobacterium </w:t>
      </w:r>
      <w:proofErr w:type="spellStart"/>
      <w:r w:rsidR="00A679C1" w:rsidRPr="00A679C1">
        <w:rPr>
          <w:rFonts w:ascii="Cambria" w:hAnsi="Cambria"/>
          <w:b w:val="0"/>
          <w:sz w:val="22"/>
          <w:szCs w:val="22"/>
        </w:rPr>
        <w:t>tumefaciens</w:t>
      </w:r>
      <w:proofErr w:type="spellEnd"/>
      <w:r w:rsidR="00A679C1">
        <w:rPr>
          <w:rFonts w:ascii="Cambria" w:hAnsi="Cambria"/>
          <w:b w:val="0"/>
          <w:i w:val="0"/>
          <w:sz w:val="22"/>
          <w:szCs w:val="22"/>
        </w:rPr>
        <w:t>-mediated transformation</w:t>
      </w:r>
    </w:p>
    <w:p w:rsidR="004B1A65" w:rsidRPr="0035740F" w:rsidRDefault="004B1A65" w:rsidP="00C92B6E">
      <w:pPr>
        <w:spacing w:after="40"/>
        <w:ind w:left="3600" w:hanging="3240"/>
        <w:jc w:val="both"/>
        <w:rPr>
          <w:rFonts w:ascii="Cambria" w:hAnsi="Cambria"/>
          <w:b w:val="0"/>
          <w:i w:val="0"/>
          <w:sz w:val="22"/>
          <w:szCs w:val="22"/>
        </w:rPr>
      </w:pPr>
    </w:p>
    <w:p w:rsidR="00583495" w:rsidRDefault="00583495" w:rsidP="0047636A">
      <w:pPr>
        <w:pStyle w:val="NoSpacing"/>
        <w:tabs>
          <w:tab w:val="left" w:pos="3600"/>
          <w:tab w:val="left" w:pos="3690"/>
        </w:tabs>
        <w:ind w:left="3600" w:hanging="3240"/>
        <w:jc w:val="both"/>
        <w:rPr>
          <w:rFonts w:ascii="Cambria" w:hAnsi="Cambria"/>
          <w:sz w:val="22"/>
          <w:szCs w:val="22"/>
        </w:rPr>
      </w:pPr>
      <w:r w:rsidRPr="0035740F">
        <w:rPr>
          <w:rFonts w:ascii="Cambria" w:hAnsi="Cambria"/>
          <w:b/>
          <w:sz w:val="22"/>
          <w:szCs w:val="22"/>
        </w:rPr>
        <w:t>Donor Organisms</w:t>
      </w:r>
      <w:r w:rsidRPr="0035740F">
        <w:rPr>
          <w:rFonts w:ascii="Cambria" w:hAnsi="Cambria"/>
          <w:i/>
          <w:sz w:val="22"/>
          <w:szCs w:val="22"/>
        </w:rPr>
        <w:t>:</w:t>
      </w:r>
      <w:r w:rsidRPr="0035740F">
        <w:rPr>
          <w:rFonts w:ascii="Cambria" w:hAnsi="Cambria"/>
          <w:b/>
          <w:i/>
          <w:sz w:val="22"/>
          <w:szCs w:val="22"/>
        </w:rPr>
        <w:tab/>
      </w:r>
      <w:r w:rsidR="00A32BC4">
        <w:rPr>
          <w:rFonts w:ascii="Cambria" w:hAnsi="Cambria"/>
          <w:i/>
          <w:sz w:val="22"/>
          <w:szCs w:val="22"/>
        </w:rPr>
        <w:t xml:space="preserve">Bacillus thuringiensis </w:t>
      </w:r>
      <w:r w:rsidR="00A32BC4" w:rsidRPr="00A32BC4">
        <w:rPr>
          <w:rFonts w:ascii="Cambria" w:hAnsi="Cambria"/>
          <w:sz w:val="22"/>
          <w:szCs w:val="22"/>
        </w:rPr>
        <w:t>subsp.</w:t>
      </w:r>
      <w:r w:rsidR="00A32BC4">
        <w:rPr>
          <w:rFonts w:ascii="Cambria" w:hAnsi="Cambria"/>
          <w:i/>
          <w:sz w:val="22"/>
          <w:szCs w:val="22"/>
        </w:rPr>
        <w:t xml:space="preserve"> </w:t>
      </w:r>
      <w:proofErr w:type="spellStart"/>
      <w:r w:rsidR="00A32BC4">
        <w:rPr>
          <w:rFonts w:ascii="Cambria" w:hAnsi="Cambria"/>
          <w:sz w:val="22"/>
          <w:szCs w:val="22"/>
        </w:rPr>
        <w:t>t</w:t>
      </w:r>
      <w:r w:rsidR="00A32BC4" w:rsidRPr="00A32BC4">
        <w:rPr>
          <w:rFonts w:ascii="Cambria" w:hAnsi="Cambria"/>
          <w:sz w:val="22"/>
          <w:szCs w:val="22"/>
        </w:rPr>
        <w:t>enebrionis</w:t>
      </w:r>
      <w:proofErr w:type="spellEnd"/>
      <w:r w:rsidR="00A32BC4">
        <w:rPr>
          <w:rFonts w:ascii="Cambria" w:hAnsi="Cambria"/>
          <w:sz w:val="22"/>
          <w:szCs w:val="22"/>
        </w:rPr>
        <w:t xml:space="preserve"> is not known to be a source</w:t>
      </w:r>
      <w:r w:rsidR="00A32BC4" w:rsidRPr="00A32BC4">
        <w:rPr>
          <w:rFonts w:ascii="Cambria" w:hAnsi="Cambria"/>
          <w:sz w:val="22"/>
          <w:szCs w:val="22"/>
        </w:rPr>
        <w:t xml:space="preserve"> of allergenic proteins.</w:t>
      </w:r>
    </w:p>
    <w:p w:rsidR="00A32BC4" w:rsidRDefault="00A32BC4" w:rsidP="0047636A">
      <w:pPr>
        <w:pStyle w:val="NoSpacing"/>
        <w:tabs>
          <w:tab w:val="left" w:pos="3600"/>
          <w:tab w:val="left" w:pos="3690"/>
        </w:tabs>
        <w:ind w:left="3600" w:hanging="3240"/>
        <w:jc w:val="both"/>
        <w:rPr>
          <w:rFonts w:ascii="Cambria" w:hAnsi="Cambria"/>
          <w:sz w:val="22"/>
          <w:szCs w:val="22"/>
        </w:rPr>
      </w:pPr>
    </w:p>
    <w:p w:rsidR="00A32BC4" w:rsidRPr="0035740F" w:rsidRDefault="008F7E4C" w:rsidP="00A32BC4">
      <w:pPr>
        <w:pStyle w:val="NoSpacing"/>
        <w:tabs>
          <w:tab w:val="left" w:pos="3600"/>
          <w:tab w:val="left" w:pos="3690"/>
        </w:tabs>
        <w:ind w:left="3600" w:hanging="3240"/>
        <w:jc w:val="both"/>
        <w:rPr>
          <w:rFonts w:ascii="Cambria" w:hAnsi="Cambria"/>
          <w:sz w:val="22"/>
          <w:szCs w:val="22"/>
        </w:rPr>
      </w:pPr>
      <w:r>
        <w:rPr>
          <w:rFonts w:ascii="Cambria" w:hAnsi="Cambria"/>
          <w:sz w:val="22"/>
          <w:szCs w:val="22"/>
        </w:rPr>
        <w:tab/>
      </w:r>
      <w:r w:rsidRPr="008F7E4C">
        <w:rPr>
          <w:rFonts w:ascii="Cambria" w:hAnsi="Cambria"/>
          <w:i/>
          <w:sz w:val="22"/>
          <w:szCs w:val="22"/>
        </w:rPr>
        <w:t>Escherichia coli</w:t>
      </w:r>
      <w:r w:rsidR="00A32BC4">
        <w:rPr>
          <w:rFonts w:ascii="Cambria" w:hAnsi="Cambria"/>
          <w:sz w:val="22"/>
          <w:szCs w:val="22"/>
        </w:rPr>
        <w:t xml:space="preserve"> is not known to be a source</w:t>
      </w:r>
      <w:r w:rsidR="00A32BC4" w:rsidRPr="00A32BC4">
        <w:rPr>
          <w:rFonts w:ascii="Cambria" w:hAnsi="Cambria"/>
          <w:sz w:val="22"/>
          <w:szCs w:val="22"/>
        </w:rPr>
        <w:t xml:space="preserve"> of allergenic proteins.</w:t>
      </w:r>
    </w:p>
    <w:p w:rsidR="00583495" w:rsidRPr="0035740F" w:rsidRDefault="00583495" w:rsidP="00583495">
      <w:pPr>
        <w:spacing w:after="40"/>
        <w:jc w:val="both"/>
        <w:rPr>
          <w:rFonts w:ascii="Cambria" w:hAnsi="Cambria"/>
          <w:b w:val="0"/>
          <w:i w:val="0"/>
          <w:sz w:val="22"/>
          <w:szCs w:val="22"/>
        </w:rPr>
      </w:pPr>
    </w:p>
    <w:p w:rsidR="00583495" w:rsidRPr="0035740F" w:rsidRDefault="00C6621F" w:rsidP="0047636A">
      <w:pPr>
        <w:spacing w:before="120" w:after="120"/>
        <w:ind w:left="3600" w:hanging="3600"/>
        <w:jc w:val="both"/>
        <w:rPr>
          <w:rFonts w:ascii="Cambria" w:hAnsi="Cambria"/>
          <w:b w:val="0"/>
          <w:i w:val="0"/>
          <w:sz w:val="22"/>
          <w:szCs w:val="22"/>
        </w:rPr>
      </w:pPr>
      <w:r w:rsidRPr="0035740F">
        <w:rPr>
          <w:rFonts w:ascii="Cambria" w:hAnsi="Cambria"/>
          <w:i w:val="0"/>
          <w:sz w:val="22"/>
          <w:szCs w:val="22"/>
        </w:rPr>
        <w:t xml:space="preserve">        </w:t>
      </w:r>
      <w:r w:rsidR="00583495" w:rsidRPr="0035740F">
        <w:rPr>
          <w:rFonts w:ascii="Cambria" w:hAnsi="Cambria"/>
          <w:i w:val="0"/>
          <w:sz w:val="22"/>
          <w:szCs w:val="22"/>
        </w:rPr>
        <w:t>Pathogenicity:</w:t>
      </w:r>
      <w:r w:rsidR="00583495" w:rsidRPr="0035740F">
        <w:rPr>
          <w:rFonts w:ascii="Cambria" w:hAnsi="Cambria"/>
          <w:b w:val="0"/>
          <w:i w:val="0"/>
          <w:sz w:val="22"/>
          <w:szCs w:val="22"/>
        </w:rPr>
        <w:tab/>
      </w:r>
      <w:r w:rsidR="00A32BC4" w:rsidRPr="00A32BC4">
        <w:rPr>
          <w:rFonts w:ascii="Cambria" w:hAnsi="Cambria"/>
          <w:b w:val="0"/>
          <w:i w:val="0"/>
          <w:sz w:val="22"/>
          <w:szCs w:val="22"/>
        </w:rPr>
        <w:t xml:space="preserve">The mcry3A and </w:t>
      </w:r>
      <w:proofErr w:type="spellStart"/>
      <w:r w:rsidR="00A32BC4" w:rsidRPr="00A32BC4">
        <w:rPr>
          <w:rFonts w:ascii="Cambria" w:hAnsi="Cambria"/>
          <w:b w:val="0"/>
          <w:i w:val="0"/>
          <w:sz w:val="22"/>
          <w:szCs w:val="22"/>
        </w:rPr>
        <w:t>pmi</w:t>
      </w:r>
      <w:proofErr w:type="spellEnd"/>
      <w:r w:rsidR="00A32BC4" w:rsidRPr="00A32BC4">
        <w:rPr>
          <w:rFonts w:ascii="Cambria" w:hAnsi="Cambria"/>
          <w:b w:val="0"/>
          <w:i w:val="0"/>
          <w:sz w:val="22"/>
          <w:szCs w:val="22"/>
        </w:rPr>
        <w:t xml:space="preserve"> sequences have been described. The mcry3A gene is a modified version of a native cry3A gene, which is a member of a class of cry genes found in </w:t>
      </w:r>
      <w:r w:rsidR="00A32BC4" w:rsidRPr="00A32BC4">
        <w:rPr>
          <w:rFonts w:ascii="Cambria" w:hAnsi="Cambria"/>
          <w:b w:val="0"/>
          <w:sz w:val="22"/>
          <w:szCs w:val="22"/>
        </w:rPr>
        <w:t>Bacillus thuringiensis</w:t>
      </w:r>
      <w:r w:rsidR="00A32BC4" w:rsidRPr="00A32BC4">
        <w:rPr>
          <w:rFonts w:ascii="Cambria" w:hAnsi="Cambria"/>
          <w:b w:val="0"/>
          <w:i w:val="0"/>
          <w:sz w:val="22"/>
          <w:szCs w:val="22"/>
        </w:rPr>
        <w:t xml:space="preserve"> subsp. </w:t>
      </w:r>
      <w:proofErr w:type="spellStart"/>
      <w:r w:rsidR="00A32BC4" w:rsidRPr="00A32BC4">
        <w:rPr>
          <w:rFonts w:ascii="Cambria" w:hAnsi="Cambria"/>
          <w:b w:val="0"/>
          <w:i w:val="0"/>
          <w:sz w:val="22"/>
          <w:szCs w:val="22"/>
        </w:rPr>
        <w:t>tenebrionis</w:t>
      </w:r>
      <w:proofErr w:type="spellEnd"/>
      <w:r w:rsidR="00A32BC4" w:rsidRPr="00A32BC4">
        <w:rPr>
          <w:rFonts w:ascii="Cambria" w:hAnsi="Cambria"/>
          <w:b w:val="0"/>
          <w:i w:val="0"/>
          <w:sz w:val="22"/>
          <w:szCs w:val="22"/>
        </w:rPr>
        <w:t xml:space="preserve">. On the other hand, the </w:t>
      </w:r>
      <w:proofErr w:type="spellStart"/>
      <w:r w:rsidR="00A32BC4" w:rsidRPr="00A32BC4">
        <w:rPr>
          <w:rFonts w:ascii="Cambria" w:hAnsi="Cambria"/>
          <w:b w:val="0"/>
          <w:i w:val="0"/>
          <w:sz w:val="22"/>
          <w:szCs w:val="22"/>
        </w:rPr>
        <w:t>pmi</w:t>
      </w:r>
      <w:proofErr w:type="spellEnd"/>
      <w:r w:rsidR="00A32BC4" w:rsidRPr="00A32BC4">
        <w:rPr>
          <w:rFonts w:ascii="Cambria" w:hAnsi="Cambria"/>
          <w:b w:val="0"/>
          <w:i w:val="0"/>
          <w:sz w:val="22"/>
          <w:szCs w:val="22"/>
        </w:rPr>
        <w:t xml:space="preserve"> gene came from </w:t>
      </w:r>
      <w:r w:rsidR="00A32BC4" w:rsidRPr="00A32BC4">
        <w:rPr>
          <w:rFonts w:ascii="Cambria" w:hAnsi="Cambria"/>
          <w:b w:val="0"/>
          <w:sz w:val="22"/>
          <w:szCs w:val="22"/>
        </w:rPr>
        <w:t>Escherichia coli</w:t>
      </w:r>
      <w:r w:rsidR="00A32BC4" w:rsidRPr="00A32BC4">
        <w:rPr>
          <w:rFonts w:ascii="Cambria" w:hAnsi="Cambria"/>
          <w:b w:val="0"/>
          <w:i w:val="0"/>
          <w:sz w:val="22"/>
          <w:szCs w:val="22"/>
        </w:rPr>
        <w:t xml:space="preserve">. In general, bacteria, including </w:t>
      </w:r>
      <w:r w:rsidR="00A32BC4" w:rsidRPr="00A32BC4">
        <w:rPr>
          <w:rFonts w:ascii="Cambria" w:hAnsi="Cambria"/>
          <w:b w:val="0"/>
          <w:sz w:val="22"/>
          <w:szCs w:val="22"/>
        </w:rPr>
        <w:t>B. thuringiensis</w:t>
      </w:r>
      <w:r w:rsidR="00A32BC4" w:rsidRPr="00A32BC4">
        <w:rPr>
          <w:rFonts w:ascii="Cambria" w:hAnsi="Cambria"/>
          <w:b w:val="0"/>
          <w:i w:val="0"/>
          <w:sz w:val="22"/>
          <w:szCs w:val="22"/>
        </w:rPr>
        <w:t xml:space="preserve"> and </w:t>
      </w:r>
      <w:r w:rsidR="00A32BC4" w:rsidRPr="00A32BC4">
        <w:rPr>
          <w:rFonts w:ascii="Cambria" w:hAnsi="Cambria"/>
          <w:b w:val="0"/>
          <w:sz w:val="22"/>
          <w:szCs w:val="22"/>
        </w:rPr>
        <w:t>E. coli</w:t>
      </w:r>
      <w:r w:rsidR="00A32BC4" w:rsidRPr="00A32BC4">
        <w:rPr>
          <w:rFonts w:ascii="Cambria" w:hAnsi="Cambria"/>
          <w:b w:val="0"/>
          <w:i w:val="0"/>
          <w:sz w:val="22"/>
          <w:szCs w:val="22"/>
        </w:rPr>
        <w:t>, are not known to be sources of allergenic proteins</w:t>
      </w:r>
    </w:p>
    <w:p w:rsidR="00583495" w:rsidRPr="0035740F" w:rsidRDefault="00583495" w:rsidP="00583495">
      <w:pPr>
        <w:spacing w:after="40"/>
        <w:jc w:val="both"/>
        <w:rPr>
          <w:rFonts w:ascii="Cambria" w:hAnsi="Cambria"/>
          <w:b w:val="0"/>
          <w:i w:val="0"/>
          <w:sz w:val="22"/>
          <w:szCs w:val="22"/>
        </w:rPr>
      </w:pPr>
    </w:p>
    <w:p w:rsidR="00583495" w:rsidRPr="0035740F" w:rsidRDefault="00583495" w:rsidP="00583495">
      <w:pPr>
        <w:spacing w:after="40"/>
        <w:ind w:left="1080" w:hanging="720"/>
        <w:jc w:val="both"/>
        <w:rPr>
          <w:rFonts w:ascii="Cambria" w:hAnsi="Cambria"/>
          <w:b w:val="0"/>
          <w:i w:val="0"/>
          <w:sz w:val="22"/>
          <w:szCs w:val="22"/>
        </w:rPr>
      </w:pPr>
      <w:r w:rsidRPr="0035740F">
        <w:rPr>
          <w:rFonts w:ascii="Cambria" w:hAnsi="Cambria"/>
          <w:i w:val="0"/>
          <w:sz w:val="22"/>
          <w:szCs w:val="22"/>
        </w:rPr>
        <w:t>Proposed Use:</w:t>
      </w:r>
      <w:r w:rsidRPr="0035740F">
        <w:rPr>
          <w:rFonts w:ascii="Cambria" w:hAnsi="Cambria"/>
          <w:b w:val="0"/>
          <w:i w:val="0"/>
          <w:sz w:val="22"/>
          <w:szCs w:val="22"/>
        </w:rPr>
        <w:tab/>
      </w:r>
      <w:r w:rsidRPr="0035740F">
        <w:rPr>
          <w:rFonts w:ascii="Cambria" w:hAnsi="Cambria"/>
          <w:b w:val="0"/>
          <w:i w:val="0"/>
          <w:sz w:val="22"/>
          <w:szCs w:val="22"/>
        </w:rPr>
        <w:tab/>
      </w:r>
      <w:r w:rsidR="00986C01" w:rsidRPr="0035740F">
        <w:rPr>
          <w:rFonts w:ascii="Cambria" w:hAnsi="Cambria"/>
          <w:b w:val="0"/>
          <w:i w:val="0"/>
          <w:sz w:val="22"/>
          <w:szCs w:val="22"/>
        </w:rPr>
        <w:tab/>
      </w:r>
      <w:r w:rsidRPr="0035740F">
        <w:rPr>
          <w:rFonts w:ascii="Cambria" w:hAnsi="Cambria"/>
          <w:b w:val="0"/>
          <w:i w:val="0"/>
          <w:sz w:val="22"/>
          <w:szCs w:val="22"/>
        </w:rPr>
        <w:t>For direct use as food, feed or for processing</w:t>
      </w:r>
    </w:p>
    <w:p w:rsidR="00583495" w:rsidRPr="0035740F" w:rsidRDefault="00583495" w:rsidP="00583495">
      <w:pPr>
        <w:spacing w:after="40"/>
        <w:jc w:val="both"/>
        <w:rPr>
          <w:rFonts w:ascii="Cambria" w:hAnsi="Cambria"/>
          <w:b w:val="0"/>
          <w:i w:val="0"/>
          <w:sz w:val="22"/>
          <w:szCs w:val="22"/>
        </w:rPr>
      </w:pPr>
    </w:p>
    <w:p w:rsidR="00583495" w:rsidRPr="0035740F" w:rsidRDefault="00583495" w:rsidP="00583495">
      <w:pPr>
        <w:pStyle w:val="Heading2"/>
        <w:tabs>
          <w:tab w:val="clear" w:pos="1080"/>
          <w:tab w:val="num" w:pos="540"/>
        </w:tabs>
        <w:spacing w:after="40"/>
        <w:ind w:left="540" w:hanging="540"/>
        <w:jc w:val="both"/>
        <w:rPr>
          <w:rFonts w:ascii="Cambria" w:hAnsi="Cambria"/>
          <w:sz w:val="22"/>
          <w:szCs w:val="22"/>
          <w:u w:val="single"/>
        </w:rPr>
      </w:pPr>
      <w:r w:rsidRPr="0035740F">
        <w:rPr>
          <w:rFonts w:ascii="Cambria" w:hAnsi="Cambria"/>
          <w:sz w:val="22"/>
          <w:szCs w:val="22"/>
          <w:u w:val="single"/>
        </w:rPr>
        <w:t>Background Information</w:t>
      </w:r>
    </w:p>
    <w:p w:rsidR="00583495" w:rsidRPr="0035740F" w:rsidRDefault="00583495" w:rsidP="00583495">
      <w:pPr>
        <w:spacing w:after="40"/>
        <w:jc w:val="both"/>
        <w:rPr>
          <w:rFonts w:ascii="Cambria" w:hAnsi="Cambria"/>
          <w:b w:val="0"/>
          <w:i w:val="0"/>
          <w:sz w:val="22"/>
          <w:szCs w:val="22"/>
        </w:rPr>
      </w:pPr>
    </w:p>
    <w:p w:rsidR="00583495" w:rsidRPr="0035740F" w:rsidRDefault="006D75E2" w:rsidP="00583495">
      <w:pPr>
        <w:spacing w:after="40"/>
        <w:ind w:left="360"/>
        <w:jc w:val="both"/>
        <w:rPr>
          <w:rFonts w:ascii="Cambria" w:hAnsi="Cambria"/>
          <w:b w:val="0"/>
          <w:i w:val="0"/>
          <w:sz w:val="22"/>
          <w:szCs w:val="22"/>
        </w:rPr>
      </w:pPr>
      <w:r>
        <w:rPr>
          <w:rFonts w:ascii="Cambria" w:hAnsi="Cambria"/>
          <w:b w:val="0"/>
          <w:i w:val="0"/>
          <w:sz w:val="22"/>
          <w:szCs w:val="22"/>
        </w:rPr>
        <w:t>Syngenta Philippines</w:t>
      </w:r>
      <w:r w:rsidR="002B64A0" w:rsidRPr="0035740F">
        <w:rPr>
          <w:rFonts w:ascii="Cambria" w:hAnsi="Cambria"/>
          <w:b w:val="0"/>
          <w:i w:val="0"/>
          <w:sz w:val="22"/>
          <w:szCs w:val="22"/>
        </w:rPr>
        <w:t xml:space="preserve"> Inc</w:t>
      </w:r>
      <w:r w:rsidR="00583495" w:rsidRPr="0035740F">
        <w:rPr>
          <w:rFonts w:ascii="Cambria" w:hAnsi="Cambria"/>
          <w:b w:val="0"/>
          <w:i w:val="0"/>
          <w:sz w:val="22"/>
          <w:szCs w:val="22"/>
        </w:rPr>
        <w:t xml:space="preserve">. has filed an application with attached technical dossiers to the Bureau of Plant Industry on </w:t>
      </w:r>
      <w:r>
        <w:rPr>
          <w:rFonts w:ascii="Cambria" w:hAnsi="Cambria"/>
          <w:b w:val="0"/>
          <w:i w:val="0"/>
          <w:sz w:val="22"/>
          <w:szCs w:val="22"/>
        </w:rPr>
        <w:t>July 19, 2017</w:t>
      </w:r>
      <w:r w:rsidR="00583495" w:rsidRPr="0035740F">
        <w:rPr>
          <w:rFonts w:ascii="Cambria" w:hAnsi="Cambria"/>
          <w:b w:val="0"/>
          <w:i w:val="0"/>
          <w:sz w:val="22"/>
          <w:szCs w:val="22"/>
        </w:rPr>
        <w:t xml:space="preserve"> for a biosafety permit for direct use as food, feed or for processing under </w:t>
      </w:r>
      <w:r w:rsidR="002B64A0" w:rsidRPr="0035740F">
        <w:rPr>
          <w:rFonts w:ascii="Cambria" w:hAnsi="Cambria"/>
          <w:b w:val="0"/>
          <w:i w:val="0"/>
          <w:sz w:val="22"/>
          <w:szCs w:val="22"/>
        </w:rPr>
        <w:t>the DOST-DA-DENR-DOH-DILG Joint Department Circular No. 1 series of 2016 (JDC</w:t>
      </w:r>
      <w:r w:rsidR="00F210A2">
        <w:rPr>
          <w:rFonts w:ascii="Cambria" w:hAnsi="Cambria"/>
          <w:b w:val="0"/>
          <w:i w:val="0"/>
          <w:sz w:val="22"/>
          <w:szCs w:val="22"/>
        </w:rPr>
        <w:t xml:space="preserve"> No.1 s2016</w:t>
      </w:r>
      <w:r w:rsidR="002B64A0" w:rsidRPr="0035740F">
        <w:rPr>
          <w:rFonts w:ascii="Cambria" w:hAnsi="Cambria"/>
          <w:b w:val="0"/>
          <w:i w:val="0"/>
          <w:sz w:val="22"/>
          <w:szCs w:val="22"/>
        </w:rPr>
        <w:t>)</w:t>
      </w:r>
      <w:r w:rsidR="00583495" w:rsidRPr="0035740F">
        <w:rPr>
          <w:rFonts w:ascii="Cambria" w:hAnsi="Cambria"/>
          <w:b w:val="0"/>
          <w:i w:val="0"/>
          <w:sz w:val="22"/>
          <w:szCs w:val="22"/>
        </w:rPr>
        <w:t>.</w:t>
      </w:r>
    </w:p>
    <w:p w:rsidR="00583495" w:rsidRPr="0035740F" w:rsidRDefault="00583495" w:rsidP="00583495">
      <w:pPr>
        <w:spacing w:after="40"/>
        <w:ind w:left="360"/>
        <w:jc w:val="both"/>
        <w:rPr>
          <w:rFonts w:ascii="Cambria" w:hAnsi="Cambria"/>
          <w:b w:val="0"/>
          <w:i w:val="0"/>
          <w:sz w:val="22"/>
          <w:szCs w:val="22"/>
        </w:rPr>
      </w:pPr>
    </w:p>
    <w:p w:rsidR="002B64A0" w:rsidRPr="0035740F" w:rsidRDefault="002B64A0" w:rsidP="002B64A0">
      <w:pPr>
        <w:ind w:left="360"/>
        <w:jc w:val="both"/>
        <w:rPr>
          <w:rFonts w:ascii="Cambria" w:hAnsi="Cambria"/>
          <w:b w:val="0"/>
          <w:i w:val="0"/>
          <w:sz w:val="22"/>
          <w:szCs w:val="22"/>
        </w:rPr>
      </w:pPr>
      <w:r w:rsidRPr="0035740F">
        <w:rPr>
          <w:rFonts w:ascii="Cambria" w:hAnsi="Cambria"/>
          <w:b w:val="0"/>
          <w:i w:val="0"/>
          <w:sz w:val="22"/>
          <w:szCs w:val="22"/>
        </w:rPr>
        <w:t>In accordance with Article VII. Section 20 of the JDC, no regulated article, whether imported or developed domestically, shall be permitted for direct use as food and feed, or for processing, unless: (1) the Biosafety Permit for Direct Use has been issued by the BPI; (2) in the case of imported regulated article, the regulated article has been authorized for commercial distribution as food and feed in the country of origin; and (3) regardless of the intended use, the regulated article does not pose greater risks to biodiversity, human and animal health than its conventional counterpart.</w:t>
      </w:r>
    </w:p>
    <w:p w:rsidR="00F210A2" w:rsidRDefault="00F210A2" w:rsidP="00F210A2">
      <w:pPr>
        <w:spacing w:after="40"/>
        <w:ind w:left="360"/>
        <w:jc w:val="both"/>
        <w:rPr>
          <w:rFonts w:ascii="Cambria" w:hAnsi="Cambria"/>
          <w:b w:val="0"/>
          <w:i w:val="0"/>
          <w:sz w:val="22"/>
          <w:szCs w:val="22"/>
        </w:rPr>
      </w:pPr>
    </w:p>
    <w:p w:rsidR="00F210A2" w:rsidRPr="0035740F" w:rsidRDefault="00F210A2" w:rsidP="00F210A2">
      <w:pPr>
        <w:spacing w:after="40"/>
        <w:ind w:left="360"/>
        <w:jc w:val="both"/>
        <w:rPr>
          <w:rFonts w:ascii="Cambria" w:hAnsi="Cambria"/>
          <w:sz w:val="22"/>
          <w:szCs w:val="22"/>
        </w:rPr>
      </w:pPr>
      <w:r w:rsidRPr="0035740F">
        <w:rPr>
          <w:rFonts w:ascii="Cambria" w:hAnsi="Cambria"/>
          <w:b w:val="0"/>
          <w:i w:val="0"/>
          <w:sz w:val="22"/>
          <w:szCs w:val="22"/>
        </w:rPr>
        <w:t xml:space="preserve">The BPI Biotech Office provided the assessors, except for the SEC expert, the complete dossier submitted by </w:t>
      </w:r>
      <w:r w:rsidR="006D75E2">
        <w:rPr>
          <w:rFonts w:ascii="Cambria" w:hAnsi="Cambria"/>
          <w:b w:val="0"/>
          <w:i w:val="0"/>
          <w:sz w:val="22"/>
          <w:szCs w:val="22"/>
        </w:rPr>
        <w:t>Syngenta</w:t>
      </w:r>
      <w:r w:rsidRPr="0035740F">
        <w:rPr>
          <w:rFonts w:ascii="Cambria" w:hAnsi="Cambria"/>
          <w:b w:val="0"/>
          <w:i w:val="0"/>
          <w:sz w:val="22"/>
          <w:szCs w:val="22"/>
        </w:rPr>
        <w:t xml:space="preserve">. The SEC expert, on the other hand, was provided with a questionnaire on socio-economic, ethical and cultural considerations that have been addressed by </w:t>
      </w:r>
      <w:r w:rsidR="006D75E2">
        <w:rPr>
          <w:rFonts w:ascii="Cambria" w:hAnsi="Cambria"/>
          <w:b w:val="0"/>
          <w:i w:val="0"/>
          <w:sz w:val="22"/>
          <w:szCs w:val="22"/>
        </w:rPr>
        <w:t>Syngenta</w:t>
      </w:r>
      <w:r w:rsidRPr="0035740F">
        <w:rPr>
          <w:rFonts w:ascii="Cambria" w:hAnsi="Cambria"/>
          <w:b w:val="0"/>
          <w:i w:val="0"/>
          <w:sz w:val="22"/>
          <w:szCs w:val="22"/>
        </w:rPr>
        <w:t xml:space="preserve"> in relation to their application.</w:t>
      </w:r>
    </w:p>
    <w:p w:rsidR="00F210A2" w:rsidRDefault="00F210A2" w:rsidP="002B64A0">
      <w:pPr>
        <w:spacing w:after="40"/>
        <w:ind w:left="360"/>
        <w:jc w:val="both"/>
        <w:rPr>
          <w:rFonts w:ascii="Cambria" w:hAnsi="Cambria"/>
          <w:b w:val="0"/>
          <w:i w:val="0"/>
          <w:sz w:val="22"/>
          <w:szCs w:val="22"/>
        </w:rPr>
      </w:pPr>
    </w:p>
    <w:p w:rsidR="00F210A2" w:rsidRDefault="00F210A2" w:rsidP="00F210A2">
      <w:pPr>
        <w:spacing w:after="40"/>
        <w:ind w:left="360"/>
        <w:jc w:val="both"/>
        <w:rPr>
          <w:rFonts w:ascii="Cambria" w:hAnsi="Cambria"/>
          <w:b w:val="0"/>
          <w:i w:val="0"/>
          <w:sz w:val="22"/>
          <w:szCs w:val="22"/>
        </w:rPr>
      </w:pPr>
      <w:r w:rsidRPr="0035740F">
        <w:rPr>
          <w:rFonts w:ascii="Cambria" w:hAnsi="Cambria"/>
          <w:b w:val="0"/>
          <w:i w:val="0"/>
          <w:sz w:val="22"/>
          <w:szCs w:val="22"/>
        </w:rPr>
        <w:t xml:space="preserve">Extensive safety evaluation of </w:t>
      </w:r>
      <w:r w:rsidR="006D75E2">
        <w:rPr>
          <w:rFonts w:ascii="Cambria" w:hAnsi="Cambria"/>
          <w:b w:val="0"/>
          <w:i w:val="0"/>
          <w:sz w:val="22"/>
          <w:szCs w:val="22"/>
        </w:rPr>
        <w:t>MIR604</w:t>
      </w:r>
      <w:r w:rsidRPr="0035740F">
        <w:rPr>
          <w:rFonts w:ascii="Cambria" w:hAnsi="Cambria"/>
          <w:b w:val="0"/>
          <w:i w:val="0"/>
          <w:sz w:val="22"/>
          <w:szCs w:val="22"/>
        </w:rPr>
        <w:t xml:space="preserve"> in terms of genetic stability, agronomic characteristics, food compositional analysis, and potential toxicity and </w:t>
      </w:r>
      <w:proofErr w:type="spellStart"/>
      <w:r w:rsidRPr="0035740F">
        <w:rPr>
          <w:rFonts w:ascii="Cambria" w:hAnsi="Cambria"/>
          <w:b w:val="0"/>
          <w:i w:val="0"/>
          <w:sz w:val="22"/>
          <w:szCs w:val="22"/>
        </w:rPr>
        <w:t>allergenicity</w:t>
      </w:r>
      <w:proofErr w:type="spellEnd"/>
      <w:r w:rsidRPr="0035740F">
        <w:rPr>
          <w:rFonts w:ascii="Cambria" w:hAnsi="Cambria"/>
          <w:b w:val="0"/>
          <w:i w:val="0"/>
          <w:sz w:val="22"/>
          <w:szCs w:val="22"/>
        </w:rPr>
        <w:t xml:space="preserve"> was undertaken by the concerned agencies [Bureau of Animal Industry (BAI), Bureau of </w:t>
      </w:r>
      <w:r>
        <w:rPr>
          <w:rFonts w:ascii="Cambria" w:hAnsi="Cambria"/>
          <w:b w:val="0"/>
          <w:i w:val="0"/>
          <w:sz w:val="22"/>
          <w:szCs w:val="22"/>
        </w:rPr>
        <w:t>Plant Industry- Plant Products Safety Services Division</w:t>
      </w:r>
      <w:r w:rsidRPr="0035740F">
        <w:rPr>
          <w:rFonts w:ascii="Cambria" w:hAnsi="Cambria"/>
          <w:b w:val="0"/>
          <w:i w:val="0"/>
          <w:sz w:val="22"/>
          <w:szCs w:val="22"/>
        </w:rPr>
        <w:t xml:space="preserve">] and a Scientific Technical Review Panel (STRP) following the </w:t>
      </w:r>
      <w:r>
        <w:rPr>
          <w:rFonts w:ascii="Cambria" w:hAnsi="Cambria"/>
          <w:b w:val="0"/>
          <w:i w:val="0"/>
          <w:sz w:val="22"/>
          <w:szCs w:val="22"/>
        </w:rPr>
        <w:t>JDC No. 1 s2016's</w:t>
      </w:r>
      <w:r w:rsidRPr="0035740F">
        <w:rPr>
          <w:rFonts w:ascii="Cambria" w:hAnsi="Cambria"/>
          <w:b w:val="0"/>
          <w:i w:val="0"/>
          <w:sz w:val="22"/>
          <w:szCs w:val="22"/>
        </w:rPr>
        <w:t xml:space="preserve"> guidelines for the release of genetically modified organisms.</w:t>
      </w:r>
      <w:r>
        <w:rPr>
          <w:rFonts w:ascii="Cambria" w:hAnsi="Cambria"/>
          <w:b w:val="0"/>
          <w:i w:val="0"/>
          <w:sz w:val="22"/>
          <w:szCs w:val="22"/>
        </w:rPr>
        <w:t xml:space="preserve"> Furthermore, DENR-BC and DOH-BC also did a thorough evaluation of the environmental risk and environmental health risk respectively.</w:t>
      </w:r>
    </w:p>
    <w:p w:rsidR="002B64A0" w:rsidRPr="0035740F" w:rsidRDefault="002B64A0" w:rsidP="002B64A0">
      <w:pPr>
        <w:spacing w:after="40"/>
        <w:ind w:left="360"/>
        <w:jc w:val="both"/>
        <w:rPr>
          <w:rFonts w:ascii="Cambria" w:hAnsi="Cambria"/>
          <w:b w:val="0"/>
          <w:i w:val="0"/>
          <w:sz w:val="22"/>
          <w:szCs w:val="22"/>
        </w:rPr>
      </w:pPr>
    </w:p>
    <w:p w:rsidR="00583495" w:rsidRDefault="006D75E2" w:rsidP="00583495">
      <w:pPr>
        <w:spacing w:after="40"/>
        <w:ind w:left="360"/>
        <w:jc w:val="both"/>
        <w:rPr>
          <w:rFonts w:ascii="Cambria" w:hAnsi="Cambria"/>
          <w:b w:val="0"/>
          <w:bCs/>
          <w:i w:val="0"/>
          <w:iCs/>
          <w:sz w:val="22"/>
          <w:szCs w:val="22"/>
        </w:rPr>
      </w:pPr>
      <w:r>
        <w:rPr>
          <w:rFonts w:ascii="Cambria" w:hAnsi="Cambria"/>
          <w:b w:val="0"/>
          <w:i w:val="0"/>
          <w:sz w:val="22"/>
          <w:szCs w:val="22"/>
        </w:rPr>
        <w:t>Syngenta</w:t>
      </w:r>
      <w:r w:rsidR="00643883" w:rsidRPr="0035740F">
        <w:rPr>
          <w:rFonts w:ascii="Cambria" w:hAnsi="Cambria"/>
          <w:b w:val="0"/>
          <w:i w:val="0"/>
          <w:sz w:val="22"/>
          <w:szCs w:val="22"/>
        </w:rPr>
        <w:t xml:space="preserve"> </w:t>
      </w:r>
      <w:r w:rsidR="00583495" w:rsidRPr="0035740F">
        <w:rPr>
          <w:rFonts w:ascii="Cambria" w:hAnsi="Cambria"/>
          <w:b w:val="0"/>
          <w:bCs/>
          <w:i w:val="0"/>
          <w:iCs/>
          <w:sz w:val="22"/>
          <w:szCs w:val="22"/>
        </w:rPr>
        <w:t xml:space="preserve">provided data on the identity of </w:t>
      </w:r>
      <w:r>
        <w:rPr>
          <w:rFonts w:ascii="Cambria" w:hAnsi="Cambria"/>
          <w:b w:val="0"/>
          <w:bCs/>
          <w:i w:val="0"/>
          <w:iCs/>
          <w:sz w:val="22"/>
          <w:szCs w:val="22"/>
        </w:rPr>
        <w:t>MIR604</w:t>
      </w:r>
      <w:r w:rsidR="00583495" w:rsidRPr="0035740F">
        <w:rPr>
          <w:rFonts w:ascii="Cambria" w:hAnsi="Cambria"/>
          <w:b w:val="0"/>
          <w:bCs/>
          <w:i w:val="0"/>
          <w:iCs/>
          <w:sz w:val="22"/>
          <w:szCs w:val="22"/>
        </w:rPr>
        <w:t>, a detailed description of the transformation method, data and information on the gene insertion sites, copy number and levels of expression in the plant, the role of the inserted genes and regulatory sequences in donor organisms and full nucleotide sequences. The novel protein was identified, characterized and compared to the original bacterial protein, including an evaluation of their potential toxicity to livestock and non-target organisms. Relevant scientific publications were supplied.</w:t>
      </w:r>
    </w:p>
    <w:p w:rsidR="006D75E2" w:rsidRPr="00F210A2" w:rsidRDefault="006D75E2" w:rsidP="00583495">
      <w:pPr>
        <w:spacing w:after="40"/>
        <w:ind w:left="360"/>
        <w:jc w:val="both"/>
        <w:rPr>
          <w:rFonts w:ascii="Cambria" w:hAnsi="Cambria"/>
          <w:b w:val="0"/>
          <w:bCs/>
          <w:i w:val="0"/>
          <w:iCs/>
          <w:sz w:val="22"/>
          <w:szCs w:val="22"/>
        </w:rPr>
      </w:pPr>
    </w:p>
    <w:p w:rsidR="00583495" w:rsidRDefault="00A020AE" w:rsidP="00583495">
      <w:pPr>
        <w:spacing w:after="40"/>
        <w:ind w:left="360"/>
        <w:jc w:val="both"/>
        <w:rPr>
          <w:rFonts w:ascii="Cambria" w:hAnsi="Cambria"/>
          <w:b w:val="0"/>
          <w:i w:val="0"/>
          <w:sz w:val="22"/>
          <w:szCs w:val="22"/>
        </w:rPr>
      </w:pPr>
      <w:r>
        <w:rPr>
          <w:rFonts w:ascii="Cambria" w:hAnsi="Cambria"/>
          <w:b w:val="0"/>
          <w:i w:val="0"/>
          <w:sz w:val="22"/>
          <w:szCs w:val="22"/>
        </w:rPr>
        <w:t>The DA-Biosafety Committee evaluated the assessment of all agencies including the SEC experts and recommended for the approval of the said application</w:t>
      </w:r>
      <w:r w:rsidR="00583495" w:rsidRPr="0035740F">
        <w:rPr>
          <w:rFonts w:ascii="Cambria" w:hAnsi="Cambria"/>
          <w:b w:val="0"/>
          <w:i w:val="0"/>
          <w:sz w:val="22"/>
          <w:szCs w:val="22"/>
        </w:rPr>
        <w:t>.</w:t>
      </w:r>
      <w:r>
        <w:rPr>
          <w:rFonts w:ascii="Cambria" w:hAnsi="Cambria"/>
          <w:b w:val="0"/>
          <w:i w:val="0"/>
          <w:sz w:val="22"/>
          <w:szCs w:val="22"/>
        </w:rPr>
        <w:t xml:space="preserve"> </w:t>
      </w:r>
    </w:p>
    <w:p w:rsidR="00C92B6E" w:rsidRPr="0035740F" w:rsidRDefault="00C92B6E" w:rsidP="00583495">
      <w:pPr>
        <w:spacing w:after="40"/>
        <w:ind w:left="360"/>
        <w:jc w:val="both"/>
        <w:rPr>
          <w:rFonts w:ascii="Cambria" w:hAnsi="Cambria"/>
          <w:b w:val="0"/>
          <w:i w:val="0"/>
          <w:sz w:val="22"/>
          <w:szCs w:val="22"/>
        </w:rPr>
      </w:pPr>
    </w:p>
    <w:p w:rsidR="00583495" w:rsidRDefault="00264D1D" w:rsidP="00583495">
      <w:pPr>
        <w:spacing w:after="40"/>
        <w:jc w:val="both"/>
        <w:rPr>
          <w:rFonts w:ascii="Cambria" w:hAnsi="Cambria"/>
          <w:i w:val="0"/>
          <w:sz w:val="22"/>
          <w:szCs w:val="22"/>
        </w:rPr>
      </w:pPr>
      <w:r w:rsidRPr="0035740F">
        <w:rPr>
          <w:rFonts w:ascii="Cambria" w:hAnsi="Cambria"/>
          <w:i w:val="0"/>
          <w:sz w:val="22"/>
          <w:szCs w:val="22"/>
        </w:rPr>
        <w:lastRenderedPageBreak/>
        <w:t>Food and Feed Safety</w:t>
      </w:r>
    </w:p>
    <w:p w:rsidR="00193A4F" w:rsidRPr="00193A4F" w:rsidRDefault="00193A4F" w:rsidP="00583495">
      <w:pPr>
        <w:spacing w:after="40"/>
        <w:jc w:val="both"/>
        <w:rPr>
          <w:rFonts w:ascii="Cambria" w:hAnsi="Cambria"/>
          <w:i w:val="0"/>
          <w:sz w:val="22"/>
          <w:szCs w:val="22"/>
        </w:rPr>
      </w:pPr>
    </w:p>
    <w:p w:rsidR="00583495" w:rsidRPr="00193A4F" w:rsidRDefault="00583495" w:rsidP="00193A4F">
      <w:pPr>
        <w:pStyle w:val="Heading2"/>
        <w:numPr>
          <w:ilvl w:val="0"/>
          <w:numId w:val="5"/>
        </w:numPr>
        <w:tabs>
          <w:tab w:val="clear" w:pos="1080"/>
          <w:tab w:val="left" w:pos="540"/>
        </w:tabs>
        <w:spacing w:after="40"/>
        <w:ind w:hanging="1080"/>
        <w:jc w:val="both"/>
        <w:rPr>
          <w:rFonts w:ascii="Cambria" w:hAnsi="Cambria"/>
          <w:sz w:val="22"/>
          <w:szCs w:val="22"/>
          <w:u w:val="single"/>
        </w:rPr>
      </w:pPr>
      <w:r w:rsidRPr="00193A4F">
        <w:rPr>
          <w:rFonts w:ascii="Cambria" w:hAnsi="Cambria"/>
          <w:sz w:val="22"/>
          <w:szCs w:val="22"/>
          <w:u w:val="single"/>
        </w:rPr>
        <w:t xml:space="preserve">Description of Novel (Introduced) Traits </w:t>
      </w:r>
    </w:p>
    <w:p w:rsidR="00583495" w:rsidRPr="0035740F" w:rsidRDefault="00583495" w:rsidP="00583495">
      <w:pPr>
        <w:spacing w:after="40"/>
        <w:ind w:left="543"/>
        <w:jc w:val="both"/>
        <w:rPr>
          <w:rFonts w:ascii="Cambria" w:hAnsi="Cambria"/>
          <w:b w:val="0"/>
          <w:i w:val="0"/>
          <w:sz w:val="22"/>
          <w:szCs w:val="22"/>
        </w:rPr>
      </w:pPr>
    </w:p>
    <w:p w:rsidR="00583495" w:rsidRPr="0035740F" w:rsidRDefault="00191282" w:rsidP="00191282">
      <w:pPr>
        <w:spacing w:after="40"/>
        <w:ind w:left="417"/>
        <w:jc w:val="both"/>
        <w:rPr>
          <w:rFonts w:ascii="Cambria" w:hAnsi="Cambria"/>
          <w:b w:val="0"/>
          <w:i w:val="0"/>
          <w:sz w:val="22"/>
          <w:szCs w:val="22"/>
        </w:rPr>
      </w:pPr>
      <w:r w:rsidRPr="00191282">
        <w:rPr>
          <w:rFonts w:ascii="Cambria" w:hAnsi="Cambria"/>
          <w:b w:val="0"/>
          <w:i w:val="0"/>
          <w:sz w:val="22"/>
          <w:szCs w:val="22"/>
        </w:rPr>
        <w:t xml:space="preserve">Corn MIR604 contains the mcry3A gene and </w:t>
      </w:r>
      <w:proofErr w:type="spellStart"/>
      <w:r w:rsidRPr="00191282">
        <w:rPr>
          <w:rFonts w:ascii="Cambria" w:hAnsi="Cambria"/>
          <w:b w:val="0"/>
          <w:i w:val="0"/>
          <w:sz w:val="22"/>
          <w:szCs w:val="22"/>
        </w:rPr>
        <w:t>pmi</w:t>
      </w:r>
      <w:proofErr w:type="spellEnd"/>
      <w:r w:rsidRPr="00191282">
        <w:rPr>
          <w:rFonts w:ascii="Cambria" w:hAnsi="Cambria"/>
          <w:b w:val="0"/>
          <w:i w:val="0"/>
          <w:sz w:val="22"/>
          <w:szCs w:val="22"/>
        </w:rPr>
        <w:t xml:space="preserve"> gene. The mcry3A gene is a modified version of a native cry3A gene, which is a member of a class of cry genes found in Bacillus thuringiensis subsp. </w:t>
      </w:r>
      <w:proofErr w:type="spellStart"/>
      <w:r w:rsidRPr="00191282">
        <w:rPr>
          <w:rFonts w:ascii="Cambria" w:hAnsi="Cambria"/>
          <w:b w:val="0"/>
          <w:i w:val="0"/>
          <w:sz w:val="22"/>
          <w:szCs w:val="22"/>
        </w:rPr>
        <w:t>tenebrionis</w:t>
      </w:r>
      <w:proofErr w:type="spellEnd"/>
      <w:r w:rsidRPr="00191282">
        <w:rPr>
          <w:rFonts w:ascii="Cambria" w:hAnsi="Cambria"/>
          <w:b w:val="0"/>
          <w:i w:val="0"/>
          <w:sz w:val="22"/>
          <w:szCs w:val="22"/>
        </w:rPr>
        <w:t xml:space="preserve">. It confers resistance to coleopteran insects particularly corn rootworm pests by selectively damaging their midgut lining On the other hand, the </w:t>
      </w:r>
      <w:proofErr w:type="spellStart"/>
      <w:r w:rsidRPr="00191282">
        <w:rPr>
          <w:rFonts w:ascii="Cambria" w:hAnsi="Cambria"/>
          <w:b w:val="0"/>
          <w:i w:val="0"/>
          <w:sz w:val="22"/>
          <w:szCs w:val="22"/>
        </w:rPr>
        <w:t>pmi</w:t>
      </w:r>
      <w:proofErr w:type="spellEnd"/>
      <w:r w:rsidRPr="00191282">
        <w:rPr>
          <w:rFonts w:ascii="Cambria" w:hAnsi="Cambria"/>
          <w:b w:val="0"/>
          <w:i w:val="0"/>
          <w:sz w:val="22"/>
          <w:szCs w:val="22"/>
        </w:rPr>
        <w:t xml:space="preserve"> gene came from Escherichia coli. It metabolizes mannose and allows positive selection for recovery of transformed plants In general, bacteria, including B. thuringiensis and E. coli, are not known to be so</w:t>
      </w:r>
      <w:r>
        <w:rPr>
          <w:rFonts w:ascii="Cambria" w:hAnsi="Cambria"/>
          <w:b w:val="0"/>
          <w:i w:val="0"/>
          <w:sz w:val="22"/>
          <w:szCs w:val="22"/>
        </w:rPr>
        <w:t xml:space="preserve">urces of allergenic proteins.  </w:t>
      </w:r>
    </w:p>
    <w:p w:rsidR="00583495" w:rsidRPr="0035740F" w:rsidRDefault="00583495" w:rsidP="00583495">
      <w:pPr>
        <w:pStyle w:val="Heading3"/>
        <w:spacing w:after="40"/>
        <w:ind w:left="417" w:firstLine="663"/>
        <w:jc w:val="both"/>
        <w:rPr>
          <w:rFonts w:ascii="Cambria" w:hAnsi="Cambria"/>
          <w:sz w:val="22"/>
          <w:szCs w:val="22"/>
        </w:rPr>
      </w:pPr>
      <w:r w:rsidRPr="0035740F">
        <w:rPr>
          <w:rFonts w:ascii="Cambria" w:hAnsi="Cambria"/>
          <w:sz w:val="22"/>
          <w:szCs w:val="22"/>
        </w:rPr>
        <w:t>Safety of the Expressed Proteins</w:t>
      </w:r>
    </w:p>
    <w:p w:rsidR="00583495" w:rsidRPr="00D009B1" w:rsidRDefault="00583495" w:rsidP="00583495">
      <w:pPr>
        <w:spacing w:after="40"/>
        <w:ind w:left="360"/>
        <w:jc w:val="both"/>
        <w:rPr>
          <w:rFonts w:ascii="Cambria" w:hAnsi="Cambria"/>
          <w:b w:val="0"/>
          <w:i w:val="0"/>
          <w:color w:val="FF0000"/>
          <w:sz w:val="22"/>
          <w:szCs w:val="22"/>
        </w:rPr>
      </w:pPr>
    </w:p>
    <w:p w:rsidR="00B835DC" w:rsidRPr="00B835DC" w:rsidRDefault="00B835DC" w:rsidP="00B835DC">
      <w:pPr>
        <w:spacing w:after="40"/>
        <w:ind w:left="360"/>
        <w:jc w:val="both"/>
        <w:rPr>
          <w:rFonts w:ascii="Cambria" w:hAnsi="Cambria"/>
          <w:b w:val="0"/>
          <w:i w:val="0"/>
          <w:sz w:val="22"/>
          <w:szCs w:val="22"/>
        </w:rPr>
      </w:pPr>
      <w:r w:rsidRPr="00B835DC">
        <w:rPr>
          <w:rFonts w:ascii="Cambria" w:hAnsi="Cambria"/>
          <w:b w:val="0"/>
          <w:i w:val="0"/>
          <w:sz w:val="22"/>
          <w:szCs w:val="22"/>
        </w:rPr>
        <w:t xml:space="preserve">The novel proteins, mCry3A and PMI, were subjected to digestibility, heat inactivation, oral toxicity and amino acid sequence comparison studies to determine its potential to cause toxicity or </w:t>
      </w:r>
      <w:proofErr w:type="spellStart"/>
      <w:r w:rsidRPr="00B835DC">
        <w:rPr>
          <w:rFonts w:ascii="Cambria" w:hAnsi="Cambria"/>
          <w:b w:val="0"/>
          <w:i w:val="0"/>
          <w:sz w:val="22"/>
          <w:szCs w:val="22"/>
        </w:rPr>
        <w:t>allergenicity</w:t>
      </w:r>
      <w:proofErr w:type="spellEnd"/>
      <w:r w:rsidRPr="00B835DC">
        <w:rPr>
          <w:rFonts w:ascii="Cambria" w:hAnsi="Cambria"/>
          <w:b w:val="0"/>
          <w:i w:val="0"/>
          <w:sz w:val="22"/>
          <w:szCs w:val="22"/>
        </w:rPr>
        <w:t xml:space="preserve"> to humans (Syngenta, </w:t>
      </w:r>
      <w:proofErr w:type="spellStart"/>
      <w:r w:rsidRPr="00B835DC">
        <w:rPr>
          <w:rFonts w:ascii="Cambria" w:hAnsi="Cambria"/>
          <w:b w:val="0"/>
          <w:i w:val="0"/>
          <w:sz w:val="22"/>
          <w:szCs w:val="22"/>
        </w:rPr>
        <w:t>n.d.</w:t>
      </w:r>
      <w:proofErr w:type="spellEnd"/>
      <w:r w:rsidRPr="00B835DC">
        <w:rPr>
          <w:rFonts w:ascii="Cambria" w:hAnsi="Cambria"/>
          <w:b w:val="0"/>
          <w:i w:val="0"/>
          <w:sz w:val="22"/>
          <w:szCs w:val="22"/>
        </w:rPr>
        <w:t>).  The biochemical and funct</w:t>
      </w:r>
      <w:bookmarkStart w:id="0" w:name="_GoBack"/>
      <w:bookmarkEnd w:id="0"/>
      <w:r w:rsidRPr="00B835DC">
        <w:rPr>
          <w:rFonts w:ascii="Cambria" w:hAnsi="Cambria"/>
          <w:b w:val="0"/>
          <w:i w:val="0"/>
          <w:sz w:val="22"/>
          <w:szCs w:val="22"/>
        </w:rPr>
        <w:t xml:space="preserve">ional equivalence between mCry3A and PMI proteins produced by MIR604 and test substances MIR604-0102 and MIR604-PMI-0105 were determined through comparing the protein samples in terms of immunoreactivity, molecular weight and enzymatic activity. Results showed that the </w:t>
      </w:r>
      <w:proofErr w:type="spellStart"/>
      <w:r w:rsidRPr="00B835DC">
        <w:rPr>
          <w:rFonts w:ascii="Cambria" w:hAnsi="Cambria"/>
          <w:b w:val="0"/>
          <w:i w:val="0"/>
          <w:sz w:val="22"/>
          <w:szCs w:val="22"/>
        </w:rPr>
        <w:t>microbially</w:t>
      </w:r>
      <w:proofErr w:type="spellEnd"/>
      <w:r w:rsidRPr="00B835DC">
        <w:rPr>
          <w:rFonts w:ascii="Cambria" w:hAnsi="Cambria"/>
          <w:b w:val="0"/>
          <w:i w:val="0"/>
          <w:sz w:val="22"/>
          <w:szCs w:val="22"/>
        </w:rPr>
        <w:t>-produced and plant-produced proteins were biologically and functionally equivalent (Song, 2009).</w:t>
      </w:r>
    </w:p>
    <w:p w:rsidR="00B835DC" w:rsidRPr="00B835DC" w:rsidRDefault="00B835DC" w:rsidP="00B835DC">
      <w:pPr>
        <w:spacing w:after="40"/>
        <w:ind w:left="360"/>
        <w:jc w:val="both"/>
        <w:rPr>
          <w:rFonts w:ascii="Cambria" w:hAnsi="Cambria"/>
          <w:b w:val="0"/>
          <w:i w:val="0"/>
          <w:sz w:val="22"/>
          <w:szCs w:val="22"/>
        </w:rPr>
      </w:pPr>
    </w:p>
    <w:p w:rsidR="00583495" w:rsidRPr="00B835DC" w:rsidRDefault="00B835DC" w:rsidP="00B835DC">
      <w:pPr>
        <w:spacing w:after="40"/>
        <w:ind w:left="360"/>
        <w:jc w:val="both"/>
        <w:rPr>
          <w:rFonts w:ascii="Cambria" w:hAnsi="Cambria"/>
          <w:b w:val="0"/>
          <w:i w:val="0"/>
          <w:sz w:val="22"/>
          <w:szCs w:val="22"/>
        </w:rPr>
      </w:pPr>
      <w:r w:rsidRPr="00B835DC">
        <w:rPr>
          <w:rFonts w:ascii="Cambria" w:hAnsi="Cambria"/>
          <w:b w:val="0"/>
          <w:i w:val="0"/>
          <w:sz w:val="22"/>
          <w:szCs w:val="22"/>
        </w:rPr>
        <w:t xml:space="preserve">Results of the digestibility, heat inactivation, amino acid sequence comparison and acute oral toxicity studies indicates that mCry3A and PMI proteins being expressed in MIR604 corn are not toxic or allergenic to humans (Syngenta, </w:t>
      </w:r>
      <w:proofErr w:type="spellStart"/>
      <w:r w:rsidRPr="00B835DC">
        <w:rPr>
          <w:rFonts w:ascii="Cambria" w:hAnsi="Cambria"/>
          <w:b w:val="0"/>
          <w:i w:val="0"/>
          <w:sz w:val="22"/>
          <w:szCs w:val="22"/>
        </w:rPr>
        <w:t>n.d.</w:t>
      </w:r>
      <w:proofErr w:type="spellEnd"/>
      <w:r w:rsidRPr="00B835DC">
        <w:rPr>
          <w:rFonts w:ascii="Cambria" w:hAnsi="Cambria"/>
          <w:b w:val="0"/>
          <w:i w:val="0"/>
          <w:sz w:val="22"/>
          <w:szCs w:val="22"/>
        </w:rPr>
        <w:t>).</w:t>
      </w:r>
    </w:p>
    <w:p w:rsidR="00B835DC" w:rsidRPr="0035740F" w:rsidRDefault="00B835DC" w:rsidP="00B835DC">
      <w:pPr>
        <w:spacing w:after="40"/>
        <w:ind w:left="360"/>
        <w:jc w:val="both"/>
        <w:rPr>
          <w:rFonts w:ascii="Cambria" w:hAnsi="Cambria"/>
          <w:b w:val="0"/>
          <w:i w:val="0"/>
          <w:sz w:val="22"/>
          <w:szCs w:val="22"/>
        </w:rPr>
      </w:pPr>
    </w:p>
    <w:p w:rsidR="00583495" w:rsidRPr="0035740F" w:rsidRDefault="00583495" w:rsidP="00583495">
      <w:pPr>
        <w:pStyle w:val="Heading2"/>
        <w:tabs>
          <w:tab w:val="clear" w:pos="1080"/>
          <w:tab w:val="num" w:pos="540"/>
        </w:tabs>
        <w:spacing w:after="40"/>
        <w:ind w:hanging="1080"/>
        <w:jc w:val="both"/>
        <w:rPr>
          <w:rFonts w:ascii="Cambria" w:hAnsi="Cambria"/>
          <w:sz w:val="22"/>
          <w:szCs w:val="22"/>
          <w:u w:val="single"/>
        </w:rPr>
      </w:pPr>
      <w:r w:rsidRPr="0035740F">
        <w:rPr>
          <w:rFonts w:ascii="Cambria" w:hAnsi="Cambria"/>
          <w:sz w:val="22"/>
          <w:szCs w:val="22"/>
          <w:u w:val="single"/>
        </w:rPr>
        <w:t>Nutritional Composition (Compositional Analysis)</w:t>
      </w:r>
    </w:p>
    <w:p w:rsidR="00583495" w:rsidRPr="0035740F" w:rsidRDefault="00583495" w:rsidP="00583495">
      <w:pPr>
        <w:spacing w:after="40"/>
        <w:ind w:left="360"/>
        <w:jc w:val="both"/>
        <w:rPr>
          <w:rFonts w:ascii="Cambria" w:hAnsi="Cambria"/>
          <w:b w:val="0"/>
          <w:i w:val="0"/>
          <w:sz w:val="22"/>
          <w:szCs w:val="22"/>
        </w:rPr>
      </w:pPr>
    </w:p>
    <w:p w:rsidR="005D7DCE" w:rsidRPr="008F7E4C" w:rsidRDefault="008F7E4C" w:rsidP="00583495">
      <w:pPr>
        <w:ind w:left="360"/>
        <w:jc w:val="both"/>
        <w:rPr>
          <w:rFonts w:ascii="Cambria" w:hAnsi="Cambria" w:cs="Tahoma"/>
          <w:b w:val="0"/>
          <w:i w:val="0"/>
          <w:sz w:val="22"/>
          <w:szCs w:val="22"/>
        </w:rPr>
      </w:pPr>
      <w:r w:rsidRPr="008F7E4C">
        <w:rPr>
          <w:rFonts w:ascii="Cambria" w:hAnsi="Cambria" w:cs="Tahoma"/>
          <w:b w:val="0"/>
          <w:i w:val="0"/>
          <w:sz w:val="22"/>
          <w:szCs w:val="22"/>
        </w:rPr>
        <w:t xml:space="preserve">Compositional analysis was provided by the developer indicating the nutritional data of MIR604 corn in comparison with the conventional corn (Syngenta, </w:t>
      </w:r>
      <w:proofErr w:type="spellStart"/>
      <w:r w:rsidRPr="008F7E4C">
        <w:rPr>
          <w:rFonts w:ascii="Cambria" w:hAnsi="Cambria" w:cs="Tahoma"/>
          <w:b w:val="0"/>
          <w:i w:val="0"/>
          <w:sz w:val="22"/>
          <w:szCs w:val="22"/>
        </w:rPr>
        <w:t>n.d.</w:t>
      </w:r>
      <w:proofErr w:type="spellEnd"/>
      <w:r w:rsidRPr="008F7E4C">
        <w:rPr>
          <w:rFonts w:ascii="Cambria" w:hAnsi="Cambria" w:cs="Tahoma"/>
          <w:b w:val="0"/>
          <w:i w:val="0"/>
          <w:sz w:val="22"/>
          <w:szCs w:val="22"/>
        </w:rPr>
        <w:t>). The compositional analyses were done in two growing season, in 2002 where two transgenic and 2 non transgenic samples were grown in 3 locations; in 2003, one control and transgenic samples were planted in 7 locations while another 1 transgenic and non-transgenic samples were grown in 9 locations. Results of the analysis indicated that there are no differences in the proximate, fiber, mineral, amino acid, fatty acid, vitamins and anti-nutrient of MIR604 and the conventional corn that can be considered biologically relevant.</w:t>
      </w:r>
    </w:p>
    <w:p w:rsidR="00583495" w:rsidRPr="0035740F" w:rsidRDefault="00583495" w:rsidP="00583495">
      <w:pPr>
        <w:spacing w:after="40"/>
        <w:ind w:left="360"/>
        <w:jc w:val="both"/>
        <w:rPr>
          <w:rFonts w:ascii="Cambria" w:hAnsi="Cambria"/>
          <w:b w:val="0"/>
          <w:i w:val="0"/>
          <w:sz w:val="22"/>
          <w:szCs w:val="22"/>
        </w:rPr>
      </w:pPr>
    </w:p>
    <w:p w:rsidR="007756B8" w:rsidRPr="00193A4F" w:rsidRDefault="00583495" w:rsidP="00193A4F">
      <w:pPr>
        <w:pStyle w:val="Heading2"/>
        <w:tabs>
          <w:tab w:val="clear" w:pos="1080"/>
          <w:tab w:val="num" w:pos="900"/>
        </w:tabs>
        <w:ind w:left="630" w:hanging="810"/>
        <w:rPr>
          <w:rFonts w:asciiTheme="majorHAnsi" w:hAnsiTheme="majorHAnsi"/>
          <w:sz w:val="22"/>
          <w:szCs w:val="22"/>
          <w:u w:val="single"/>
        </w:rPr>
      </w:pPr>
      <w:r w:rsidRPr="00193A4F">
        <w:rPr>
          <w:rFonts w:asciiTheme="majorHAnsi" w:hAnsiTheme="majorHAnsi"/>
          <w:sz w:val="22"/>
          <w:szCs w:val="22"/>
          <w:u w:val="single"/>
        </w:rPr>
        <w:t>Anti-Nutritional Factors</w:t>
      </w:r>
    </w:p>
    <w:p w:rsidR="00583495" w:rsidRPr="0035740F" w:rsidRDefault="00583495" w:rsidP="00583495">
      <w:pPr>
        <w:spacing w:after="40"/>
        <w:rPr>
          <w:rFonts w:ascii="Cambria" w:hAnsi="Cambria"/>
          <w:sz w:val="22"/>
          <w:szCs w:val="22"/>
        </w:rPr>
      </w:pPr>
    </w:p>
    <w:p w:rsidR="005312AC" w:rsidRDefault="005312AC" w:rsidP="004B1A65">
      <w:pPr>
        <w:spacing w:after="40"/>
        <w:ind w:left="360"/>
        <w:jc w:val="both"/>
        <w:rPr>
          <w:rFonts w:ascii="Cambria" w:hAnsi="Cambria"/>
          <w:b w:val="0"/>
          <w:i w:val="0"/>
          <w:sz w:val="22"/>
          <w:szCs w:val="22"/>
        </w:rPr>
      </w:pPr>
      <w:r>
        <w:rPr>
          <w:rFonts w:ascii="Cambria" w:hAnsi="Cambria"/>
          <w:b w:val="0"/>
          <w:i w:val="0"/>
          <w:sz w:val="22"/>
          <w:szCs w:val="22"/>
        </w:rPr>
        <w:t xml:space="preserve">Anti-nutrients, including </w:t>
      </w:r>
      <w:proofErr w:type="spellStart"/>
      <w:r w:rsidR="004B1A65" w:rsidRPr="004B1A65">
        <w:rPr>
          <w:rFonts w:ascii="Cambria" w:hAnsi="Cambria"/>
          <w:b w:val="0"/>
          <w:i w:val="0"/>
          <w:sz w:val="22"/>
          <w:szCs w:val="22"/>
        </w:rPr>
        <w:t>ferulic</w:t>
      </w:r>
      <w:proofErr w:type="spellEnd"/>
      <w:r w:rsidR="004B1A65" w:rsidRPr="004B1A65">
        <w:rPr>
          <w:rFonts w:ascii="Cambria" w:hAnsi="Cambria"/>
          <w:b w:val="0"/>
          <w:i w:val="0"/>
          <w:sz w:val="22"/>
          <w:szCs w:val="22"/>
        </w:rPr>
        <w:t xml:space="preserve"> acid, p-</w:t>
      </w:r>
      <w:proofErr w:type="spellStart"/>
      <w:r w:rsidR="004B1A65" w:rsidRPr="004B1A65">
        <w:rPr>
          <w:rFonts w:ascii="Cambria" w:hAnsi="Cambria"/>
          <w:b w:val="0"/>
          <w:i w:val="0"/>
          <w:sz w:val="22"/>
          <w:szCs w:val="22"/>
        </w:rPr>
        <w:t>coumaric</w:t>
      </w:r>
      <w:proofErr w:type="spellEnd"/>
      <w:r w:rsidR="004B1A65" w:rsidRPr="004B1A65">
        <w:rPr>
          <w:rFonts w:ascii="Cambria" w:hAnsi="Cambria"/>
          <w:b w:val="0"/>
          <w:i w:val="0"/>
          <w:sz w:val="22"/>
          <w:szCs w:val="22"/>
        </w:rPr>
        <w:t xml:space="preserve"> acid, furfural, inositol, </w:t>
      </w:r>
      <w:proofErr w:type="spellStart"/>
      <w:r w:rsidR="004B1A65" w:rsidRPr="004B1A65">
        <w:rPr>
          <w:rFonts w:ascii="Cambria" w:hAnsi="Cambria"/>
          <w:b w:val="0"/>
          <w:i w:val="0"/>
          <w:sz w:val="22"/>
          <w:szCs w:val="22"/>
        </w:rPr>
        <w:t>phytic</w:t>
      </w:r>
      <w:proofErr w:type="spellEnd"/>
      <w:r w:rsidR="004B1A65" w:rsidRPr="004B1A65">
        <w:rPr>
          <w:rFonts w:ascii="Cambria" w:hAnsi="Cambria"/>
          <w:b w:val="0"/>
          <w:i w:val="0"/>
          <w:sz w:val="22"/>
          <w:szCs w:val="22"/>
        </w:rPr>
        <w:t xml:space="preserve"> acid, </w:t>
      </w:r>
      <w:proofErr w:type="spellStart"/>
      <w:proofErr w:type="gramStart"/>
      <w:r w:rsidR="004B1A65" w:rsidRPr="004B1A65">
        <w:rPr>
          <w:rFonts w:ascii="Cambria" w:hAnsi="Cambria"/>
          <w:b w:val="0"/>
          <w:i w:val="0"/>
          <w:sz w:val="22"/>
          <w:szCs w:val="22"/>
        </w:rPr>
        <w:t>raffinose</w:t>
      </w:r>
      <w:proofErr w:type="spellEnd"/>
      <w:proofErr w:type="gramEnd"/>
      <w:r w:rsidR="004B1A65" w:rsidRPr="004B1A65">
        <w:rPr>
          <w:rFonts w:ascii="Cambria" w:hAnsi="Cambria"/>
          <w:b w:val="0"/>
          <w:i w:val="0"/>
          <w:sz w:val="22"/>
          <w:szCs w:val="22"/>
        </w:rPr>
        <w:t xml:space="preserve"> and trypsin inhibitor</w:t>
      </w:r>
      <w:r w:rsidR="004B1A65">
        <w:rPr>
          <w:rFonts w:ascii="Cambria" w:hAnsi="Cambria"/>
          <w:b w:val="0"/>
          <w:i w:val="0"/>
          <w:sz w:val="22"/>
          <w:szCs w:val="22"/>
        </w:rPr>
        <w:t xml:space="preserve"> in grain</w:t>
      </w:r>
      <w:r>
        <w:rPr>
          <w:rFonts w:ascii="Cambria" w:hAnsi="Cambria"/>
          <w:b w:val="0"/>
          <w:i w:val="0"/>
          <w:sz w:val="22"/>
          <w:szCs w:val="22"/>
        </w:rPr>
        <w:t xml:space="preserve"> were analyzed and compared with those of commercial </w:t>
      </w:r>
      <w:r w:rsidR="004B1A65">
        <w:rPr>
          <w:rFonts w:ascii="Cambria" w:hAnsi="Cambria"/>
          <w:b w:val="0"/>
          <w:i w:val="0"/>
          <w:sz w:val="22"/>
          <w:szCs w:val="22"/>
        </w:rPr>
        <w:t xml:space="preserve">corn varieties. </w:t>
      </w:r>
      <w:r w:rsidR="004B1A65" w:rsidRPr="004B1A65">
        <w:rPr>
          <w:rFonts w:ascii="Cambria" w:hAnsi="Cambria"/>
          <w:b w:val="0"/>
          <w:i w:val="0"/>
          <w:sz w:val="22"/>
          <w:szCs w:val="22"/>
        </w:rPr>
        <w:t xml:space="preserve">Statistically significant differences are noted for both </w:t>
      </w:r>
      <w:proofErr w:type="spellStart"/>
      <w:r w:rsidR="004B1A65" w:rsidRPr="004B1A65">
        <w:rPr>
          <w:rFonts w:ascii="Cambria" w:hAnsi="Cambria"/>
          <w:b w:val="0"/>
          <w:i w:val="0"/>
          <w:sz w:val="22"/>
          <w:szCs w:val="22"/>
        </w:rPr>
        <w:t>ferulic</w:t>
      </w:r>
      <w:proofErr w:type="spellEnd"/>
      <w:r w:rsidR="004B1A65" w:rsidRPr="004B1A65">
        <w:rPr>
          <w:rFonts w:ascii="Cambria" w:hAnsi="Cambria"/>
          <w:b w:val="0"/>
          <w:i w:val="0"/>
          <w:sz w:val="22"/>
          <w:szCs w:val="22"/>
        </w:rPr>
        <w:t xml:space="preserve"> acid and p-</w:t>
      </w:r>
      <w:proofErr w:type="spellStart"/>
      <w:r w:rsidR="004B1A65" w:rsidRPr="004B1A65">
        <w:rPr>
          <w:rFonts w:ascii="Cambria" w:hAnsi="Cambria"/>
          <w:b w:val="0"/>
          <w:i w:val="0"/>
          <w:sz w:val="22"/>
          <w:szCs w:val="22"/>
        </w:rPr>
        <w:t>coumaric</w:t>
      </w:r>
      <w:proofErr w:type="spellEnd"/>
      <w:r w:rsidR="004B1A65" w:rsidRPr="004B1A65">
        <w:rPr>
          <w:rFonts w:ascii="Cambria" w:hAnsi="Cambria"/>
          <w:b w:val="0"/>
          <w:i w:val="0"/>
          <w:sz w:val="22"/>
          <w:szCs w:val="22"/>
        </w:rPr>
        <w:t xml:space="preserve"> acid, with lower levels of both in the transgenic samples as compared to the control samples. Other </w:t>
      </w:r>
      <w:proofErr w:type="spellStart"/>
      <w:r w:rsidR="004B1A65" w:rsidRPr="004B1A65">
        <w:rPr>
          <w:rFonts w:ascii="Cambria" w:hAnsi="Cambria"/>
          <w:b w:val="0"/>
          <w:i w:val="0"/>
          <w:sz w:val="22"/>
          <w:szCs w:val="22"/>
        </w:rPr>
        <w:t>antinutrients</w:t>
      </w:r>
      <w:proofErr w:type="spellEnd"/>
      <w:r w:rsidR="004B1A65" w:rsidRPr="004B1A65">
        <w:rPr>
          <w:rFonts w:ascii="Cambria" w:hAnsi="Cambria"/>
          <w:b w:val="0"/>
          <w:i w:val="0"/>
          <w:sz w:val="22"/>
          <w:szCs w:val="22"/>
        </w:rPr>
        <w:t xml:space="preserve"> analyzed have no statistically significant differences between the transgenic and the control</w:t>
      </w:r>
    </w:p>
    <w:p w:rsidR="004B1A65" w:rsidRDefault="004B1A65" w:rsidP="004B1A65">
      <w:pPr>
        <w:spacing w:after="40"/>
        <w:ind w:left="360"/>
        <w:jc w:val="both"/>
        <w:rPr>
          <w:rFonts w:ascii="Cambria" w:hAnsi="Cambria"/>
          <w:b w:val="0"/>
          <w:i w:val="0"/>
          <w:sz w:val="22"/>
          <w:szCs w:val="22"/>
        </w:rPr>
      </w:pPr>
    </w:p>
    <w:p w:rsidR="005312AC" w:rsidRDefault="005312AC" w:rsidP="004B1A65">
      <w:pPr>
        <w:spacing w:after="40"/>
        <w:ind w:left="360"/>
        <w:jc w:val="both"/>
        <w:rPr>
          <w:rFonts w:ascii="Cambria" w:hAnsi="Cambria"/>
          <w:b w:val="0"/>
          <w:i w:val="0"/>
          <w:sz w:val="22"/>
          <w:szCs w:val="22"/>
        </w:rPr>
      </w:pPr>
      <w:r>
        <w:rPr>
          <w:rFonts w:ascii="Cambria" w:hAnsi="Cambria"/>
          <w:b w:val="0"/>
          <w:i w:val="0"/>
          <w:sz w:val="22"/>
          <w:szCs w:val="22"/>
        </w:rPr>
        <w:t xml:space="preserve">Therefore, based on the above statements, there is no safety issue related to the consumption of </w:t>
      </w:r>
      <w:r w:rsidR="004B1A65">
        <w:rPr>
          <w:rFonts w:ascii="Cambria" w:hAnsi="Cambria"/>
          <w:b w:val="0"/>
          <w:i w:val="0"/>
          <w:sz w:val="22"/>
          <w:szCs w:val="22"/>
        </w:rPr>
        <w:t>MIR604</w:t>
      </w:r>
      <w:r>
        <w:rPr>
          <w:rFonts w:ascii="Cambria" w:hAnsi="Cambria"/>
          <w:b w:val="0"/>
          <w:i w:val="0"/>
          <w:sz w:val="22"/>
          <w:szCs w:val="22"/>
        </w:rPr>
        <w:t xml:space="preserve"> seed, since the contents of all anti-nutrients were comparable to the contents in seeds from other commercial </w:t>
      </w:r>
      <w:r w:rsidR="004B1A65">
        <w:rPr>
          <w:rFonts w:ascii="Cambria" w:hAnsi="Cambria"/>
          <w:b w:val="0"/>
          <w:i w:val="0"/>
          <w:sz w:val="22"/>
          <w:szCs w:val="22"/>
        </w:rPr>
        <w:t>corn</w:t>
      </w:r>
      <w:r>
        <w:rPr>
          <w:rFonts w:ascii="Cambria" w:hAnsi="Cambria"/>
          <w:b w:val="0"/>
          <w:i w:val="0"/>
          <w:sz w:val="22"/>
          <w:szCs w:val="22"/>
        </w:rPr>
        <w:t xml:space="preserve"> lines. The relevance of the statistically significant differences found between </w:t>
      </w:r>
      <w:r>
        <w:rPr>
          <w:rFonts w:ascii="Cambria" w:hAnsi="Cambria"/>
          <w:b w:val="0"/>
          <w:i w:val="0"/>
          <w:sz w:val="22"/>
          <w:szCs w:val="22"/>
        </w:rPr>
        <w:lastRenderedPageBreak/>
        <w:t xml:space="preserve">the non-transgenic and transgenic control and the transgenic event </w:t>
      </w:r>
      <w:r w:rsidR="004B1A65">
        <w:rPr>
          <w:rFonts w:ascii="Cambria" w:hAnsi="Cambria"/>
          <w:b w:val="0"/>
          <w:i w:val="0"/>
          <w:sz w:val="22"/>
          <w:szCs w:val="22"/>
        </w:rPr>
        <w:t>MIR604</w:t>
      </w:r>
      <w:r>
        <w:rPr>
          <w:rFonts w:ascii="Cambria" w:hAnsi="Cambria"/>
          <w:b w:val="0"/>
          <w:i w:val="0"/>
          <w:sz w:val="22"/>
          <w:szCs w:val="22"/>
        </w:rPr>
        <w:t xml:space="preserve"> was negligible from a biological and nutritional standpoint. </w:t>
      </w:r>
    </w:p>
    <w:p w:rsidR="007756B8" w:rsidRDefault="007756B8" w:rsidP="005312AC">
      <w:pPr>
        <w:spacing w:after="40"/>
        <w:ind w:left="360"/>
        <w:jc w:val="both"/>
        <w:rPr>
          <w:rFonts w:ascii="Cambria" w:hAnsi="Cambria"/>
          <w:b w:val="0"/>
          <w:i w:val="0"/>
          <w:sz w:val="22"/>
          <w:szCs w:val="22"/>
        </w:rPr>
      </w:pPr>
    </w:p>
    <w:p w:rsidR="003B2619" w:rsidRDefault="00A8340E" w:rsidP="003B2619">
      <w:pPr>
        <w:spacing w:after="40"/>
        <w:ind w:left="360"/>
        <w:jc w:val="both"/>
        <w:rPr>
          <w:rFonts w:ascii="Cambria" w:hAnsi="Cambria"/>
          <w:sz w:val="22"/>
          <w:szCs w:val="22"/>
          <w:u w:val="single"/>
        </w:rPr>
      </w:pPr>
      <w:r>
        <w:rPr>
          <w:rFonts w:ascii="Cambria" w:hAnsi="Cambria"/>
          <w:b w:val="0"/>
          <w:i w:val="0"/>
          <w:noProof/>
          <w:sz w:val="22"/>
          <w:szCs w:val="22"/>
          <w:lang w:val="en-PH" w:eastAsia="en-PH"/>
        </w:rPr>
        <mc:AlternateContent>
          <mc:Choice Requires="wps">
            <w:drawing>
              <wp:anchor distT="0" distB="0" distL="114300" distR="114300" simplePos="0" relativeHeight="251658240" behindDoc="0" locked="0" layoutInCell="1" allowOverlap="1">
                <wp:simplePos x="0" y="0"/>
                <wp:positionH relativeFrom="column">
                  <wp:posOffset>-229235</wp:posOffset>
                </wp:positionH>
                <wp:positionV relativeFrom="paragraph">
                  <wp:posOffset>1905</wp:posOffset>
                </wp:positionV>
                <wp:extent cx="6673215" cy="0"/>
                <wp:effectExtent l="889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4ADDF" id="_x0000_t32" coordsize="21600,21600" o:spt="32" o:oned="t" path="m,l21600,21600e" filled="f">
                <v:path arrowok="t" fillok="f" o:connecttype="none"/>
                <o:lock v:ext="edit" shapetype="t"/>
              </v:shapetype>
              <v:shape id="AutoShape 2" o:spid="_x0000_s1026" type="#_x0000_t32" style="position:absolute;margin-left:-18.05pt;margin-top:.15pt;width:52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W0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zuePD2ky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"/>
            </w:pict>
          </mc:Fallback>
        </mc:AlternateContent>
      </w:r>
    </w:p>
    <w:p w:rsidR="007756B8" w:rsidRPr="003B2619" w:rsidRDefault="007756B8" w:rsidP="008F125F">
      <w:pPr>
        <w:spacing w:after="40"/>
        <w:ind w:left="90"/>
        <w:jc w:val="both"/>
        <w:rPr>
          <w:rFonts w:ascii="Cambria" w:hAnsi="Cambria"/>
          <w:i w:val="0"/>
          <w:sz w:val="22"/>
          <w:szCs w:val="22"/>
        </w:rPr>
      </w:pPr>
      <w:r w:rsidRPr="003B2619">
        <w:rPr>
          <w:rFonts w:ascii="Cambria" w:hAnsi="Cambria"/>
          <w:i w:val="0"/>
          <w:sz w:val="22"/>
          <w:szCs w:val="22"/>
        </w:rPr>
        <w:t>Environmental Risk Assessment</w:t>
      </w:r>
    </w:p>
    <w:p w:rsidR="007756B8" w:rsidRPr="0035740F" w:rsidRDefault="007756B8" w:rsidP="007756B8">
      <w:pPr>
        <w:spacing w:after="40"/>
        <w:rPr>
          <w:rFonts w:ascii="Cambria" w:hAnsi="Cambria"/>
          <w:sz w:val="22"/>
          <w:szCs w:val="22"/>
        </w:rPr>
      </w:pPr>
    </w:p>
    <w:p w:rsidR="003B2619" w:rsidRDefault="00D67BAD" w:rsidP="003B2619">
      <w:pPr>
        <w:spacing w:after="40"/>
        <w:ind w:left="360"/>
        <w:jc w:val="both"/>
        <w:rPr>
          <w:rFonts w:ascii="Cambria" w:hAnsi="Cambria"/>
          <w:b w:val="0"/>
          <w:i w:val="0"/>
          <w:sz w:val="22"/>
          <w:szCs w:val="22"/>
        </w:rPr>
      </w:pPr>
      <w:r w:rsidRPr="00D67BAD">
        <w:rPr>
          <w:rFonts w:ascii="Cambria" w:hAnsi="Cambria"/>
          <w:b w:val="0"/>
          <w:i w:val="0"/>
          <w:sz w:val="22"/>
          <w:szCs w:val="22"/>
        </w:rPr>
        <w:t>After a thorough</w:t>
      </w:r>
      <w:r>
        <w:rPr>
          <w:rFonts w:ascii="Cambria" w:hAnsi="Cambria"/>
          <w:b w:val="0"/>
          <w:i w:val="0"/>
          <w:sz w:val="22"/>
          <w:szCs w:val="22"/>
        </w:rPr>
        <w:t xml:space="preserve"> </w:t>
      </w:r>
      <w:r w:rsidRPr="00D67BAD">
        <w:rPr>
          <w:rFonts w:ascii="Cambria" w:hAnsi="Cambria"/>
          <w:b w:val="0"/>
          <w:i w:val="0"/>
          <w:sz w:val="22"/>
          <w:szCs w:val="22"/>
        </w:rPr>
        <w:t xml:space="preserve">scientific review and evaluation of the documents provided by the Bureau of Plant Industry (BPI) to the DENR Biosafety Committee within the prescribed period pursuant to the Joint Department Circular (JDC) No. 1 S 2016 on the application of </w:t>
      </w:r>
      <w:r w:rsidR="005F05C0">
        <w:rPr>
          <w:rFonts w:ascii="Cambria" w:hAnsi="Cambria"/>
          <w:b w:val="0"/>
          <w:i w:val="0"/>
          <w:sz w:val="22"/>
          <w:szCs w:val="22"/>
        </w:rPr>
        <w:t>Syngenta Philippines</w:t>
      </w:r>
      <w:r w:rsidRPr="00D67BAD">
        <w:rPr>
          <w:rFonts w:ascii="Cambria" w:hAnsi="Cambria"/>
          <w:b w:val="0"/>
          <w:i w:val="0"/>
          <w:sz w:val="22"/>
          <w:szCs w:val="22"/>
        </w:rPr>
        <w:t xml:space="preserve"> Inc. for direct use for feed, food or processing of Genetically Modified </w:t>
      </w:r>
      <w:r w:rsidR="005F05C0">
        <w:rPr>
          <w:rFonts w:ascii="Cambria" w:hAnsi="Cambria"/>
          <w:b w:val="0"/>
          <w:i w:val="0"/>
          <w:sz w:val="22"/>
          <w:szCs w:val="22"/>
        </w:rPr>
        <w:t>corn with</w:t>
      </w:r>
      <w:r w:rsidRPr="00D67BAD">
        <w:rPr>
          <w:rFonts w:ascii="Cambria" w:hAnsi="Cambria"/>
          <w:b w:val="0"/>
          <w:i w:val="0"/>
          <w:sz w:val="22"/>
          <w:szCs w:val="22"/>
        </w:rPr>
        <w:t xml:space="preserve"> single-trait product </w:t>
      </w:r>
      <w:r w:rsidR="005F05C0">
        <w:rPr>
          <w:rFonts w:ascii="Cambria" w:hAnsi="Cambria"/>
          <w:b w:val="0"/>
          <w:i w:val="0"/>
          <w:sz w:val="22"/>
          <w:szCs w:val="22"/>
        </w:rPr>
        <w:t>MIR604</w:t>
      </w:r>
      <w:r w:rsidRPr="00D67BAD">
        <w:rPr>
          <w:rFonts w:ascii="Cambria" w:hAnsi="Cambria"/>
          <w:b w:val="0"/>
          <w:i w:val="0"/>
          <w:sz w:val="22"/>
          <w:szCs w:val="22"/>
        </w:rPr>
        <w:t>, along with the submitted sworn statement and accountability of the proponent, a biosafety permit may be issued to the proponent if the conditions set by DENR are followed.</w:t>
      </w:r>
    </w:p>
    <w:p w:rsidR="003B2619" w:rsidRDefault="003B2619" w:rsidP="003B2619">
      <w:pPr>
        <w:spacing w:after="40"/>
        <w:ind w:left="360"/>
        <w:jc w:val="both"/>
        <w:rPr>
          <w:rFonts w:ascii="Cambria" w:hAnsi="Cambria"/>
          <w:b w:val="0"/>
          <w:i w:val="0"/>
          <w:sz w:val="22"/>
          <w:szCs w:val="22"/>
        </w:rPr>
      </w:pPr>
    </w:p>
    <w:p w:rsidR="00D67BAD" w:rsidRPr="003B2619" w:rsidRDefault="00D67BAD" w:rsidP="008F125F">
      <w:pPr>
        <w:spacing w:after="40"/>
        <w:ind w:left="90"/>
        <w:jc w:val="both"/>
        <w:rPr>
          <w:rFonts w:ascii="Cambria" w:hAnsi="Cambria"/>
          <w:b w:val="0"/>
          <w:i w:val="0"/>
          <w:sz w:val="22"/>
          <w:szCs w:val="22"/>
        </w:rPr>
      </w:pPr>
      <w:r w:rsidRPr="003B2619">
        <w:rPr>
          <w:rFonts w:ascii="Cambria" w:hAnsi="Cambria"/>
          <w:i w:val="0"/>
          <w:sz w:val="22"/>
          <w:szCs w:val="22"/>
        </w:rPr>
        <w:t>Environmental Health Risk Assessment</w:t>
      </w:r>
    </w:p>
    <w:p w:rsidR="00D67BAD" w:rsidRPr="0035740F" w:rsidRDefault="00D67BAD" w:rsidP="00D67BAD">
      <w:pPr>
        <w:spacing w:after="40"/>
        <w:rPr>
          <w:rFonts w:ascii="Cambria" w:hAnsi="Cambria"/>
          <w:sz w:val="22"/>
          <w:szCs w:val="22"/>
        </w:rPr>
      </w:pPr>
    </w:p>
    <w:p w:rsidR="00D67BAD" w:rsidRDefault="00D67BAD" w:rsidP="005312AC">
      <w:pPr>
        <w:spacing w:after="40"/>
        <w:ind w:left="360"/>
        <w:jc w:val="both"/>
        <w:rPr>
          <w:rFonts w:ascii="Cambria" w:hAnsi="Cambria"/>
          <w:b w:val="0"/>
          <w:i w:val="0"/>
          <w:sz w:val="22"/>
          <w:szCs w:val="22"/>
        </w:rPr>
      </w:pPr>
      <w:r w:rsidRPr="00D67BAD">
        <w:rPr>
          <w:rFonts w:ascii="Cambria" w:hAnsi="Cambria"/>
          <w:b w:val="0"/>
          <w:i w:val="0"/>
          <w:sz w:val="22"/>
          <w:szCs w:val="22"/>
        </w:rPr>
        <w:t>After a thorough scientific review and evaluation of the documents, DOH find sufficient evidence that the regulated article applied for direct use will not pose any significant risk to health and environment and that any hazards could be managed by the measures set by DOH.</w:t>
      </w:r>
    </w:p>
    <w:p w:rsidR="003B2619" w:rsidRDefault="00A8340E" w:rsidP="003B2619">
      <w:pPr>
        <w:spacing w:after="40"/>
        <w:ind w:left="360"/>
        <w:jc w:val="both"/>
        <w:rPr>
          <w:rFonts w:ascii="Cambria" w:hAnsi="Cambria"/>
          <w:sz w:val="22"/>
          <w:szCs w:val="22"/>
          <w:u w:val="single"/>
        </w:rPr>
      </w:pPr>
      <w:r>
        <w:rPr>
          <w:rFonts w:ascii="Cambria" w:hAnsi="Cambria"/>
          <w:b w:val="0"/>
          <w:i w:val="0"/>
          <w:noProof/>
          <w:sz w:val="22"/>
          <w:szCs w:val="22"/>
          <w:lang w:val="en-PH" w:eastAsia="en-PH"/>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84455</wp:posOffset>
                </wp:positionV>
                <wp:extent cx="6673215" cy="0"/>
                <wp:effectExtent l="13970" t="13970" r="889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D78B4" id="AutoShape 3" o:spid="_x0000_s1026" type="#_x0000_t32" style="position:absolute;margin-left:-26.65pt;margin-top:6.65pt;width:52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z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nscTLO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"/>
            </w:pict>
          </mc:Fallback>
        </mc:AlternateContent>
      </w:r>
    </w:p>
    <w:p w:rsidR="003B2619" w:rsidRDefault="003B2619" w:rsidP="003B2619">
      <w:pPr>
        <w:spacing w:after="40"/>
        <w:ind w:left="360"/>
        <w:jc w:val="both"/>
        <w:rPr>
          <w:rFonts w:ascii="Cambria" w:hAnsi="Cambria"/>
          <w:sz w:val="22"/>
          <w:szCs w:val="22"/>
          <w:u w:val="single"/>
        </w:rPr>
      </w:pPr>
    </w:p>
    <w:p w:rsidR="00D67BAD" w:rsidRPr="003B2619" w:rsidRDefault="00D67BAD" w:rsidP="008F125F">
      <w:pPr>
        <w:spacing w:after="40"/>
        <w:ind w:left="90"/>
        <w:jc w:val="both"/>
        <w:rPr>
          <w:rFonts w:ascii="Cambria" w:hAnsi="Cambria"/>
          <w:i w:val="0"/>
          <w:sz w:val="22"/>
          <w:szCs w:val="22"/>
        </w:rPr>
      </w:pPr>
      <w:r w:rsidRPr="003B2619">
        <w:rPr>
          <w:rFonts w:ascii="Cambria" w:hAnsi="Cambria"/>
          <w:i w:val="0"/>
          <w:sz w:val="22"/>
          <w:szCs w:val="22"/>
        </w:rPr>
        <w:t>Socio-economic. Ethical and Cultural Impact Assessment</w:t>
      </w:r>
    </w:p>
    <w:p w:rsidR="00D67BAD" w:rsidRPr="0035740F" w:rsidRDefault="00D67BAD" w:rsidP="00D67BAD">
      <w:pPr>
        <w:spacing w:after="40"/>
        <w:rPr>
          <w:rFonts w:ascii="Cambria" w:hAnsi="Cambria"/>
          <w:sz w:val="22"/>
          <w:szCs w:val="22"/>
        </w:rPr>
      </w:pPr>
    </w:p>
    <w:p w:rsidR="000F1BBD" w:rsidRDefault="000F1BBD" w:rsidP="000F1BBD">
      <w:pPr>
        <w:spacing w:after="40"/>
        <w:ind w:left="360"/>
        <w:jc w:val="both"/>
        <w:rPr>
          <w:rFonts w:ascii="Cambria" w:hAnsi="Cambria"/>
          <w:b w:val="0"/>
          <w:i w:val="0"/>
          <w:sz w:val="22"/>
          <w:szCs w:val="22"/>
        </w:rPr>
      </w:pPr>
      <w:r w:rsidRPr="000F1BBD">
        <w:rPr>
          <w:rFonts w:ascii="Cambria" w:hAnsi="Cambria"/>
          <w:b w:val="0"/>
          <w:i w:val="0"/>
          <w:sz w:val="22"/>
          <w:szCs w:val="22"/>
        </w:rPr>
        <w:t xml:space="preserve">Based on the assessment of the indicators, the SEC expert does not have any socio-economic, ethical, and cultural issues to raise regarding the approval of the applicant's application for biosafety permit for direct use as food and feed, or for processing of </w:t>
      </w:r>
      <w:r w:rsidR="005F05C0">
        <w:rPr>
          <w:rFonts w:ascii="Cambria" w:hAnsi="Cambria"/>
          <w:b w:val="0"/>
          <w:i w:val="0"/>
          <w:sz w:val="22"/>
          <w:szCs w:val="22"/>
        </w:rPr>
        <w:t>corn MIR604</w:t>
      </w:r>
      <w:r w:rsidRPr="000F1BBD">
        <w:rPr>
          <w:rFonts w:ascii="Cambria" w:hAnsi="Cambria"/>
          <w:b w:val="0"/>
          <w:i w:val="0"/>
          <w:sz w:val="22"/>
          <w:szCs w:val="22"/>
        </w:rPr>
        <w:t>. The expert recommends for the approval of said application.</w:t>
      </w:r>
    </w:p>
    <w:p w:rsidR="000F1BBD" w:rsidRDefault="000F1BBD" w:rsidP="00DE3C59">
      <w:pPr>
        <w:spacing w:after="40"/>
        <w:jc w:val="both"/>
        <w:rPr>
          <w:rFonts w:ascii="Cambria" w:hAnsi="Cambria"/>
          <w:b w:val="0"/>
          <w:i w:val="0"/>
          <w:sz w:val="22"/>
          <w:szCs w:val="22"/>
        </w:rPr>
      </w:pPr>
    </w:p>
    <w:p w:rsidR="00583495" w:rsidRPr="000F1BBD" w:rsidRDefault="00583495" w:rsidP="000F1BBD">
      <w:pPr>
        <w:spacing w:after="40"/>
        <w:ind w:left="90"/>
        <w:jc w:val="both"/>
        <w:rPr>
          <w:rFonts w:ascii="Cambria" w:hAnsi="Cambria"/>
          <w:i w:val="0"/>
          <w:sz w:val="22"/>
          <w:szCs w:val="22"/>
        </w:rPr>
      </w:pPr>
      <w:r w:rsidRPr="000F1BBD">
        <w:rPr>
          <w:rFonts w:ascii="Cambria" w:hAnsi="Cambria"/>
          <w:i w:val="0"/>
          <w:sz w:val="22"/>
          <w:szCs w:val="22"/>
        </w:rPr>
        <w:t>Regulatory Decision</w:t>
      </w:r>
    </w:p>
    <w:p w:rsidR="00583495" w:rsidRPr="0035740F" w:rsidRDefault="00583495" w:rsidP="00583495">
      <w:pPr>
        <w:pStyle w:val="BodyTextIndent"/>
        <w:spacing w:after="40"/>
        <w:ind w:left="360"/>
        <w:rPr>
          <w:rFonts w:ascii="Cambria" w:hAnsi="Cambria"/>
          <w:sz w:val="22"/>
          <w:szCs w:val="22"/>
        </w:rPr>
      </w:pPr>
    </w:p>
    <w:p w:rsidR="00583495" w:rsidRPr="005F1448" w:rsidRDefault="00583495" w:rsidP="00583495">
      <w:pPr>
        <w:spacing w:after="40"/>
        <w:ind w:left="360"/>
        <w:jc w:val="both"/>
        <w:rPr>
          <w:sz w:val="22"/>
          <w:szCs w:val="22"/>
        </w:rPr>
      </w:pPr>
      <w:r w:rsidRPr="005F1448">
        <w:rPr>
          <w:rFonts w:ascii="Cambria" w:hAnsi="Cambria"/>
          <w:b w:val="0"/>
          <w:i w:val="0"/>
          <w:sz w:val="22"/>
          <w:szCs w:val="22"/>
        </w:rPr>
        <w:t xml:space="preserve">Based on the </w:t>
      </w:r>
      <w:r w:rsidR="00C92B6E">
        <w:rPr>
          <w:rFonts w:ascii="Cambria" w:hAnsi="Cambria"/>
          <w:b w:val="0"/>
          <w:i w:val="0"/>
          <w:sz w:val="22"/>
          <w:szCs w:val="22"/>
        </w:rPr>
        <w:t xml:space="preserve">results of the risk evaluation of </w:t>
      </w:r>
      <w:r w:rsidRPr="005F1448">
        <w:rPr>
          <w:rFonts w:ascii="Cambria" w:hAnsi="Cambria"/>
          <w:b w:val="0"/>
          <w:i w:val="0"/>
          <w:sz w:val="22"/>
          <w:szCs w:val="22"/>
        </w:rPr>
        <w:t xml:space="preserve">the submitted scientific data and other information relevant to the application of </w:t>
      </w:r>
      <w:r w:rsidR="005F05C0">
        <w:rPr>
          <w:rFonts w:ascii="Cambria" w:hAnsi="Cambria"/>
          <w:b w:val="0"/>
          <w:i w:val="0"/>
          <w:sz w:val="22"/>
          <w:szCs w:val="22"/>
        </w:rPr>
        <w:t>Syngenta Philippines</w:t>
      </w:r>
      <w:r w:rsidRPr="005F1448">
        <w:rPr>
          <w:rFonts w:ascii="Cambria" w:hAnsi="Cambria"/>
          <w:b w:val="0"/>
          <w:i w:val="0"/>
          <w:sz w:val="22"/>
          <w:szCs w:val="22"/>
        </w:rPr>
        <w:t xml:space="preserve"> Inc., it is concluded that </w:t>
      </w:r>
      <w:r w:rsidR="005F05C0">
        <w:rPr>
          <w:rFonts w:ascii="Cambria" w:hAnsi="Cambria"/>
          <w:b w:val="0"/>
          <w:i w:val="0"/>
          <w:sz w:val="22"/>
          <w:szCs w:val="22"/>
        </w:rPr>
        <w:t>corn MIR604</w:t>
      </w:r>
      <w:r w:rsidRPr="005F1448">
        <w:rPr>
          <w:rFonts w:ascii="Cambria" w:hAnsi="Cambria"/>
          <w:b w:val="0"/>
          <w:i w:val="0"/>
          <w:sz w:val="22"/>
          <w:szCs w:val="22"/>
        </w:rPr>
        <w:t xml:space="preserve">, and all progenies derived from crosses of the product with any conventionally-bred </w:t>
      </w:r>
      <w:r w:rsidR="005F05C0">
        <w:rPr>
          <w:rFonts w:ascii="Cambria" w:hAnsi="Cambria"/>
          <w:b w:val="0"/>
          <w:i w:val="0"/>
          <w:sz w:val="22"/>
          <w:szCs w:val="22"/>
        </w:rPr>
        <w:t>corn</w:t>
      </w:r>
      <w:r w:rsidRPr="005F1448">
        <w:rPr>
          <w:rFonts w:ascii="Cambria" w:hAnsi="Cambria"/>
          <w:b w:val="0"/>
          <w:i w:val="0"/>
          <w:sz w:val="22"/>
          <w:szCs w:val="22"/>
        </w:rPr>
        <w:t xml:space="preserve">, and </w:t>
      </w:r>
      <w:r w:rsidR="005F05C0">
        <w:rPr>
          <w:rFonts w:ascii="Cambria" w:hAnsi="Cambria"/>
          <w:b w:val="0"/>
          <w:i w:val="0"/>
          <w:sz w:val="22"/>
          <w:szCs w:val="22"/>
        </w:rPr>
        <w:t>corn</w:t>
      </w:r>
      <w:r w:rsidRPr="005F1448">
        <w:rPr>
          <w:rFonts w:ascii="Cambria" w:hAnsi="Cambria"/>
          <w:b w:val="0"/>
          <w:i w:val="0"/>
          <w:sz w:val="22"/>
          <w:szCs w:val="22"/>
        </w:rPr>
        <w:t xml:space="preserve"> containing approved-biotech events for direct use as food, feed or for processing</w:t>
      </w:r>
      <w:r w:rsidR="005F1448">
        <w:rPr>
          <w:rFonts w:ascii="Cambria" w:hAnsi="Cambria"/>
          <w:b w:val="0"/>
          <w:i w:val="0"/>
          <w:sz w:val="22"/>
          <w:szCs w:val="22"/>
        </w:rPr>
        <w:t xml:space="preserve">, </w:t>
      </w:r>
      <w:r w:rsidRPr="005F1448">
        <w:rPr>
          <w:rFonts w:ascii="Cambria" w:hAnsi="Cambria"/>
          <w:b w:val="0"/>
          <w:i w:val="0"/>
          <w:sz w:val="22"/>
          <w:szCs w:val="22"/>
        </w:rPr>
        <w:t xml:space="preserve"> is as safe and substantially equivalent to its unmodified counterpart, and is therefore approved for direct use as food, feed or for processing. </w:t>
      </w:r>
      <w:r w:rsidR="005F05C0">
        <w:rPr>
          <w:rFonts w:ascii="Cambria" w:hAnsi="Cambria"/>
          <w:b w:val="0"/>
          <w:i w:val="0"/>
          <w:sz w:val="22"/>
          <w:szCs w:val="22"/>
        </w:rPr>
        <w:t>Syngenta Philippines</w:t>
      </w:r>
      <w:r w:rsidRPr="005F1448">
        <w:rPr>
          <w:rFonts w:ascii="Cambria" w:hAnsi="Cambria"/>
          <w:b w:val="0"/>
          <w:i w:val="0"/>
          <w:sz w:val="22"/>
          <w:szCs w:val="22"/>
        </w:rPr>
        <w:t xml:space="preserve"> Inc. shall duly inform the public of this approval by way of publishing in any one (1) of the top three (3) leading newspapers in the country that import of this product is covered by conditions for approval as provided in </w:t>
      </w:r>
      <w:r w:rsidR="005F1448" w:rsidRPr="005F1448">
        <w:rPr>
          <w:rFonts w:ascii="Cambria" w:hAnsi="Cambria"/>
          <w:b w:val="0"/>
          <w:i w:val="0"/>
          <w:sz w:val="22"/>
          <w:szCs w:val="22"/>
        </w:rPr>
        <w:t>the Biosafety Permit</w:t>
      </w:r>
      <w:r w:rsidRPr="005F1448">
        <w:rPr>
          <w:rFonts w:ascii="Cambria" w:hAnsi="Cambria"/>
          <w:b w:val="0"/>
          <w:i w:val="0"/>
          <w:sz w:val="22"/>
          <w:szCs w:val="22"/>
        </w:rPr>
        <w:t>.</w:t>
      </w:r>
    </w:p>
    <w:p w:rsidR="00583495" w:rsidRPr="0035740F" w:rsidRDefault="00583495" w:rsidP="00583495">
      <w:pPr>
        <w:spacing w:after="40"/>
        <w:jc w:val="both"/>
        <w:rPr>
          <w:rFonts w:ascii="Cambria" w:hAnsi="Cambria"/>
          <w:sz w:val="22"/>
          <w:szCs w:val="22"/>
        </w:rPr>
      </w:pPr>
    </w:p>
    <w:p w:rsidR="00C166C4" w:rsidRPr="0035740F" w:rsidRDefault="00C166C4">
      <w:pPr>
        <w:rPr>
          <w:sz w:val="22"/>
          <w:szCs w:val="22"/>
        </w:rPr>
      </w:pPr>
    </w:p>
    <w:sectPr w:rsidR="00C166C4" w:rsidRPr="0035740F" w:rsidSect="00E74F20">
      <w:pgSz w:w="12240" w:h="15840" w:code="1"/>
      <w:pgMar w:top="1440" w:right="117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219A3"/>
    <w:multiLevelType w:val="hybridMultilevel"/>
    <w:tmpl w:val="8E8A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36A8D"/>
    <w:multiLevelType w:val="hybridMultilevel"/>
    <w:tmpl w:val="944EDAD6"/>
    <w:lvl w:ilvl="0" w:tplc="B91AC93C">
      <w:start w:val="1"/>
      <w:numFmt w:val="upperRoman"/>
      <w:pStyle w:val="Heading2"/>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5"/>
    </w:lvlOverride>
  </w:num>
  <w:num w:numId="3">
    <w:abstractNumId w:val="0"/>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95"/>
    <w:rsid w:val="0001106B"/>
    <w:rsid w:val="00075564"/>
    <w:rsid w:val="00082777"/>
    <w:rsid w:val="000F1BBD"/>
    <w:rsid w:val="0011728C"/>
    <w:rsid w:val="00191282"/>
    <w:rsid w:val="00193A4F"/>
    <w:rsid w:val="001F4DE6"/>
    <w:rsid w:val="00204ACE"/>
    <w:rsid w:val="0022418C"/>
    <w:rsid w:val="00264D1D"/>
    <w:rsid w:val="002B64A0"/>
    <w:rsid w:val="002C2579"/>
    <w:rsid w:val="002D4DC8"/>
    <w:rsid w:val="0034714D"/>
    <w:rsid w:val="0035740F"/>
    <w:rsid w:val="003B2619"/>
    <w:rsid w:val="00401EED"/>
    <w:rsid w:val="00434C6B"/>
    <w:rsid w:val="00444CEE"/>
    <w:rsid w:val="0047636A"/>
    <w:rsid w:val="00476714"/>
    <w:rsid w:val="00493947"/>
    <w:rsid w:val="004B1A65"/>
    <w:rsid w:val="005312AC"/>
    <w:rsid w:val="00583495"/>
    <w:rsid w:val="005D7DCE"/>
    <w:rsid w:val="005F05C0"/>
    <w:rsid w:val="005F1448"/>
    <w:rsid w:val="00611F85"/>
    <w:rsid w:val="00643883"/>
    <w:rsid w:val="006A05C5"/>
    <w:rsid w:val="006D75E2"/>
    <w:rsid w:val="00717DF7"/>
    <w:rsid w:val="00735584"/>
    <w:rsid w:val="007756B8"/>
    <w:rsid w:val="007A6A94"/>
    <w:rsid w:val="00826EBA"/>
    <w:rsid w:val="008F125F"/>
    <w:rsid w:val="008F7E4C"/>
    <w:rsid w:val="0092443B"/>
    <w:rsid w:val="00984E75"/>
    <w:rsid w:val="00986C01"/>
    <w:rsid w:val="009F4CF3"/>
    <w:rsid w:val="00A020AE"/>
    <w:rsid w:val="00A32BC4"/>
    <w:rsid w:val="00A50E41"/>
    <w:rsid w:val="00A679C1"/>
    <w:rsid w:val="00A75243"/>
    <w:rsid w:val="00A8340E"/>
    <w:rsid w:val="00B6249C"/>
    <w:rsid w:val="00B835DC"/>
    <w:rsid w:val="00C166C4"/>
    <w:rsid w:val="00C342EE"/>
    <w:rsid w:val="00C6621F"/>
    <w:rsid w:val="00C92B6E"/>
    <w:rsid w:val="00CA59AE"/>
    <w:rsid w:val="00D009B1"/>
    <w:rsid w:val="00D05E55"/>
    <w:rsid w:val="00D1069F"/>
    <w:rsid w:val="00D12C59"/>
    <w:rsid w:val="00D603F1"/>
    <w:rsid w:val="00D67BAD"/>
    <w:rsid w:val="00D85F14"/>
    <w:rsid w:val="00D874D7"/>
    <w:rsid w:val="00DE3C59"/>
    <w:rsid w:val="00E55E06"/>
    <w:rsid w:val="00F210A2"/>
    <w:rsid w:val="00F87A1A"/>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12013-23A3-4BB3-ABA8-FB2703E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95"/>
    <w:pPr>
      <w:spacing w:after="0" w:line="240" w:lineRule="auto"/>
    </w:pPr>
    <w:rPr>
      <w:rFonts w:ascii="Monotype Corsiva" w:eastAsia="Times New Roman" w:hAnsi="Monotype Corsiva" w:cs="Times New Roman"/>
      <w:b/>
      <w:i/>
      <w:sz w:val="18"/>
      <w:szCs w:val="24"/>
      <w:lang w:val="en-US"/>
    </w:rPr>
  </w:style>
  <w:style w:type="paragraph" w:styleId="Heading2">
    <w:name w:val="heading 2"/>
    <w:basedOn w:val="Normal"/>
    <w:next w:val="Normal"/>
    <w:link w:val="Heading2Char"/>
    <w:qFormat/>
    <w:rsid w:val="00583495"/>
    <w:pPr>
      <w:keepNext/>
      <w:numPr>
        <w:numId w:val="1"/>
      </w:numPr>
      <w:outlineLvl w:val="1"/>
    </w:pPr>
    <w:rPr>
      <w:rFonts w:ascii="Times New Roman" w:hAnsi="Times New Roman"/>
      <w:i w:val="0"/>
      <w:sz w:val="24"/>
    </w:rPr>
  </w:style>
  <w:style w:type="paragraph" w:styleId="Heading3">
    <w:name w:val="heading 3"/>
    <w:basedOn w:val="Normal"/>
    <w:next w:val="Normal"/>
    <w:link w:val="Heading3Char"/>
    <w:qFormat/>
    <w:rsid w:val="00583495"/>
    <w:pPr>
      <w:keepNext/>
      <w:ind w:left="1080"/>
      <w:outlineLvl w:val="2"/>
    </w:pPr>
    <w:rPr>
      <w:rFonts w:ascii="Times New Roman" w:hAnsi="Times New Roman"/>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3495"/>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583495"/>
    <w:rPr>
      <w:rFonts w:ascii="Times New Roman" w:eastAsia="Times New Roman" w:hAnsi="Times New Roman" w:cs="Times New Roman"/>
      <w:b/>
      <w:sz w:val="24"/>
      <w:szCs w:val="24"/>
      <w:lang w:val="en-US"/>
    </w:rPr>
  </w:style>
  <w:style w:type="paragraph" w:styleId="BodyText2">
    <w:name w:val="Body Text 2"/>
    <w:basedOn w:val="Normal"/>
    <w:link w:val="BodyText2Char"/>
    <w:rsid w:val="00583495"/>
    <w:pPr>
      <w:jc w:val="both"/>
    </w:pPr>
    <w:rPr>
      <w:rFonts w:ascii="Times New Roman" w:hAnsi="Times New Roman"/>
      <w:b w:val="0"/>
      <w:i w:val="0"/>
      <w:sz w:val="24"/>
    </w:rPr>
  </w:style>
  <w:style w:type="character" w:customStyle="1" w:styleId="BodyText2Char">
    <w:name w:val="Body Text 2 Char"/>
    <w:basedOn w:val="DefaultParagraphFont"/>
    <w:link w:val="BodyText2"/>
    <w:rsid w:val="00583495"/>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583495"/>
    <w:pPr>
      <w:ind w:left="1080"/>
      <w:jc w:val="both"/>
    </w:pPr>
    <w:rPr>
      <w:rFonts w:ascii="Times New Roman" w:hAnsi="Times New Roman"/>
      <w:b w:val="0"/>
      <w:i w:val="0"/>
      <w:sz w:val="24"/>
    </w:rPr>
  </w:style>
  <w:style w:type="character" w:customStyle="1" w:styleId="BodyTextIndentChar">
    <w:name w:val="Body Text Indent Char"/>
    <w:basedOn w:val="DefaultParagraphFont"/>
    <w:link w:val="BodyTextIndent"/>
    <w:rsid w:val="00583495"/>
    <w:rPr>
      <w:rFonts w:ascii="Times New Roman" w:eastAsia="Times New Roman" w:hAnsi="Times New Roman" w:cs="Times New Roman"/>
      <w:sz w:val="24"/>
      <w:szCs w:val="24"/>
      <w:lang w:val="en-US"/>
    </w:rPr>
  </w:style>
  <w:style w:type="paragraph" w:styleId="NoSpacing">
    <w:name w:val="No Spacing"/>
    <w:qFormat/>
    <w:rsid w:val="00583495"/>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5834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DOA</cp:lastModifiedBy>
  <cp:revision>13</cp:revision>
  <dcterms:created xsi:type="dcterms:W3CDTF">2018-09-21T02:14:00Z</dcterms:created>
  <dcterms:modified xsi:type="dcterms:W3CDTF">2018-09-24T05:21:00Z</dcterms:modified>
</cp:coreProperties>
</file>