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495" w:rsidRPr="0035740F" w:rsidRDefault="00583495" w:rsidP="00583495">
      <w:pPr>
        <w:jc w:val="center"/>
        <w:rPr>
          <w:rFonts w:ascii="Cambria" w:hAnsi="Cambria"/>
          <w:i w:val="0"/>
          <w:sz w:val="22"/>
          <w:szCs w:val="22"/>
        </w:rPr>
      </w:pPr>
      <w:r w:rsidRPr="0035740F">
        <w:rPr>
          <w:rFonts w:ascii="Cambria" w:hAnsi="Cambria"/>
          <w:i w:val="0"/>
          <w:sz w:val="22"/>
          <w:szCs w:val="22"/>
        </w:rPr>
        <w:t xml:space="preserve">Determination of the Safety of </w:t>
      </w:r>
      <w:r w:rsidR="00ED27D2">
        <w:rPr>
          <w:rFonts w:ascii="Cambria" w:hAnsi="Cambria"/>
          <w:i w:val="0"/>
          <w:sz w:val="22"/>
          <w:szCs w:val="22"/>
        </w:rPr>
        <w:t>Monsanto</w:t>
      </w:r>
      <w:r w:rsidRPr="0035740F">
        <w:rPr>
          <w:rFonts w:ascii="Cambria" w:hAnsi="Cambria"/>
          <w:i w:val="0"/>
          <w:sz w:val="22"/>
          <w:szCs w:val="22"/>
        </w:rPr>
        <w:t>’s</w:t>
      </w:r>
    </w:p>
    <w:p w:rsidR="00583495" w:rsidRPr="0035740F" w:rsidRDefault="00583495" w:rsidP="00583495">
      <w:pPr>
        <w:jc w:val="center"/>
        <w:rPr>
          <w:rFonts w:ascii="Cambria" w:hAnsi="Cambria"/>
          <w:i w:val="0"/>
          <w:sz w:val="22"/>
          <w:szCs w:val="22"/>
        </w:rPr>
      </w:pPr>
      <w:r w:rsidRPr="0035740F">
        <w:rPr>
          <w:rFonts w:ascii="Cambria" w:hAnsi="Cambria"/>
          <w:i w:val="0"/>
          <w:sz w:val="22"/>
          <w:szCs w:val="22"/>
        </w:rPr>
        <w:t xml:space="preserve">Soybean </w:t>
      </w:r>
      <w:r w:rsidR="00ED27D2">
        <w:rPr>
          <w:rFonts w:ascii="Cambria" w:hAnsi="Cambria"/>
          <w:i w:val="0"/>
          <w:sz w:val="22"/>
          <w:szCs w:val="22"/>
        </w:rPr>
        <w:t>MON87701</w:t>
      </w:r>
    </w:p>
    <w:p w:rsidR="00583495" w:rsidRPr="0035740F" w:rsidRDefault="00583495" w:rsidP="00583495">
      <w:pPr>
        <w:pBdr>
          <w:bottom w:val="single" w:sz="12" w:space="1" w:color="auto"/>
        </w:pBdr>
        <w:jc w:val="center"/>
        <w:rPr>
          <w:rFonts w:ascii="Cambria" w:hAnsi="Cambria"/>
          <w:b w:val="0"/>
          <w:i w:val="0"/>
          <w:sz w:val="22"/>
          <w:szCs w:val="22"/>
        </w:rPr>
      </w:pPr>
      <w:proofErr w:type="gramStart"/>
      <w:r w:rsidRPr="0035740F">
        <w:rPr>
          <w:rFonts w:ascii="Cambria" w:hAnsi="Cambria"/>
          <w:i w:val="0"/>
          <w:sz w:val="22"/>
          <w:szCs w:val="22"/>
        </w:rPr>
        <w:t>for</w:t>
      </w:r>
      <w:proofErr w:type="gramEnd"/>
      <w:r w:rsidRPr="0035740F">
        <w:rPr>
          <w:rFonts w:ascii="Cambria" w:hAnsi="Cambria"/>
          <w:i w:val="0"/>
          <w:sz w:val="22"/>
          <w:szCs w:val="22"/>
        </w:rPr>
        <w:t xml:space="preserve"> Direct use as Food, Feed, or Processing</w:t>
      </w:r>
    </w:p>
    <w:p w:rsidR="00264D1D" w:rsidRDefault="00264D1D" w:rsidP="00583495">
      <w:pPr>
        <w:spacing w:after="40"/>
        <w:jc w:val="both"/>
        <w:rPr>
          <w:rFonts w:ascii="Cambria" w:hAnsi="Cambria"/>
          <w:i w:val="0"/>
          <w:sz w:val="22"/>
          <w:szCs w:val="22"/>
        </w:rPr>
      </w:pPr>
    </w:p>
    <w:p w:rsidR="007756B8" w:rsidRPr="0035740F" w:rsidRDefault="00583495" w:rsidP="00583495">
      <w:pPr>
        <w:spacing w:after="40"/>
        <w:jc w:val="both"/>
        <w:rPr>
          <w:rFonts w:ascii="Cambria" w:hAnsi="Cambria"/>
          <w:b w:val="0"/>
          <w:i w:val="0"/>
          <w:sz w:val="22"/>
          <w:szCs w:val="22"/>
        </w:rPr>
      </w:pPr>
      <w:r w:rsidRPr="0035740F">
        <w:rPr>
          <w:rFonts w:ascii="Cambria" w:hAnsi="Cambria"/>
          <w:b w:val="0"/>
          <w:i w:val="0"/>
          <w:sz w:val="22"/>
          <w:szCs w:val="22"/>
        </w:rPr>
        <w:t xml:space="preserve">The product dossier of </w:t>
      </w:r>
      <w:r w:rsidR="00BF0CE7">
        <w:rPr>
          <w:rFonts w:ascii="Cambria" w:hAnsi="Cambria"/>
          <w:b w:val="0"/>
          <w:i w:val="0"/>
          <w:sz w:val="22"/>
          <w:szCs w:val="22"/>
        </w:rPr>
        <w:t>Monsanto</w:t>
      </w:r>
      <w:r w:rsidRPr="0035740F">
        <w:rPr>
          <w:rFonts w:ascii="Cambria" w:hAnsi="Cambria"/>
          <w:b w:val="0"/>
          <w:i w:val="0"/>
          <w:sz w:val="22"/>
          <w:szCs w:val="22"/>
        </w:rPr>
        <w:t xml:space="preserve">’s soybean </w:t>
      </w:r>
      <w:r w:rsidR="00BF0CE7">
        <w:rPr>
          <w:rFonts w:ascii="Cambria" w:hAnsi="Cambria"/>
          <w:b w:val="0"/>
          <w:i w:val="0"/>
          <w:sz w:val="22"/>
          <w:szCs w:val="22"/>
        </w:rPr>
        <w:t>MON87701</w:t>
      </w:r>
      <w:r w:rsidR="00401EED" w:rsidRPr="0035740F">
        <w:rPr>
          <w:rFonts w:ascii="Cambria" w:hAnsi="Cambria"/>
          <w:b w:val="0"/>
          <w:i w:val="0"/>
          <w:sz w:val="22"/>
          <w:szCs w:val="22"/>
        </w:rPr>
        <w:t xml:space="preserve"> </w:t>
      </w:r>
      <w:r w:rsidRPr="0035740F">
        <w:rPr>
          <w:rFonts w:ascii="Cambria" w:hAnsi="Cambria"/>
          <w:b w:val="0"/>
          <w:i w:val="0"/>
          <w:sz w:val="22"/>
          <w:szCs w:val="22"/>
        </w:rPr>
        <w:t>was reviewed for safety and nutritional differences compared to the conventional soybean.</w:t>
      </w:r>
      <w:r w:rsidR="0022418C" w:rsidRPr="0035740F">
        <w:rPr>
          <w:rFonts w:ascii="Cambria" w:hAnsi="Cambria"/>
          <w:b w:val="0"/>
          <w:i w:val="0"/>
          <w:sz w:val="22"/>
          <w:szCs w:val="22"/>
        </w:rPr>
        <w:t xml:space="preserve"> </w:t>
      </w:r>
      <w:r w:rsidRPr="0035740F">
        <w:rPr>
          <w:rFonts w:ascii="Cambria" w:hAnsi="Cambria"/>
          <w:b w:val="0"/>
          <w:i w:val="0"/>
          <w:sz w:val="22"/>
          <w:szCs w:val="22"/>
        </w:rPr>
        <w:t xml:space="preserve">The focus of the food/feed safety assessment is based on the following issues: (a) the nature of the genetic modification; (b) novel protein expression; (c) </w:t>
      </w:r>
      <w:r w:rsidRPr="0035740F">
        <w:rPr>
          <w:rFonts w:ascii="Cambria" w:hAnsi="Cambria"/>
          <w:b w:val="0"/>
          <w:i w:val="0"/>
          <w:iCs/>
          <w:sz w:val="22"/>
          <w:szCs w:val="22"/>
        </w:rPr>
        <w:t>in vitro</w:t>
      </w:r>
      <w:r w:rsidRPr="0035740F">
        <w:rPr>
          <w:rFonts w:ascii="Cambria" w:hAnsi="Cambria"/>
          <w:b w:val="0"/>
          <w:i w:val="0"/>
          <w:sz w:val="22"/>
          <w:szCs w:val="22"/>
        </w:rPr>
        <w:t xml:space="preserve"> digestibility; (d) toxicological assessment; (e) allergenic potential; and (f) compositional and nutritional assessment.</w:t>
      </w:r>
    </w:p>
    <w:p w:rsidR="00583495" w:rsidRPr="0035740F" w:rsidRDefault="00583495" w:rsidP="00583495">
      <w:pPr>
        <w:pStyle w:val="BodyText2"/>
        <w:spacing w:after="40"/>
        <w:ind w:left="360"/>
        <w:rPr>
          <w:rFonts w:ascii="Cambria" w:hAnsi="Cambria"/>
          <w:sz w:val="22"/>
          <w:szCs w:val="22"/>
        </w:rPr>
      </w:pPr>
    </w:p>
    <w:p w:rsidR="00583495" w:rsidRPr="0035740F" w:rsidRDefault="00583495" w:rsidP="00583495">
      <w:pPr>
        <w:jc w:val="both"/>
        <w:rPr>
          <w:rFonts w:ascii="Cambria" w:hAnsi="Cambria"/>
          <w:b w:val="0"/>
          <w:i w:val="0"/>
          <w:sz w:val="22"/>
          <w:szCs w:val="22"/>
        </w:rPr>
      </w:pPr>
      <w:r w:rsidRPr="0035740F">
        <w:rPr>
          <w:rFonts w:ascii="Cambria" w:hAnsi="Cambria"/>
          <w:b w:val="0"/>
          <w:i w:val="0"/>
          <w:sz w:val="22"/>
          <w:szCs w:val="22"/>
        </w:rPr>
        <w:t xml:space="preserve">A biosafety permit for soybean </w:t>
      </w:r>
      <w:r w:rsidR="00BF0CE7">
        <w:rPr>
          <w:rFonts w:ascii="Cambria" w:hAnsi="Cambria"/>
          <w:b w:val="0"/>
          <w:i w:val="0"/>
          <w:sz w:val="22"/>
          <w:szCs w:val="22"/>
        </w:rPr>
        <w:t>MON87701</w:t>
      </w:r>
      <w:r w:rsidRPr="0035740F">
        <w:rPr>
          <w:rFonts w:ascii="Cambria" w:hAnsi="Cambria"/>
          <w:b w:val="0"/>
          <w:i w:val="0"/>
          <w:sz w:val="22"/>
          <w:szCs w:val="22"/>
        </w:rPr>
        <w:t xml:space="preserve"> and all progenies derived from crosses of the product with any conventionally bred soybean and soybean containing approved-biotech events for direct use as food, feed or for processing, was issued to </w:t>
      </w:r>
      <w:r w:rsidR="00BF0CE7">
        <w:rPr>
          <w:rFonts w:ascii="Cambria" w:hAnsi="Cambria"/>
          <w:b w:val="0"/>
          <w:i w:val="0"/>
          <w:sz w:val="22"/>
          <w:szCs w:val="22"/>
        </w:rPr>
        <w:t>Monsanto Philippines</w:t>
      </w:r>
      <w:r w:rsidRPr="0035740F">
        <w:rPr>
          <w:rFonts w:ascii="Cambria" w:hAnsi="Cambria"/>
          <w:b w:val="0"/>
          <w:i w:val="0"/>
          <w:sz w:val="22"/>
          <w:szCs w:val="22"/>
        </w:rPr>
        <w:t xml:space="preserve"> Inc. on </w:t>
      </w:r>
      <w:r w:rsidR="00DE2369">
        <w:rPr>
          <w:rFonts w:ascii="Cambria" w:hAnsi="Cambria"/>
          <w:b w:val="0"/>
          <w:i w:val="0"/>
          <w:sz w:val="22"/>
          <w:szCs w:val="22"/>
        </w:rPr>
        <w:t>June 22, 2018</w:t>
      </w:r>
      <w:r w:rsidRPr="0035740F">
        <w:rPr>
          <w:rFonts w:ascii="Cambria" w:hAnsi="Cambria"/>
          <w:b w:val="0"/>
          <w:i w:val="0"/>
          <w:sz w:val="22"/>
          <w:szCs w:val="22"/>
        </w:rPr>
        <w:t xml:space="preserve">. The permit is valid for five years and shall expire on </w:t>
      </w:r>
      <w:r w:rsidR="00DE2369">
        <w:rPr>
          <w:rFonts w:ascii="Cambria" w:hAnsi="Cambria"/>
          <w:b w:val="0"/>
          <w:i w:val="0"/>
          <w:sz w:val="22"/>
          <w:szCs w:val="22"/>
        </w:rPr>
        <w:t>June 21, 2023</w:t>
      </w:r>
      <w:r w:rsidRPr="0035740F">
        <w:rPr>
          <w:rFonts w:ascii="Cambria" w:hAnsi="Cambria"/>
          <w:b w:val="0"/>
          <w:i w:val="0"/>
          <w:sz w:val="22"/>
          <w:szCs w:val="22"/>
        </w:rPr>
        <w:t xml:space="preserve"> subject to the terms and conditions set forth in </w:t>
      </w:r>
      <w:r w:rsidR="0022418C" w:rsidRPr="0035740F">
        <w:rPr>
          <w:rFonts w:ascii="Cambria" w:hAnsi="Cambria"/>
          <w:b w:val="0"/>
          <w:i w:val="0"/>
          <w:sz w:val="22"/>
          <w:szCs w:val="22"/>
        </w:rPr>
        <w:t>DOST-DA-DENR-DOH-DILG Joint Department Circular No. 1 series of 2016</w:t>
      </w:r>
      <w:r w:rsidRPr="0035740F">
        <w:rPr>
          <w:rFonts w:ascii="Cambria" w:hAnsi="Cambria"/>
          <w:b w:val="0"/>
          <w:i w:val="0"/>
          <w:sz w:val="22"/>
          <w:szCs w:val="22"/>
        </w:rPr>
        <w:t>. The said product was included in the Lists of Approval Registry being prepared by the Department of Agriculture – Bureau of Plant Industry.</w:t>
      </w:r>
    </w:p>
    <w:p w:rsidR="00583495" w:rsidRPr="0035740F" w:rsidRDefault="00583495" w:rsidP="00583495">
      <w:pPr>
        <w:spacing w:after="40"/>
        <w:ind w:left="360"/>
        <w:jc w:val="both"/>
        <w:rPr>
          <w:rFonts w:ascii="Cambria" w:hAnsi="Cambria"/>
          <w:b w:val="0"/>
          <w:i w:val="0"/>
          <w:sz w:val="22"/>
          <w:szCs w:val="22"/>
        </w:rPr>
      </w:pPr>
    </w:p>
    <w:p w:rsidR="00583495" w:rsidRPr="0035740F" w:rsidRDefault="00583495" w:rsidP="00583495">
      <w:pPr>
        <w:pBdr>
          <w:bottom w:val="single" w:sz="12" w:space="1" w:color="auto"/>
        </w:pBdr>
        <w:spacing w:after="40"/>
        <w:jc w:val="both"/>
        <w:rPr>
          <w:rFonts w:ascii="Cambria" w:hAnsi="Cambria"/>
          <w:b w:val="0"/>
          <w:sz w:val="22"/>
          <w:szCs w:val="22"/>
        </w:rPr>
      </w:pPr>
      <w:r w:rsidRPr="0035740F">
        <w:rPr>
          <w:rFonts w:ascii="Cambria" w:hAnsi="Cambria"/>
          <w:b w:val="0"/>
          <w:sz w:val="22"/>
          <w:szCs w:val="22"/>
        </w:rPr>
        <w:t xml:space="preserve">This approval is for use as Food, Feed or </w:t>
      </w:r>
      <w:proofErr w:type="gramStart"/>
      <w:r w:rsidRPr="0035740F">
        <w:rPr>
          <w:rFonts w:ascii="Cambria" w:hAnsi="Cambria"/>
          <w:b w:val="0"/>
          <w:sz w:val="22"/>
          <w:szCs w:val="22"/>
        </w:rPr>
        <w:t>Processing</w:t>
      </w:r>
      <w:proofErr w:type="gramEnd"/>
      <w:r w:rsidRPr="0035740F">
        <w:rPr>
          <w:rFonts w:ascii="Cambria" w:hAnsi="Cambria"/>
          <w:b w:val="0"/>
          <w:sz w:val="22"/>
          <w:szCs w:val="22"/>
        </w:rPr>
        <w:t xml:space="preserve"> only. This does not include cultivation of </w:t>
      </w:r>
      <w:r w:rsidR="00DE2369">
        <w:rPr>
          <w:rFonts w:ascii="Cambria" w:hAnsi="Cambria"/>
          <w:b w:val="0"/>
          <w:sz w:val="22"/>
          <w:szCs w:val="22"/>
        </w:rPr>
        <w:t>MON87701</w:t>
      </w:r>
      <w:r w:rsidR="0022418C" w:rsidRPr="0035740F">
        <w:rPr>
          <w:rFonts w:ascii="Cambria" w:hAnsi="Cambria"/>
          <w:b w:val="0"/>
          <w:sz w:val="22"/>
          <w:szCs w:val="22"/>
        </w:rPr>
        <w:t xml:space="preserve"> </w:t>
      </w:r>
      <w:r w:rsidRPr="0035740F">
        <w:rPr>
          <w:rFonts w:ascii="Cambria" w:hAnsi="Cambria"/>
          <w:b w:val="0"/>
          <w:sz w:val="22"/>
          <w:szCs w:val="22"/>
        </w:rPr>
        <w:t xml:space="preserve">in the Philippines. Food and Feed use of </w:t>
      </w:r>
      <w:r w:rsidR="00DE2369">
        <w:rPr>
          <w:rFonts w:ascii="Cambria" w:hAnsi="Cambria"/>
          <w:b w:val="0"/>
          <w:sz w:val="22"/>
          <w:szCs w:val="22"/>
        </w:rPr>
        <w:t>MON87701</w:t>
      </w:r>
      <w:r w:rsidRPr="0035740F">
        <w:rPr>
          <w:rFonts w:ascii="Cambria" w:hAnsi="Cambria"/>
          <w:b w:val="0"/>
          <w:sz w:val="22"/>
          <w:szCs w:val="22"/>
        </w:rPr>
        <w:t xml:space="preserve"> and</w:t>
      </w:r>
      <w:r w:rsidR="0022418C" w:rsidRPr="0035740F">
        <w:rPr>
          <w:rFonts w:ascii="Cambria" w:hAnsi="Cambria"/>
          <w:b w:val="0"/>
          <w:sz w:val="22"/>
          <w:szCs w:val="22"/>
        </w:rPr>
        <w:t xml:space="preserve"> </w:t>
      </w:r>
      <w:r w:rsidRPr="0035740F">
        <w:rPr>
          <w:rFonts w:ascii="Cambria" w:hAnsi="Cambria"/>
          <w:b w:val="0"/>
          <w:sz w:val="22"/>
          <w:szCs w:val="22"/>
        </w:rPr>
        <w:t>its by-products is therefore authorized as of</w:t>
      </w:r>
      <w:r w:rsidR="002C2579">
        <w:rPr>
          <w:rFonts w:ascii="Cambria" w:hAnsi="Cambria"/>
          <w:b w:val="0"/>
          <w:sz w:val="22"/>
          <w:szCs w:val="22"/>
        </w:rPr>
        <w:t xml:space="preserve"> </w:t>
      </w:r>
      <w:r w:rsidR="00DE2369">
        <w:rPr>
          <w:rFonts w:ascii="Cambria" w:hAnsi="Cambria"/>
          <w:b w:val="0"/>
          <w:sz w:val="22"/>
          <w:szCs w:val="22"/>
        </w:rPr>
        <w:t>June 22, 2018</w:t>
      </w:r>
      <w:r w:rsidRPr="0035740F">
        <w:rPr>
          <w:rFonts w:ascii="Cambria" w:hAnsi="Cambria"/>
          <w:b w:val="0"/>
          <w:sz w:val="22"/>
          <w:szCs w:val="22"/>
        </w:rPr>
        <w:t>. The biosafety permit (</w:t>
      </w:r>
      <w:r w:rsidRPr="00D874D7">
        <w:rPr>
          <w:rFonts w:ascii="Cambria" w:hAnsi="Cambria"/>
          <w:b w:val="0"/>
          <w:sz w:val="22"/>
          <w:szCs w:val="22"/>
        </w:rPr>
        <w:t xml:space="preserve">No. </w:t>
      </w:r>
      <w:r w:rsidR="00DE2369">
        <w:rPr>
          <w:rFonts w:ascii="Cambria" w:hAnsi="Cambria"/>
          <w:b w:val="0"/>
          <w:sz w:val="22"/>
          <w:szCs w:val="22"/>
        </w:rPr>
        <w:t>18-010</w:t>
      </w:r>
      <w:r w:rsidR="00D874D7" w:rsidRPr="00D874D7">
        <w:rPr>
          <w:rFonts w:ascii="Cambria" w:hAnsi="Cambria"/>
          <w:b w:val="0"/>
          <w:sz w:val="22"/>
          <w:szCs w:val="22"/>
        </w:rPr>
        <w:t>FFP</w:t>
      </w:r>
      <w:r w:rsidRPr="0035740F">
        <w:rPr>
          <w:rFonts w:ascii="Cambria" w:hAnsi="Cambria"/>
          <w:b w:val="0"/>
          <w:sz w:val="22"/>
          <w:szCs w:val="22"/>
        </w:rPr>
        <w:t xml:space="preserve">) stated that </w:t>
      </w:r>
      <w:r w:rsidR="00DE2369">
        <w:rPr>
          <w:rFonts w:ascii="Cambria" w:hAnsi="Cambria"/>
          <w:b w:val="0"/>
          <w:sz w:val="22"/>
          <w:szCs w:val="22"/>
        </w:rPr>
        <w:t>MON87701</w:t>
      </w:r>
      <w:r w:rsidR="0022418C" w:rsidRPr="0035740F">
        <w:rPr>
          <w:rFonts w:ascii="Cambria" w:hAnsi="Cambria"/>
          <w:b w:val="0"/>
          <w:sz w:val="22"/>
          <w:szCs w:val="22"/>
        </w:rPr>
        <w:t xml:space="preserve"> </w:t>
      </w:r>
      <w:r w:rsidRPr="0035740F">
        <w:rPr>
          <w:rFonts w:ascii="Cambria" w:hAnsi="Cambria"/>
          <w:b w:val="0"/>
          <w:sz w:val="22"/>
          <w:szCs w:val="22"/>
        </w:rPr>
        <w:t xml:space="preserve">is as safe for human food, livestock feed and for processing as its conventional counterparts.  </w:t>
      </w:r>
    </w:p>
    <w:p w:rsidR="00583495" w:rsidRPr="0035740F" w:rsidRDefault="00583495" w:rsidP="00583495">
      <w:pPr>
        <w:spacing w:after="40"/>
        <w:jc w:val="both"/>
        <w:rPr>
          <w:rFonts w:ascii="Cambria" w:hAnsi="Cambria"/>
          <w:i w:val="0"/>
          <w:sz w:val="22"/>
          <w:szCs w:val="22"/>
        </w:rPr>
      </w:pPr>
    </w:p>
    <w:p w:rsidR="00583495" w:rsidRPr="0035740F" w:rsidRDefault="00583495" w:rsidP="00583495">
      <w:pPr>
        <w:numPr>
          <w:ilvl w:val="0"/>
          <w:numId w:val="1"/>
        </w:numPr>
        <w:tabs>
          <w:tab w:val="clear" w:pos="1080"/>
          <w:tab w:val="num" w:pos="360"/>
        </w:tabs>
        <w:spacing w:after="40"/>
        <w:ind w:left="360" w:hanging="360"/>
        <w:jc w:val="both"/>
        <w:rPr>
          <w:rFonts w:ascii="Cambria" w:hAnsi="Cambria"/>
          <w:i w:val="0"/>
          <w:sz w:val="22"/>
          <w:szCs w:val="22"/>
          <w:u w:val="single"/>
        </w:rPr>
      </w:pPr>
      <w:r w:rsidRPr="0035740F">
        <w:rPr>
          <w:rFonts w:ascii="Cambria" w:hAnsi="Cambria"/>
          <w:i w:val="0"/>
          <w:sz w:val="22"/>
          <w:szCs w:val="22"/>
          <w:u w:val="single"/>
        </w:rPr>
        <w:t>Brief Identification of the Genetically Modified Organism (Living Modified Organism)</w:t>
      </w:r>
    </w:p>
    <w:p w:rsidR="00583495" w:rsidRPr="0035740F" w:rsidRDefault="00583495" w:rsidP="00583495">
      <w:pPr>
        <w:spacing w:after="40"/>
        <w:ind w:left="1080"/>
        <w:jc w:val="both"/>
        <w:rPr>
          <w:rFonts w:ascii="Cambria" w:hAnsi="Cambria"/>
          <w:b w:val="0"/>
          <w:i w:val="0"/>
          <w:sz w:val="22"/>
          <w:szCs w:val="22"/>
        </w:rPr>
      </w:pPr>
    </w:p>
    <w:p w:rsidR="00583495" w:rsidRPr="0035740F" w:rsidRDefault="00583495" w:rsidP="00583495">
      <w:pPr>
        <w:ind w:left="3600" w:hanging="3240"/>
        <w:jc w:val="both"/>
        <w:rPr>
          <w:rFonts w:ascii="Cambria" w:hAnsi="Cambria"/>
          <w:b w:val="0"/>
          <w:i w:val="0"/>
          <w:sz w:val="22"/>
          <w:szCs w:val="22"/>
        </w:rPr>
      </w:pPr>
      <w:r w:rsidRPr="0035740F">
        <w:rPr>
          <w:rFonts w:ascii="Cambria" w:hAnsi="Cambria"/>
          <w:i w:val="0"/>
          <w:sz w:val="22"/>
          <w:szCs w:val="22"/>
        </w:rPr>
        <w:t>Designation:</w:t>
      </w:r>
      <w:r w:rsidRPr="0035740F">
        <w:rPr>
          <w:rFonts w:ascii="Cambria" w:hAnsi="Cambria"/>
          <w:b w:val="0"/>
          <w:i w:val="0"/>
          <w:sz w:val="22"/>
          <w:szCs w:val="22"/>
        </w:rPr>
        <w:tab/>
        <w:t xml:space="preserve">Soybean </w:t>
      </w:r>
      <w:r w:rsidR="00DE2369">
        <w:rPr>
          <w:rFonts w:ascii="Cambria" w:hAnsi="Cambria"/>
          <w:b w:val="0"/>
          <w:i w:val="0"/>
          <w:sz w:val="22"/>
          <w:szCs w:val="22"/>
        </w:rPr>
        <w:t>MON87701</w:t>
      </w:r>
    </w:p>
    <w:p w:rsidR="00583495" w:rsidRPr="0035740F" w:rsidRDefault="00583495" w:rsidP="00583495">
      <w:pPr>
        <w:spacing w:after="40"/>
        <w:ind w:left="1080"/>
        <w:jc w:val="both"/>
        <w:rPr>
          <w:rFonts w:ascii="Cambria" w:hAnsi="Cambria"/>
          <w:b w:val="0"/>
          <w:i w:val="0"/>
          <w:sz w:val="22"/>
          <w:szCs w:val="22"/>
        </w:rPr>
      </w:pPr>
    </w:p>
    <w:p w:rsidR="00583495" w:rsidRPr="0035740F" w:rsidRDefault="00583495" w:rsidP="00583495">
      <w:pPr>
        <w:ind w:firstLine="360"/>
        <w:rPr>
          <w:rFonts w:ascii="Cambria" w:hAnsi="Cambria"/>
          <w:b w:val="0"/>
          <w:i w:val="0"/>
          <w:sz w:val="22"/>
          <w:szCs w:val="22"/>
        </w:rPr>
      </w:pPr>
      <w:r w:rsidRPr="0035740F">
        <w:rPr>
          <w:rFonts w:ascii="Cambria" w:hAnsi="Cambria"/>
          <w:i w:val="0"/>
          <w:sz w:val="22"/>
          <w:szCs w:val="22"/>
        </w:rPr>
        <w:t>Applicant:</w:t>
      </w:r>
      <w:r w:rsidRPr="0035740F">
        <w:rPr>
          <w:rFonts w:ascii="Cambria" w:hAnsi="Cambria"/>
          <w:i w:val="0"/>
          <w:sz w:val="22"/>
          <w:szCs w:val="22"/>
        </w:rPr>
        <w:tab/>
      </w:r>
      <w:r w:rsidRPr="0035740F">
        <w:rPr>
          <w:rFonts w:ascii="Cambria" w:hAnsi="Cambria"/>
          <w:i w:val="0"/>
          <w:sz w:val="22"/>
          <w:szCs w:val="22"/>
        </w:rPr>
        <w:tab/>
      </w:r>
      <w:r w:rsidRPr="0035740F">
        <w:rPr>
          <w:rFonts w:ascii="Cambria" w:hAnsi="Cambria"/>
          <w:i w:val="0"/>
          <w:sz w:val="22"/>
          <w:szCs w:val="22"/>
        </w:rPr>
        <w:tab/>
      </w:r>
      <w:r w:rsidRPr="0035740F">
        <w:rPr>
          <w:rFonts w:ascii="Cambria" w:hAnsi="Cambria"/>
          <w:i w:val="0"/>
          <w:sz w:val="22"/>
          <w:szCs w:val="22"/>
        </w:rPr>
        <w:tab/>
      </w:r>
      <w:r w:rsidR="00DE2369">
        <w:rPr>
          <w:rFonts w:ascii="Cambria" w:hAnsi="Cambria"/>
          <w:b w:val="0"/>
          <w:i w:val="0"/>
          <w:sz w:val="22"/>
          <w:szCs w:val="22"/>
        </w:rPr>
        <w:t>MONSANTO PHILIPPINES INC.</w:t>
      </w:r>
      <w:r w:rsidRPr="0035740F">
        <w:rPr>
          <w:rFonts w:ascii="Cambria" w:hAnsi="Cambria"/>
          <w:b w:val="0"/>
          <w:i w:val="0"/>
          <w:sz w:val="22"/>
          <w:szCs w:val="22"/>
        </w:rPr>
        <w:t xml:space="preserve">                                                      </w:t>
      </w:r>
    </w:p>
    <w:p w:rsidR="0022418C" w:rsidRPr="0035740F" w:rsidRDefault="00DE2369" w:rsidP="00583495">
      <w:pPr>
        <w:ind w:firstLine="3600"/>
        <w:rPr>
          <w:rFonts w:ascii="Cambria" w:hAnsi="Cambria"/>
          <w:b w:val="0"/>
          <w:i w:val="0"/>
          <w:sz w:val="22"/>
          <w:szCs w:val="22"/>
        </w:rPr>
      </w:pPr>
      <w:r>
        <w:rPr>
          <w:rFonts w:ascii="Cambria" w:hAnsi="Cambria"/>
          <w:b w:val="0"/>
          <w:i w:val="0"/>
          <w:sz w:val="22"/>
          <w:szCs w:val="22"/>
        </w:rPr>
        <w:t>23</w:t>
      </w:r>
      <w:r w:rsidRPr="00DE2369">
        <w:rPr>
          <w:rFonts w:ascii="Cambria" w:hAnsi="Cambria"/>
          <w:b w:val="0"/>
          <w:i w:val="0"/>
          <w:sz w:val="22"/>
          <w:szCs w:val="22"/>
          <w:vertAlign w:val="superscript"/>
        </w:rPr>
        <w:t>rd</w:t>
      </w:r>
      <w:r>
        <w:rPr>
          <w:rFonts w:ascii="Cambria" w:hAnsi="Cambria"/>
          <w:b w:val="0"/>
          <w:i w:val="0"/>
          <w:sz w:val="22"/>
          <w:szCs w:val="22"/>
        </w:rPr>
        <w:t xml:space="preserve"> </w:t>
      </w:r>
      <w:proofErr w:type="spellStart"/>
      <w:r>
        <w:rPr>
          <w:rFonts w:ascii="Cambria" w:hAnsi="Cambria"/>
          <w:b w:val="0"/>
          <w:i w:val="0"/>
          <w:sz w:val="22"/>
          <w:szCs w:val="22"/>
        </w:rPr>
        <w:t>Flr</w:t>
      </w:r>
      <w:proofErr w:type="spellEnd"/>
      <w:r>
        <w:rPr>
          <w:rFonts w:ascii="Cambria" w:hAnsi="Cambria"/>
          <w:b w:val="0"/>
          <w:i w:val="0"/>
          <w:sz w:val="22"/>
          <w:szCs w:val="22"/>
        </w:rPr>
        <w:t>. Tower II</w:t>
      </w:r>
    </w:p>
    <w:p w:rsidR="0022418C" w:rsidRPr="0035740F" w:rsidRDefault="00DE2369" w:rsidP="00583495">
      <w:pPr>
        <w:ind w:firstLine="3600"/>
        <w:rPr>
          <w:rFonts w:ascii="Cambria" w:hAnsi="Cambria"/>
          <w:b w:val="0"/>
          <w:i w:val="0"/>
          <w:sz w:val="22"/>
          <w:szCs w:val="22"/>
        </w:rPr>
      </w:pPr>
      <w:r>
        <w:rPr>
          <w:rFonts w:ascii="Cambria" w:hAnsi="Cambria"/>
          <w:b w:val="0"/>
          <w:i w:val="0"/>
          <w:sz w:val="22"/>
          <w:szCs w:val="22"/>
        </w:rPr>
        <w:t>Insular Life Corporate Center, Insular Life Drive</w:t>
      </w:r>
    </w:p>
    <w:p w:rsidR="00583495" w:rsidRPr="0035740F" w:rsidRDefault="00DE2369" w:rsidP="00583495">
      <w:pPr>
        <w:ind w:firstLine="3600"/>
        <w:rPr>
          <w:rFonts w:ascii="Cambria" w:hAnsi="Cambria"/>
          <w:b w:val="0"/>
          <w:i w:val="0"/>
          <w:sz w:val="22"/>
          <w:szCs w:val="22"/>
        </w:rPr>
      </w:pPr>
      <w:proofErr w:type="spellStart"/>
      <w:r>
        <w:rPr>
          <w:rFonts w:ascii="Cambria" w:hAnsi="Cambria"/>
          <w:b w:val="0"/>
          <w:i w:val="0"/>
          <w:sz w:val="22"/>
          <w:szCs w:val="22"/>
        </w:rPr>
        <w:t>Filinvest</w:t>
      </w:r>
      <w:proofErr w:type="spellEnd"/>
      <w:r>
        <w:rPr>
          <w:rFonts w:ascii="Cambria" w:hAnsi="Cambria"/>
          <w:b w:val="0"/>
          <w:i w:val="0"/>
          <w:sz w:val="22"/>
          <w:szCs w:val="22"/>
        </w:rPr>
        <w:t xml:space="preserve"> Corporate City, </w:t>
      </w:r>
      <w:proofErr w:type="spellStart"/>
      <w:r>
        <w:rPr>
          <w:rFonts w:ascii="Cambria" w:hAnsi="Cambria"/>
          <w:b w:val="0"/>
          <w:i w:val="0"/>
          <w:sz w:val="22"/>
          <w:szCs w:val="22"/>
        </w:rPr>
        <w:t>Alabang</w:t>
      </w:r>
      <w:proofErr w:type="spellEnd"/>
      <w:r>
        <w:rPr>
          <w:rFonts w:ascii="Cambria" w:hAnsi="Cambria"/>
          <w:b w:val="0"/>
          <w:i w:val="0"/>
          <w:sz w:val="22"/>
          <w:szCs w:val="22"/>
        </w:rPr>
        <w:t xml:space="preserve">, </w:t>
      </w:r>
      <w:proofErr w:type="spellStart"/>
      <w:r>
        <w:rPr>
          <w:rFonts w:ascii="Cambria" w:hAnsi="Cambria"/>
          <w:b w:val="0"/>
          <w:i w:val="0"/>
          <w:sz w:val="22"/>
          <w:szCs w:val="22"/>
        </w:rPr>
        <w:t>Muntinlupa</w:t>
      </w:r>
      <w:proofErr w:type="spellEnd"/>
      <w:r>
        <w:rPr>
          <w:rFonts w:ascii="Cambria" w:hAnsi="Cambria"/>
          <w:b w:val="0"/>
          <w:i w:val="0"/>
          <w:sz w:val="22"/>
          <w:szCs w:val="22"/>
        </w:rPr>
        <w:t xml:space="preserve"> City</w:t>
      </w:r>
      <w:r w:rsidR="00583495" w:rsidRPr="0035740F">
        <w:rPr>
          <w:rFonts w:ascii="Cambria" w:hAnsi="Cambria"/>
          <w:b w:val="0"/>
          <w:i w:val="0"/>
          <w:sz w:val="22"/>
          <w:szCs w:val="22"/>
        </w:rPr>
        <w:t xml:space="preserve">                                                                  </w:t>
      </w:r>
    </w:p>
    <w:p w:rsidR="00583495" w:rsidRPr="0035740F" w:rsidRDefault="00583495" w:rsidP="00583495">
      <w:pPr>
        <w:spacing w:after="40"/>
        <w:ind w:left="1080" w:hanging="720"/>
        <w:jc w:val="both"/>
        <w:rPr>
          <w:rFonts w:ascii="Cambria" w:hAnsi="Cambria"/>
          <w:i w:val="0"/>
          <w:sz w:val="22"/>
          <w:szCs w:val="22"/>
        </w:rPr>
      </w:pPr>
    </w:p>
    <w:p w:rsidR="00583495" w:rsidRPr="0035740F" w:rsidRDefault="00583495" w:rsidP="00583495">
      <w:pPr>
        <w:spacing w:after="40"/>
        <w:ind w:left="1080" w:hanging="720"/>
        <w:jc w:val="both"/>
        <w:rPr>
          <w:rFonts w:ascii="Cambria" w:hAnsi="Cambria"/>
          <w:i w:val="0"/>
          <w:sz w:val="22"/>
          <w:szCs w:val="22"/>
        </w:rPr>
      </w:pPr>
      <w:r w:rsidRPr="0035740F">
        <w:rPr>
          <w:rFonts w:ascii="Cambria" w:hAnsi="Cambria"/>
          <w:i w:val="0"/>
          <w:sz w:val="22"/>
          <w:szCs w:val="22"/>
        </w:rPr>
        <w:t>Plant Species:</w:t>
      </w:r>
    </w:p>
    <w:p w:rsidR="00583495" w:rsidRPr="0035740F" w:rsidRDefault="00583495" w:rsidP="00583495">
      <w:pPr>
        <w:spacing w:after="40"/>
        <w:ind w:left="1080" w:hanging="720"/>
        <w:jc w:val="both"/>
        <w:rPr>
          <w:rFonts w:ascii="Cambria" w:hAnsi="Cambria"/>
          <w:b w:val="0"/>
          <w:i w:val="0"/>
          <w:sz w:val="22"/>
          <w:szCs w:val="22"/>
        </w:rPr>
      </w:pPr>
    </w:p>
    <w:p w:rsidR="00643883" w:rsidRPr="0035740F" w:rsidRDefault="00583495" w:rsidP="00643883">
      <w:pPr>
        <w:spacing w:after="40"/>
        <w:ind w:left="720"/>
        <w:jc w:val="both"/>
        <w:rPr>
          <w:rFonts w:ascii="Cambria" w:hAnsi="Cambria"/>
          <w:b w:val="0"/>
          <w:sz w:val="22"/>
          <w:szCs w:val="22"/>
        </w:rPr>
      </w:pPr>
      <w:r w:rsidRPr="0035740F">
        <w:rPr>
          <w:rFonts w:ascii="Cambria" w:hAnsi="Cambria"/>
          <w:b w:val="0"/>
          <w:i w:val="0"/>
          <w:sz w:val="22"/>
          <w:szCs w:val="22"/>
        </w:rPr>
        <w:t>Name:</w:t>
      </w:r>
      <w:r w:rsidRPr="0035740F">
        <w:rPr>
          <w:rFonts w:ascii="Cambria" w:hAnsi="Cambria"/>
          <w:b w:val="0"/>
          <w:i w:val="0"/>
          <w:sz w:val="22"/>
          <w:szCs w:val="22"/>
        </w:rPr>
        <w:tab/>
      </w:r>
      <w:r w:rsidRPr="0035740F">
        <w:rPr>
          <w:rFonts w:ascii="Cambria" w:hAnsi="Cambria"/>
          <w:b w:val="0"/>
          <w:i w:val="0"/>
          <w:sz w:val="22"/>
          <w:szCs w:val="22"/>
        </w:rPr>
        <w:tab/>
      </w:r>
      <w:r w:rsidRPr="0035740F">
        <w:rPr>
          <w:rFonts w:ascii="Cambria" w:hAnsi="Cambria"/>
          <w:b w:val="0"/>
          <w:i w:val="0"/>
          <w:sz w:val="22"/>
          <w:szCs w:val="22"/>
        </w:rPr>
        <w:tab/>
      </w:r>
      <w:r w:rsidR="00643883" w:rsidRPr="0035740F">
        <w:rPr>
          <w:rFonts w:ascii="Cambria" w:hAnsi="Cambria"/>
          <w:b w:val="0"/>
          <w:i w:val="0"/>
          <w:sz w:val="22"/>
          <w:szCs w:val="22"/>
        </w:rPr>
        <w:tab/>
      </w:r>
      <w:r w:rsidRPr="0035740F">
        <w:rPr>
          <w:rFonts w:ascii="Cambria" w:hAnsi="Cambria"/>
          <w:b w:val="0"/>
          <w:i w:val="0"/>
          <w:sz w:val="22"/>
          <w:szCs w:val="22"/>
        </w:rPr>
        <w:t>Soybean (</w:t>
      </w:r>
      <w:r w:rsidRPr="0035740F">
        <w:rPr>
          <w:rFonts w:ascii="Cambria" w:hAnsi="Cambria"/>
          <w:b w:val="0"/>
          <w:sz w:val="22"/>
          <w:szCs w:val="22"/>
        </w:rPr>
        <w:t>Glycine max)</w:t>
      </w:r>
    </w:p>
    <w:p w:rsidR="00643883" w:rsidRPr="0035740F" w:rsidRDefault="00643883" w:rsidP="00643883">
      <w:pPr>
        <w:spacing w:after="40"/>
        <w:ind w:left="720"/>
        <w:jc w:val="both"/>
        <w:rPr>
          <w:rFonts w:ascii="Cambria" w:hAnsi="Cambria"/>
          <w:b w:val="0"/>
          <w:sz w:val="22"/>
          <w:szCs w:val="22"/>
        </w:rPr>
      </w:pPr>
    </w:p>
    <w:p w:rsidR="00643883" w:rsidRPr="0035740F" w:rsidRDefault="00583495" w:rsidP="00643883">
      <w:pPr>
        <w:spacing w:after="40"/>
        <w:ind w:left="720"/>
        <w:jc w:val="both"/>
        <w:rPr>
          <w:rFonts w:ascii="Cambria" w:hAnsi="Cambria"/>
          <w:b w:val="0"/>
          <w:sz w:val="22"/>
          <w:szCs w:val="22"/>
        </w:rPr>
      </w:pPr>
      <w:r w:rsidRPr="0035740F">
        <w:rPr>
          <w:rFonts w:ascii="Cambria" w:hAnsi="Cambria"/>
          <w:b w:val="0"/>
          <w:i w:val="0"/>
          <w:sz w:val="22"/>
          <w:szCs w:val="22"/>
        </w:rPr>
        <w:t xml:space="preserve">Parent Material:         </w:t>
      </w:r>
      <w:r w:rsidRPr="0035740F">
        <w:rPr>
          <w:rFonts w:ascii="Cambria" w:hAnsi="Cambria"/>
          <w:b w:val="0"/>
          <w:i w:val="0"/>
          <w:sz w:val="22"/>
          <w:szCs w:val="22"/>
        </w:rPr>
        <w:tab/>
      </w:r>
      <w:r w:rsidR="00643883" w:rsidRPr="0035740F">
        <w:rPr>
          <w:rFonts w:ascii="Cambria" w:hAnsi="Cambria"/>
          <w:b w:val="0"/>
          <w:i w:val="0"/>
          <w:sz w:val="22"/>
          <w:szCs w:val="22"/>
        </w:rPr>
        <w:tab/>
      </w:r>
      <w:r w:rsidR="0022418C" w:rsidRPr="0035740F">
        <w:rPr>
          <w:rFonts w:ascii="Cambria" w:hAnsi="Cambria"/>
          <w:b w:val="0"/>
          <w:i w:val="0"/>
          <w:sz w:val="22"/>
          <w:szCs w:val="22"/>
        </w:rPr>
        <w:t xml:space="preserve">Cultivar </w:t>
      </w:r>
      <w:r w:rsidR="0085424C">
        <w:rPr>
          <w:rFonts w:ascii="Cambria" w:hAnsi="Cambria"/>
          <w:b w:val="0"/>
          <w:i w:val="0"/>
          <w:sz w:val="22"/>
          <w:szCs w:val="22"/>
        </w:rPr>
        <w:t>MON87701</w:t>
      </w:r>
    </w:p>
    <w:p w:rsidR="00643883" w:rsidRPr="0035740F" w:rsidRDefault="00643883" w:rsidP="00643883">
      <w:pPr>
        <w:spacing w:after="40"/>
        <w:ind w:left="720"/>
        <w:jc w:val="both"/>
        <w:rPr>
          <w:rFonts w:ascii="Cambria" w:hAnsi="Cambria"/>
          <w:b w:val="0"/>
          <w:sz w:val="22"/>
          <w:szCs w:val="22"/>
        </w:rPr>
      </w:pPr>
    </w:p>
    <w:p w:rsidR="00583495" w:rsidRPr="0035740F" w:rsidRDefault="00583495" w:rsidP="00643883">
      <w:pPr>
        <w:spacing w:after="40"/>
        <w:ind w:left="720"/>
        <w:jc w:val="both"/>
        <w:rPr>
          <w:rFonts w:ascii="Cambria" w:hAnsi="Cambria"/>
          <w:b w:val="0"/>
          <w:sz w:val="22"/>
          <w:szCs w:val="22"/>
        </w:rPr>
      </w:pPr>
      <w:r w:rsidRPr="0035740F">
        <w:rPr>
          <w:rFonts w:ascii="Cambria" w:hAnsi="Cambria"/>
          <w:b w:val="0"/>
          <w:i w:val="0"/>
          <w:sz w:val="22"/>
          <w:szCs w:val="22"/>
        </w:rPr>
        <w:t xml:space="preserve">Center of Origin:        </w:t>
      </w:r>
      <w:r w:rsidRPr="0035740F">
        <w:rPr>
          <w:rFonts w:ascii="Cambria" w:hAnsi="Cambria"/>
          <w:b w:val="0"/>
          <w:i w:val="0"/>
          <w:sz w:val="22"/>
          <w:szCs w:val="22"/>
        </w:rPr>
        <w:tab/>
      </w:r>
      <w:r w:rsidR="00643883" w:rsidRPr="0035740F">
        <w:rPr>
          <w:rFonts w:ascii="Cambria" w:hAnsi="Cambria"/>
          <w:b w:val="0"/>
          <w:i w:val="0"/>
          <w:sz w:val="22"/>
          <w:szCs w:val="22"/>
        </w:rPr>
        <w:tab/>
      </w:r>
      <w:r w:rsidR="0085424C">
        <w:rPr>
          <w:rFonts w:ascii="Cambria" w:hAnsi="Cambria"/>
          <w:b w:val="0"/>
          <w:i w:val="0"/>
          <w:sz w:val="22"/>
          <w:szCs w:val="22"/>
        </w:rPr>
        <w:t>United States</w:t>
      </w:r>
    </w:p>
    <w:p w:rsidR="00583495" w:rsidRPr="0035740F" w:rsidRDefault="00583495" w:rsidP="00583495">
      <w:pPr>
        <w:spacing w:after="40"/>
        <w:ind w:left="3600" w:hanging="2520"/>
        <w:jc w:val="both"/>
        <w:rPr>
          <w:rFonts w:ascii="Cambria" w:hAnsi="Cambria"/>
          <w:b w:val="0"/>
          <w:i w:val="0"/>
          <w:sz w:val="22"/>
          <w:szCs w:val="22"/>
        </w:rPr>
      </w:pPr>
    </w:p>
    <w:p w:rsidR="00583495" w:rsidRPr="0035740F" w:rsidRDefault="00583495" w:rsidP="0022418C">
      <w:pPr>
        <w:spacing w:after="40"/>
        <w:ind w:left="3600" w:hanging="2880"/>
        <w:jc w:val="both"/>
        <w:rPr>
          <w:rFonts w:ascii="Cambria" w:hAnsi="Cambria"/>
          <w:b w:val="0"/>
          <w:i w:val="0"/>
          <w:sz w:val="22"/>
          <w:szCs w:val="22"/>
        </w:rPr>
      </w:pPr>
      <w:r w:rsidRPr="0035740F">
        <w:rPr>
          <w:rFonts w:ascii="Cambria" w:hAnsi="Cambria"/>
          <w:b w:val="0"/>
          <w:i w:val="0"/>
          <w:sz w:val="22"/>
          <w:szCs w:val="22"/>
        </w:rPr>
        <w:t xml:space="preserve">Toxic Factors/Allergen(s): </w:t>
      </w:r>
      <w:r w:rsidR="0022418C" w:rsidRPr="0035740F">
        <w:rPr>
          <w:rFonts w:ascii="Cambria" w:hAnsi="Cambria"/>
          <w:b w:val="0"/>
          <w:i w:val="0"/>
          <w:sz w:val="22"/>
          <w:szCs w:val="22"/>
        </w:rPr>
        <w:tab/>
      </w:r>
      <w:r w:rsidR="0085424C">
        <w:rPr>
          <w:rFonts w:ascii="Cambria" w:hAnsi="Cambria"/>
          <w:b w:val="0"/>
          <w:i w:val="0"/>
          <w:sz w:val="22"/>
          <w:szCs w:val="22"/>
        </w:rPr>
        <w:t>T</w:t>
      </w:r>
      <w:r w:rsidR="0085424C" w:rsidRPr="0085424C">
        <w:rPr>
          <w:rFonts w:ascii="Cambria" w:hAnsi="Cambria"/>
          <w:b w:val="0"/>
          <w:i w:val="0"/>
          <w:sz w:val="22"/>
          <w:szCs w:val="22"/>
        </w:rPr>
        <w:t xml:space="preserve">rypsin inhibitors, lectins, </w:t>
      </w:r>
      <w:proofErr w:type="spellStart"/>
      <w:r w:rsidR="0085424C" w:rsidRPr="0085424C">
        <w:rPr>
          <w:rFonts w:ascii="Cambria" w:hAnsi="Cambria"/>
          <w:b w:val="0"/>
          <w:i w:val="0"/>
          <w:sz w:val="22"/>
          <w:szCs w:val="22"/>
        </w:rPr>
        <w:t>phyto</w:t>
      </w:r>
      <w:proofErr w:type="spellEnd"/>
      <w:r w:rsidR="0085424C" w:rsidRPr="0085424C">
        <w:rPr>
          <w:rFonts w:ascii="Cambria" w:hAnsi="Cambria"/>
          <w:b w:val="0"/>
          <w:i w:val="0"/>
          <w:sz w:val="22"/>
          <w:szCs w:val="22"/>
        </w:rPr>
        <w:t xml:space="preserve">-estrogens, </w:t>
      </w:r>
      <w:proofErr w:type="spellStart"/>
      <w:r w:rsidR="0085424C" w:rsidRPr="0085424C">
        <w:rPr>
          <w:rFonts w:ascii="Cambria" w:hAnsi="Cambria"/>
          <w:b w:val="0"/>
          <w:i w:val="0"/>
          <w:sz w:val="22"/>
          <w:szCs w:val="22"/>
        </w:rPr>
        <w:t>stachyose</w:t>
      </w:r>
      <w:proofErr w:type="spellEnd"/>
      <w:r w:rsidR="0085424C" w:rsidRPr="0085424C">
        <w:rPr>
          <w:rFonts w:ascii="Cambria" w:hAnsi="Cambria"/>
          <w:b w:val="0"/>
          <w:i w:val="0"/>
          <w:sz w:val="22"/>
          <w:szCs w:val="22"/>
        </w:rPr>
        <w:t xml:space="preserve">, </w:t>
      </w:r>
      <w:proofErr w:type="spellStart"/>
      <w:r w:rsidR="0085424C" w:rsidRPr="0085424C">
        <w:rPr>
          <w:rFonts w:ascii="Cambria" w:hAnsi="Cambria"/>
          <w:b w:val="0"/>
          <w:i w:val="0"/>
          <w:sz w:val="22"/>
          <w:szCs w:val="22"/>
        </w:rPr>
        <w:t>raffinose</w:t>
      </w:r>
      <w:proofErr w:type="spellEnd"/>
      <w:r w:rsidR="0085424C" w:rsidRPr="0085424C">
        <w:rPr>
          <w:rFonts w:ascii="Cambria" w:hAnsi="Cambria"/>
          <w:b w:val="0"/>
          <w:i w:val="0"/>
          <w:sz w:val="22"/>
          <w:szCs w:val="22"/>
        </w:rPr>
        <w:t xml:space="preserve"> and </w:t>
      </w:r>
      <w:proofErr w:type="spellStart"/>
      <w:r w:rsidR="0085424C" w:rsidRPr="0085424C">
        <w:rPr>
          <w:rFonts w:ascii="Cambria" w:hAnsi="Cambria"/>
          <w:b w:val="0"/>
          <w:i w:val="0"/>
          <w:sz w:val="22"/>
          <w:szCs w:val="22"/>
        </w:rPr>
        <w:t>phytic</w:t>
      </w:r>
      <w:proofErr w:type="spellEnd"/>
      <w:r w:rsidR="0085424C" w:rsidRPr="0085424C">
        <w:rPr>
          <w:rFonts w:ascii="Cambria" w:hAnsi="Cambria"/>
          <w:b w:val="0"/>
          <w:i w:val="0"/>
          <w:sz w:val="22"/>
          <w:szCs w:val="22"/>
        </w:rPr>
        <w:t xml:space="preserve"> acid</w:t>
      </w:r>
    </w:p>
    <w:p w:rsidR="00583495" w:rsidRPr="0035740F" w:rsidRDefault="00583495" w:rsidP="00583495">
      <w:pPr>
        <w:spacing w:after="40"/>
        <w:ind w:left="1080" w:hanging="720"/>
        <w:jc w:val="both"/>
        <w:rPr>
          <w:rFonts w:ascii="Cambria" w:hAnsi="Cambria"/>
          <w:i w:val="0"/>
          <w:sz w:val="22"/>
          <w:szCs w:val="22"/>
        </w:rPr>
      </w:pPr>
    </w:p>
    <w:p w:rsidR="00583495" w:rsidRPr="0035740F" w:rsidRDefault="00583495" w:rsidP="00583495">
      <w:pPr>
        <w:spacing w:after="40"/>
        <w:ind w:left="1080" w:hanging="720"/>
        <w:jc w:val="both"/>
        <w:rPr>
          <w:rFonts w:ascii="Cambria" w:hAnsi="Cambria"/>
          <w:b w:val="0"/>
          <w:i w:val="0"/>
          <w:sz w:val="22"/>
          <w:szCs w:val="22"/>
        </w:rPr>
      </w:pPr>
      <w:r w:rsidRPr="0035740F">
        <w:rPr>
          <w:rFonts w:ascii="Cambria" w:hAnsi="Cambria"/>
          <w:i w:val="0"/>
          <w:sz w:val="22"/>
          <w:szCs w:val="22"/>
        </w:rPr>
        <w:t>Trait Description:</w:t>
      </w:r>
      <w:r w:rsidRPr="0035740F">
        <w:rPr>
          <w:rFonts w:ascii="Cambria" w:hAnsi="Cambria"/>
          <w:i w:val="0"/>
          <w:sz w:val="22"/>
          <w:szCs w:val="22"/>
        </w:rPr>
        <w:tab/>
      </w:r>
      <w:r w:rsidRPr="0035740F">
        <w:rPr>
          <w:rFonts w:ascii="Cambria" w:hAnsi="Cambria"/>
          <w:i w:val="0"/>
          <w:sz w:val="22"/>
          <w:szCs w:val="22"/>
        </w:rPr>
        <w:tab/>
      </w:r>
      <w:r w:rsidR="0085424C">
        <w:rPr>
          <w:rFonts w:ascii="Cambria" w:hAnsi="Cambria"/>
          <w:b w:val="0"/>
          <w:i w:val="0"/>
          <w:sz w:val="22"/>
          <w:szCs w:val="22"/>
        </w:rPr>
        <w:t>Lepidopteran insect resistance</w:t>
      </w:r>
    </w:p>
    <w:p w:rsidR="00583495" w:rsidRPr="0035740F" w:rsidRDefault="00583495" w:rsidP="00583495">
      <w:pPr>
        <w:spacing w:after="40"/>
        <w:ind w:left="1080"/>
        <w:jc w:val="both"/>
        <w:rPr>
          <w:rFonts w:ascii="Cambria" w:hAnsi="Cambria"/>
          <w:b w:val="0"/>
          <w:i w:val="0"/>
          <w:sz w:val="22"/>
          <w:szCs w:val="22"/>
        </w:rPr>
      </w:pPr>
      <w:r w:rsidRPr="0035740F">
        <w:rPr>
          <w:rFonts w:ascii="Cambria" w:hAnsi="Cambria"/>
          <w:i w:val="0"/>
          <w:sz w:val="22"/>
          <w:szCs w:val="22"/>
        </w:rPr>
        <w:tab/>
      </w:r>
      <w:r w:rsidRPr="0035740F">
        <w:rPr>
          <w:rFonts w:ascii="Cambria" w:hAnsi="Cambria"/>
          <w:i w:val="0"/>
          <w:sz w:val="22"/>
          <w:szCs w:val="22"/>
        </w:rPr>
        <w:tab/>
      </w:r>
    </w:p>
    <w:p w:rsidR="00583495" w:rsidRPr="0035740F" w:rsidRDefault="00583495" w:rsidP="00C92B6E">
      <w:pPr>
        <w:spacing w:after="40"/>
        <w:ind w:left="3600" w:hanging="3240"/>
        <w:jc w:val="both"/>
        <w:rPr>
          <w:rFonts w:ascii="Cambria" w:hAnsi="Cambria"/>
          <w:b w:val="0"/>
          <w:i w:val="0"/>
          <w:sz w:val="22"/>
          <w:szCs w:val="22"/>
        </w:rPr>
      </w:pPr>
      <w:r w:rsidRPr="0035740F">
        <w:rPr>
          <w:rFonts w:ascii="Cambria" w:hAnsi="Cambria"/>
          <w:i w:val="0"/>
          <w:sz w:val="22"/>
          <w:szCs w:val="22"/>
        </w:rPr>
        <w:t>Trait Introduction Method:</w:t>
      </w:r>
      <w:r w:rsidRPr="0035740F">
        <w:rPr>
          <w:rFonts w:ascii="Cambria" w:hAnsi="Cambria"/>
          <w:i w:val="0"/>
          <w:sz w:val="22"/>
          <w:szCs w:val="22"/>
        </w:rPr>
        <w:tab/>
      </w:r>
      <w:r w:rsidR="0085424C" w:rsidRPr="0085424C">
        <w:rPr>
          <w:rFonts w:ascii="Cambria" w:hAnsi="Cambria"/>
          <w:b w:val="0"/>
          <w:sz w:val="22"/>
          <w:szCs w:val="22"/>
        </w:rPr>
        <w:t xml:space="preserve">Agrobacterium </w:t>
      </w:r>
      <w:proofErr w:type="spellStart"/>
      <w:r w:rsidR="0085424C" w:rsidRPr="0085424C">
        <w:rPr>
          <w:rFonts w:ascii="Cambria" w:hAnsi="Cambria"/>
          <w:b w:val="0"/>
          <w:sz w:val="22"/>
          <w:szCs w:val="22"/>
        </w:rPr>
        <w:t>tumefaciens</w:t>
      </w:r>
      <w:proofErr w:type="spellEnd"/>
      <w:r w:rsidR="0085424C">
        <w:rPr>
          <w:rFonts w:ascii="Cambria" w:hAnsi="Cambria"/>
          <w:b w:val="0"/>
          <w:i w:val="0"/>
          <w:sz w:val="22"/>
          <w:szCs w:val="22"/>
        </w:rPr>
        <w:t>-mediated plant transformation</w:t>
      </w:r>
    </w:p>
    <w:p w:rsidR="00583495" w:rsidRPr="0035740F" w:rsidRDefault="00583495" w:rsidP="0047636A">
      <w:pPr>
        <w:pStyle w:val="NoSpacing"/>
        <w:tabs>
          <w:tab w:val="left" w:pos="3600"/>
          <w:tab w:val="left" w:pos="3690"/>
        </w:tabs>
        <w:ind w:left="3600" w:hanging="3240"/>
        <w:jc w:val="both"/>
        <w:rPr>
          <w:rFonts w:ascii="Cambria" w:hAnsi="Cambria"/>
          <w:sz w:val="22"/>
          <w:szCs w:val="22"/>
        </w:rPr>
      </w:pPr>
      <w:r w:rsidRPr="0035740F">
        <w:rPr>
          <w:rFonts w:ascii="Cambria" w:hAnsi="Cambria"/>
          <w:b/>
          <w:sz w:val="22"/>
          <w:szCs w:val="22"/>
        </w:rPr>
        <w:lastRenderedPageBreak/>
        <w:t>Donor Organisms</w:t>
      </w:r>
      <w:r w:rsidRPr="0035740F">
        <w:rPr>
          <w:rFonts w:ascii="Cambria" w:hAnsi="Cambria"/>
          <w:i/>
          <w:sz w:val="22"/>
          <w:szCs w:val="22"/>
        </w:rPr>
        <w:t>:</w:t>
      </w:r>
      <w:r w:rsidRPr="0035740F">
        <w:rPr>
          <w:rFonts w:ascii="Cambria" w:hAnsi="Cambria"/>
          <w:b/>
          <w:i/>
          <w:sz w:val="22"/>
          <w:szCs w:val="22"/>
        </w:rPr>
        <w:tab/>
      </w:r>
      <w:r w:rsidR="0085424C">
        <w:rPr>
          <w:rFonts w:ascii="Cambria" w:hAnsi="Cambria"/>
          <w:i/>
          <w:sz w:val="22"/>
          <w:szCs w:val="22"/>
        </w:rPr>
        <w:t xml:space="preserve">Bacillus thuringiensis </w:t>
      </w:r>
      <w:r w:rsidR="0085424C">
        <w:rPr>
          <w:rFonts w:ascii="Cambria" w:hAnsi="Cambria"/>
          <w:sz w:val="22"/>
          <w:szCs w:val="22"/>
        </w:rPr>
        <w:t xml:space="preserve">subsp. </w:t>
      </w:r>
      <w:proofErr w:type="spellStart"/>
      <w:r w:rsidR="0085424C">
        <w:rPr>
          <w:rFonts w:ascii="Cambria" w:hAnsi="Cambria"/>
          <w:sz w:val="22"/>
          <w:szCs w:val="22"/>
        </w:rPr>
        <w:t>Kurstaki</w:t>
      </w:r>
      <w:proofErr w:type="spellEnd"/>
      <w:r w:rsidR="0085424C">
        <w:rPr>
          <w:rFonts w:ascii="Cambria" w:hAnsi="Cambria"/>
          <w:sz w:val="22"/>
          <w:szCs w:val="22"/>
        </w:rPr>
        <w:t xml:space="preserve"> strain HD73 </w:t>
      </w:r>
      <w:r w:rsidR="0085424C" w:rsidRPr="0085424C">
        <w:rPr>
          <w:rFonts w:ascii="Cambria" w:hAnsi="Cambria"/>
          <w:sz w:val="22"/>
          <w:szCs w:val="22"/>
        </w:rPr>
        <w:t>is used commercially in the U.S. to produce microbial-derived products with insecticidal activity.</w:t>
      </w:r>
      <w:r w:rsidR="0001106B">
        <w:rPr>
          <w:rFonts w:ascii="Cambria" w:hAnsi="Cambria"/>
          <w:sz w:val="22"/>
          <w:szCs w:val="22"/>
        </w:rPr>
        <w:t xml:space="preserve"> </w:t>
      </w:r>
    </w:p>
    <w:p w:rsidR="00583495" w:rsidRPr="0035740F" w:rsidRDefault="00583495" w:rsidP="00583495">
      <w:pPr>
        <w:spacing w:after="40"/>
        <w:jc w:val="both"/>
        <w:rPr>
          <w:rFonts w:ascii="Cambria" w:hAnsi="Cambria"/>
          <w:b w:val="0"/>
          <w:i w:val="0"/>
          <w:sz w:val="22"/>
          <w:szCs w:val="22"/>
        </w:rPr>
      </w:pPr>
    </w:p>
    <w:p w:rsidR="00583495" w:rsidRPr="0035740F" w:rsidRDefault="00C6621F" w:rsidP="0047636A">
      <w:pPr>
        <w:spacing w:before="120" w:after="120"/>
        <w:ind w:left="3600" w:hanging="3600"/>
        <w:jc w:val="both"/>
        <w:rPr>
          <w:rFonts w:ascii="Cambria" w:hAnsi="Cambria"/>
          <w:b w:val="0"/>
          <w:i w:val="0"/>
          <w:sz w:val="22"/>
          <w:szCs w:val="22"/>
        </w:rPr>
      </w:pPr>
      <w:r w:rsidRPr="0035740F">
        <w:rPr>
          <w:rFonts w:ascii="Cambria" w:hAnsi="Cambria"/>
          <w:i w:val="0"/>
          <w:sz w:val="22"/>
          <w:szCs w:val="22"/>
        </w:rPr>
        <w:t xml:space="preserve">        </w:t>
      </w:r>
      <w:r w:rsidR="00583495" w:rsidRPr="0035740F">
        <w:rPr>
          <w:rFonts w:ascii="Cambria" w:hAnsi="Cambria"/>
          <w:i w:val="0"/>
          <w:sz w:val="22"/>
          <w:szCs w:val="22"/>
        </w:rPr>
        <w:t>Pathogenicity:</w:t>
      </w:r>
      <w:r w:rsidR="00583495" w:rsidRPr="0035740F">
        <w:rPr>
          <w:rFonts w:ascii="Cambria" w:hAnsi="Cambria"/>
          <w:b w:val="0"/>
          <w:i w:val="0"/>
          <w:sz w:val="22"/>
          <w:szCs w:val="22"/>
        </w:rPr>
        <w:tab/>
      </w:r>
      <w:r w:rsidR="0085424C" w:rsidRPr="0085424C">
        <w:rPr>
          <w:rFonts w:ascii="Cambria" w:hAnsi="Cambria"/>
          <w:b w:val="0"/>
          <w:i w:val="0"/>
          <w:sz w:val="22"/>
          <w:szCs w:val="22"/>
        </w:rPr>
        <w:t xml:space="preserve">Microbial pesticides containing B. thuringiensis </w:t>
      </w:r>
      <w:proofErr w:type="gramStart"/>
      <w:r w:rsidR="0085424C" w:rsidRPr="0085424C">
        <w:rPr>
          <w:rFonts w:ascii="Cambria" w:hAnsi="Cambria"/>
          <w:b w:val="0"/>
          <w:i w:val="0"/>
          <w:sz w:val="22"/>
          <w:szCs w:val="22"/>
        </w:rPr>
        <w:t>Cry</w:t>
      </w:r>
      <w:proofErr w:type="gramEnd"/>
      <w:r w:rsidR="0085424C" w:rsidRPr="0085424C">
        <w:rPr>
          <w:rFonts w:ascii="Cambria" w:hAnsi="Cambria"/>
          <w:b w:val="0"/>
          <w:i w:val="0"/>
          <w:sz w:val="22"/>
          <w:szCs w:val="22"/>
        </w:rPr>
        <w:t xml:space="preserve"> proteins have been subjected to extensive toxicity testing showing no adverse effects to human health. Additionally, there are no confirmed cases of allergic reactions to Cry proteins in microbial-derived B. thuringiensis products during more than 50 years of use.</w:t>
      </w:r>
    </w:p>
    <w:p w:rsidR="00583495" w:rsidRPr="0035740F" w:rsidRDefault="00583495" w:rsidP="00583495">
      <w:pPr>
        <w:spacing w:after="40"/>
        <w:jc w:val="both"/>
        <w:rPr>
          <w:rFonts w:ascii="Cambria" w:hAnsi="Cambria"/>
          <w:b w:val="0"/>
          <w:i w:val="0"/>
          <w:sz w:val="22"/>
          <w:szCs w:val="22"/>
        </w:rPr>
      </w:pPr>
    </w:p>
    <w:p w:rsidR="00583495" w:rsidRPr="0035740F" w:rsidRDefault="00583495" w:rsidP="00583495">
      <w:pPr>
        <w:spacing w:after="40"/>
        <w:ind w:left="1080" w:hanging="720"/>
        <w:jc w:val="both"/>
        <w:rPr>
          <w:rFonts w:ascii="Cambria" w:hAnsi="Cambria"/>
          <w:b w:val="0"/>
          <w:i w:val="0"/>
          <w:sz w:val="22"/>
          <w:szCs w:val="22"/>
        </w:rPr>
      </w:pPr>
      <w:r w:rsidRPr="0035740F">
        <w:rPr>
          <w:rFonts w:ascii="Cambria" w:hAnsi="Cambria"/>
          <w:i w:val="0"/>
          <w:sz w:val="22"/>
          <w:szCs w:val="22"/>
        </w:rPr>
        <w:t>Proposed Use:</w:t>
      </w:r>
      <w:r w:rsidRPr="0035740F">
        <w:rPr>
          <w:rFonts w:ascii="Cambria" w:hAnsi="Cambria"/>
          <w:b w:val="0"/>
          <w:i w:val="0"/>
          <w:sz w:val="22"/>
          <w:szCs w:val="22"/>
        </w:rPr>
        <w:tab/>
      </w:r>
      <w:r w:rsidRPr="0035740F">
        <w:rPr>
          <w:rFonts w:ascii="Cambria" w:hAnsi="Cambria"/>
          <w:b w:val="0"/>
          <w:i w:val="0"/>
          <w:sz w:val="22"/>
          <w:szCs w:val="22"/>
        </w:rPr>
        <w:tab/>
      </w:r>
      <w:r w:rsidR="00986C01" w:rsidRPr="0035740F">
        <w:rPr>
          <w:rFonts w:ascii="Cambria" w:hAnsi="Cambria"/>
          <w:b w:val="0"/>
          <w:i w:val="0"/>
          <w:sz w:val="22"/>
          <w:szCs w:val="22"/>
        </w:rPr>
        <w:tab/>
      </w:r>
      <w:r w:rsidRPr="0035740F">
        <w:rPr>
          <w:rFonts w:ascii="Cambria" w:hAnsi="Cambria"/>
          <w:b w:val="0"/>
          <w:i w:val="0"/>
          <w:sz w:val="22"/>
          <w:szCs w:val="22"/>
        </w:rPr>
        <w:t>For direct use as food, feed or for processing</w:t>
      </w:r>
    </w:p>
    <w:p w:rsidR="00583495" w:rsidRPr="0035740F" w:rsidRDefault="00583495" w:rsidP="00583495">
      <w:pPr>
        <w:spacing w:after="40"/>
        <w:jc w:val="both"/>
        <w:rPr>
          <w:rFonts w:ascii="Cambria" w:hAnsi="Cambria"/>
          <w:b w:val="0"/>
          <w:i w:val="0"/>
          <w:sz w:val="22"/>
          <w:szCs w:val="22"/>
        </w:rPr>
      </w:pPr>
    </w:p>
    <w:p w:rsidR="00583495" w:rsidRPr="0035740F" w:rsidRDefault="00583495" w:rsidP="00583495">
      <w:pPr>
        <w:pStyle w:val="Heading2"/>
        <w:tabs>
          <w:tab w:val="clear" w:pos="1080"/>
          <w:tab w:val="num" w:pos="540"/>
        </w:tabs>
        <w:spacing w:after="40"/>
        <w:ind w:left="540" w:hanging="540"/>
        <w:jc w:val="both"/>
        <w:rPr>
          <w:rFonts w:ascii="Cambria" w:hAnsi="Cambria"/>
          <w:sz w:val="22"/>
          <w:szCs w:val="22"/>
          <w:u w:val="single"/>
        </w:rPr>
      </w:pPr>
      <w:r w:rsidRPr="0035740F">
        <w:rPr>
          <w:rFonts w:ascii="Cambria" w:hAnsi="Cambria"/>
          <w:sz w:val="22"/>
          <w:szCs w:val="22"/>
          <w:u w:val="single"/>
        </w:rPr>
        <w:t>Background Information</w:t>
      </w:r>
    </w:p>
    <w:p w:rsidR="00583495" w:rsidRPr="0035740F" w:rsidRDefault="00583495" w:rsidP="00583495">
      <w:pPr>
        <w:spacing w:after="40"/>
        <w:jc w:val="both"/>
        <w:rPr>
          <w:rFonts w:ascii="Cambria" w:hAnsi="Cambria"/>
          <w:b w:val="0"/>
          <w:i w:val="0"/>
          <w:sz w:val="22"/>
          <w:szCs w:val="22"/>
        </w:rPr>
      </w:pPr>
    </w:p>
    <w:p w:rsidR="00583495" w:rsidRPr="0035740F" w:rsidRDefault="009227F2" w:rsidP="00583495">
      <w:pPr>
        <w:spacing w:after="40"/>
        <w:ind w:left="360"/>
        <w:jc w:val="both"/>
        <w:rPr>
          <w:rFonts w:ascii="Cambria" w:hAnsi="Cambria"/>
          <w:b w:val="0"/>
          <w:i w:val="0"/>
          <w:sz w:val="22"/>
          <w:szCs w:val="22"/>
        </w:rPr>
      </w:pPr>
      <w:r>
        <w:rPr>
          <w:rFonts w:ascii="Cambria" w:hAnsi="Cambria"/>
          <w:b w:val="0"/>
          <w:i w:val="0"/>
          <w:sz w:val="22"/>
          <w:szCs w:val="22"/>
        </w:rPr>
        <w:t>Monsanto Philippines Inc</w:t>
      </w:r>
      <w:r w:rsidR="00583495" w:rsidRPr="0035740F">
        <w:rPr>
          <w:rFonts w:ascii="Cambria" w:hAnsi="Cambria"/>
          <w:b w:val="0"/>
          <w:i w:val="0"/>
          <w:sz w:val="22"/>
          <w:szCs w:val="22"/>
        </w:rPr>
        <w:t xml:space="preserve">. has filed an application with attached technical dossiers to the Bureau of Plant Industry on </w:t>
      </w:r>
      <w:r>
        <w:rPr>
          <w:rFonts w:ascii="Cambria" w:hAnsi="Cambria"/>
          <w:b w:val="0"/>
          <w:i w:val="0"/>
          <w:sz w:val="22"/>
          <w:szCs w:val="22"/>
        </w:rPr>
        <w:t>December 2</w:t>
      </w:r>
      <w:r w:rsidR="00F210A2">
        <w:rPr>
          <w:rFonts w:ascii="Cambria" w:hAnsi="Cambria"/>
          <w:b w:val="0"/>
          <w:i w:val="0"/>
          <w:sz w:val="22"/>
          <w:szCs w:val="22"/>
        </w:rPr>
        <w:t>, 2016</w:t>
      </w:r>
      <w:r w:rsidR="00583495" w:rsidRPr="0035740F">
        <w:rPr>
          <w:rFonts w:ascii="Cambria" w:hAnsi="Cambria"/>
          <w:b w:val="0"/>
          <w:i w:val="0"/>
          <w:sz w:val="22"/>
          <w:szCs w:val="22"/>
        </w:rPr>
        <w:t xml:space="preserve"> for a biosafety permit for direct use as food, feed or for processing under </w:t>
      </w:r>
      <w:r w:rsidR="002B64A0" w:rsidRPr="0035740F">
        <w:rPr>
          <w:rFonts w:ascii="Cambria" w:hAnsi="Cambria"/>
          <w:b w:val="0"/>
          <w:i w:val="0"/>
          <w:sz w:val="22"/>
          <w:szCs w:val="22"/>
        </w:rPr>
        <w:t>the DOST-DA-DENR-DOH-DILG Joint Department Circular No. 1 series of 2016 (JDC</w:t>
      </w:r>
      <w:r w:rsidR="00F210A2">
        <w:rPr>
          <w:rFonts w:ascii="Cambria" w:hAnsi="Cambria"/>
          <w:b w:val="0"/>
          <w:i w:val="0"/>
          <w:sz w:val="22"/>
          <w:szCs w:val="22"/>
        </w:rPr>
        <w:t xml:space="preserve"> No.1 s2016</w:t>
      </w:r>
      <w:r w:rsidR="002B64A0" w:rsidRPr="0035740F">
        <w:rPr>
          <w:rFonts w:ascii="Cambria" w:hAnsi="Cambria"/>
          <w:b w:val="0"/>
          <w:i w:val="0"/>
          <w:sz w:val="22"/>
          <w:szCs w:val="22"/>
        </w:rPr>
        <w:t>)</w:t>
      </w:r>
      <w:r w:rsidR="00583495" w:rsidRPr="0035740F">
        <w:rPr>
          <w:rFonts w:ascii="Cambria" w:hAnsi="Cambria"/>
          <w:b w:val="0"/>
          <w:i w:val="0"/>
          <w:sz w:val="22"/>
          <w:szCs w:val="22"/>
        </w:rPr>
        <w:t>.</w:t>
      </w:r>
    </w:p>
    <w:p w:rsidR="00583495" w:rsidRPr="0035740F" w:rsidRDefault="00583495" w:rsidP="00583495">
      <w:pPr>
        <w:spacing w:after="40"/>
        <w:ind w:left="360"/>
        <w:jc w:val="both"/>
        <w:rPr>
          <w:rFonts w:ascii="Cambria" w:hAnsi="Cambria"/>
          <w:b w:val="0"/>
          <w:i w:val="0"/>
          <w:sz w:val="22"/>
          <w:szCs w:val="22"/>
        </w:rPr>
      </w:pPr>
    </w:p>
    <w:p w:rsidR="009227F2" w:rsidRPr="009227F2" w:rsidRDefault="009227F2" w:rsidP="009227F2">
      <w:pPr>
        <w:spacing w:after="40"/>
        <w:ind w:left="360"/>
        <w:jc w:val="both"/>
        <w:rPr>
          <w:rFonts w:ascii="Cambria" w:hAnsi="Cambria"/>
          <w:b w:val="0"/>
          <w:i w:val="0"/>
          <w:sz w:val="22"/>
          <w:szCs w:val="22"/>
        </w:rPr>
      </w:pPr>
      <w:r w:rsidRPr="009227F2">
        <w:rPr>
          <w:rFonts w:ascii="Cambria" w:hAnsi="Cambria"/>
          <w:b w:val="0"/>
          <w:i w:val="0"/>
          <w:sz w:val="22"/>
          <w:szCs w:val="22"/>
        </w:rPr>
        <w:t>In accordance with Article VII. Section 20 of the JDC, no regulated article, whether imported or developed domestically, shall be permitted for direct use as food and feed, or for processing, unless: (1) the Biosafety Permit for Direct Use has been issued by the BPI; (2) in the case of imported regulated article, the regulated article has been authorized for commercial distribution as food and feed in the country of origin; and (3) regardless of the intended use, the regulated article does not pose greater risks to biodiversity, human and animal health than its conventional counterpart.</w:t>
      </w:r>
    </w:p>
    <w:p w:rsidR="009227F2" w:rsidRPr="009227F2" w:rsidRDefault="009227F2" w:rsidP="009227F2">
      <w:pPr>
        <w:spacing w:after="40"/>
        <w:ind w:left="360"/>
        <w:jc w:val="both"/>
        <w:rPr>
          <w:rFonts w:ascii="Cambria" w:hAnsi="Cambria"/>
          <w:b w:val="0"/>
          <w:i w:val="0"/>
          <w:sz w:val="22"/>
          <w:szCs w:val="22"/>
        </w:rPr>
      </w:pPr>
    </w:p>
    <w:p w:rsidR="009227F2" w:rsidRPr="009227F2" w:rsidRDefault="009227F2" w:rsidP="009227F2">
      <w:pPr>
        <w:spacing w:after="40"/>
        <w:ind w:left="360"/>
        <w:jc w:val="both"/>
        <w:rPr>
          <w:rFonts w:ascii="Cambria" w:hAnsi="Cambria"/>
          <w:b w:val="0"/>
          <w:i w:val="0"/>
          <w:sz w:val="22"/>
          <w:szCs w:val="22"/>
        </w:rPr>
      </w:pPr>
      <w:r w:rsidRPr="009227F2">
        <w:rPr>
          <w:rFonts w:ascii="Cambria" w:hAnsi="Cambria"/>
          <w:b w:val="0"/>
          <w:i w:val="0"/>
          <w:sz w:val="22"/>
          <w:szCs w:val="22"/>
        </w:rPr>
        <w:t xml:space="preserve">The BPI Biotech Office provided the assessors, except for the SEC expert, the complete dossier submitted by </w:t>
      </w:r>
      <w:r>
        <w:rPr>
          <w:rFonts w:ascii="Cambria" w:hAnsi="Cambria"/>
          <w:b w:val="0"/>
          <w:i w:val="0"/>
          <w:sz w:val="22"/>
          <w:szCs w:val="22"/>
        </w:rPr>
        <w:t>Monsanto</w:t>
      </w:r>
      <w:r w:rsidRPr="009227F2">
        <w:rPr>
          <w:rFonts w:ascii="Cambria" w:hAnsi="Cambria"/>
          <w:b w:val="0"/>
          <w:i w:val="0"/>
          <w:sz w:val="22"/>
          <w:szCs w:val="22"/>
        </w:rPr>
        <w:t xml:space="preserve">. The SEC expert, on the other hand, was provided with a questionnaire on socio-economic, ethical and cultural considerations that have been addressed by </w:t>
      </w:r>
      <w:r>
        <w:rPr>
          <w:rFonts w:ascii="Cambria" w:hAnsi="Cambria"/>
          <w:b w:val="0"/>
          <w:i w:val="0"/>
          <w:sz w:val="22"/>
          <w:szCs w:val="22"/>
        </w:rPr>
        <w:t>Monsanto</w:t>
      </w:r>
      <w:r w:rsidRPr="009227F2">
        <w:rPr>
          <w:rFonts w:ascii="Cambria" w:hAnsi="Cambria"/>
          <w:b w:val="0"/>
          <w:i w:val="0"/>
          <w:sz w:val="22"/>
          <w:szCs w:val="22"/>
        </w:rPr>
        <w:t xml:space="preserve"> in relation to their application.  </w:t>
      </w:r>
    </w:p>
    <w:p w:rsidR="00F210A2" w:rsidRDefault="00F210A2" w:rsidP="009227F2">
      <w:pPr>
        <w:spacing w:after="40"/>
        <w:jc w:val="both"/>
        <w:rPr>
          <w:rFonts w:ascii="Cambria" w:hAnsi="Cambria"/>
          <w:b w:val="0"/>
          <w:i w:val="0"/>
          <w:sz w:val="22"/>
          <w:szCs w:val="22"/>
        </w:rPr>
      </w:pPr>
    </w:p>
    <w:p w:rsidR="00F210A2" w:rsidRDefault="00F210A2" w:rsidP="00F210A2">
      <w:pPr>
        <w:spacing w:after="40"/>
        <w:ind w:left="360"/>
        <w:jc w:val="both"/>
        <w:rPr>
          <w:rFonts w:ascii="Cambria" w:hAnsi="Cambria"/>
          <w:b w:val="0"/>
          <w:i w:val="0"/>
          <w:sz w:val="22"/>
          <w:szCs w:val="22"/>
        </w:rPr>
      </w:pPr>
      <w:r w:rsidRPr="0035740F">
        <w:rPr>
          <w:rFonts w:ascii="Cambria" w:hAnsi="Cambria"/>
          <w:b w:val="0"/>
          <w:i w:val="0"/>
          <w:sz w:val="22"/>
          <w:szCs w:val="22"/>
        </w:rPr>
        <w:t xml:space="preserve">Extensive safety evaluation of </w:t>
      </w:r>
      <w:r w:rsidR="009227F2">
        <w:rPr>
          <w:rFonts w:ascii="Cambria" w:hAnsi="Cambria"/>
          <w:b w:val="0"/>
          <w:i w:val="0"/>
          <w:sz w:val="22"/>
          <w:szCs w:val="22"/>
        </w:rPr>
        <w:t>MON87701</w:t>
      </w:r>
      <w:r w:rsidRPr="0035740F">
        <w:rPr>
          <w:rFonts w:ascii="Cambria" w:hAnsi="Cambria"/>
          <w:b w:val="0"/>
          <w:i w:val="0"/>
          <w:sz w:val="22"/>
          <w:szCs w:val="22"/>
        </w:rPr>
        <w:t xml:space="preserve"> in terms of genetic stability, agronomic characteristics, food compositional analysis, and potential toxicity and </w:t>
      </w:r>
      <w:proofErr w:type="spellStart"/>
      <w:r w:rsidRPr="0035740F">
        <w:rPr>
          <w:rFonts w:ascii="Cambria" w:hAnsi="Cambria"/>
          <w:b w:val="0"/>
          <w:i w:val="0"/>
          <w:sz w:val="22"/>
          <w:szCs w:val="22"/>
        </w:rPr>
        <w:t>allergenicity</w:t>
      </w:r>
      <w:proofErr w:type="spellEnd"/>
      <w:r w:rsidRPr="0035740F">
        <w:rPr>
          <w:rFonts w:ascii="Cambria" w:hAnsi="Cambria"/>
          <w:b w:val="0"/>
          <w:i w:val="0"/>
          <w:sz w:val="22"/>
          <w:szCs w:val="22"/>
        </w:rPr>
        <w:t xml:space="preserve"> was undertaken by the concerned agencies [Bureau of Animal Industry (BAI), Bureau of </w:t>
      </w:r>
      <w:r>
        <w:rPr>
          <w:rFonts w:ascii="Cambria" w:hAnsi="Cambria"/>
          <w:b w:val="0"/>
          <w:i w:val="0"/>
          <w:sz w:val="22"/>
          <w:szCs w:val="22"/>
        </w:rPr>
        <w:t>Plant Industry- Plant Products Safety Services Division</w:t>
      </w:r>
      <w:r w:rsidRPr="0035740F">
        <w:rPr>
          <w:rFonts w:ascii="Cambria" w:hAnsi="Cambria"/>
          <w:b w:val="0"/>
          <w:i w:val="0"/>
          <w:sz w:val="22"/>
          <w:szCs w:val="22"/>
        </w:rPr>
        <w:t xml:space="preserve">] and a Scientific Technical Review Panel (STRP) following the </w:t>
      </w:r>
      <w:r>
        <w:rPr>
          <w:rFonts w:ascii="Cambria" w:hAnsi="Cambria"/>
          <w:b w:val="0"/>
          <w:i w:val="0"/>
          <w:sz w:val="22"/>
          <w:szCs w:val="22"/>
        </w:rPr>
        <w:t>JDC No. 1 s2016's</w:t>
      </w:r>
      <w:r w:rsidRPr="0035740F">
        <w:rPr>
          <w:rFonts w:ascii="Cambria" w:hAnsi="Cambria"/>
          <w:b w:val="0"/>
          <w:i w:val="0"/>
          <w:sz w:val="22"/>
          <w:szCs w:val="22"/>
        </w:rPr>
        <w:t xml:space="preserve"> guidelines for the release of genetically modified organisms.</w:t>
      </w:r>
      <w:r>
        <w:rPr>
          <w:rFonts w:ascii="Cambria" w:hAnsi="Cambria"/>
          <w:b w:val="0"/>
          <w:i w:val="0"/>
          <w:sz w:val="22"/>
          <w:szCs w:val="22"/>
        </w:rPr>
        <w:t xml:space="preserve"> Furthermore, DENR-BC and DOH-BC also did a thorough evaluation of the environmental risk and environmental health risk respectively.</w:t>
      </w:r>
    </w:p>
    <w:p w:rsidR="002B64A0" w:rsidRPr="0035740F" w:rsidRDefault="002B64A0" w:rsidP="002B64A0">
      <w:pPr>
        <w:spacing w:after="40"/>
        <w:ind w:left="360"/>
        <w:jc w:val="both"/>
        <w:rPr>
          <w:rFonts w:ascii="Cambria" w:hAnsi="Cambria"/>
          <w:b w:val="0"/>
          <w:i w:val="0"/>
          <w:sz w:val="22"/>
          <w:szCs w:val="22"/>
        </w:rPr>
      </w:pPr>
    </w:p>
    <w:p w:rsidR="00583495" w:rsidRDefault="009227F2" w:rsidP="00583495">
      <w:pPr>
        <w:spacing w:after="40"/>
        <w:ind w:left="360"/>
        <w:jc w:val="both"/>
        <w:rPr>
          <w:rFonts w:ascii="Cambria" w:hAnsi="Cambria"/>
          <w:b w:val="0"/>
          <w:bCs/>
          <w:i w:val="0"/>
          <w:iCs/>
          <w:sz w:val="22"/>
          <w:szCs w:val="22"/>
        </w:rPr>
      </w:pPr>
      <w:r>
        <w:rPr>
          <w:rFonts w:ascii="Cambria" w:hAnsi="Cambria"/>
          <w:b w:val="0"/>
          <w:i w:val="0"/>
          <w:sz w:val="22"/>
          <w:szCs w:val="22"/>
        </w:rPr>
        <w:t>Monsanto</w:t>
      </w:r>
      <w:r w:rsidR="00643883" w:rsidRPr="0035740F">
        <w:rPr>
          <w:rFonts w:ascii="Cambria" w:hAnsi="Cambria"/>
          <w:b w:val="0"/>
          <w:i w:val="0"/>
          <w:sz w:val="22"/>
          <w:szCs w:val="22"/>
        </w:rPr>
        <w:t xml:space="preserve"> </w:t>
      </w:r>
      <w:r w:rsidR="00583495" w:rsidRPr="0035740F">
        <w:rPr>
          <w:rFonts w:ascii="Cambria" w:hAnsi="Cambria"/>
          <w:b w:val="0"/>
          <w:bCs/>
          <w:i w:val="0"/>
          <w:iCs/>
          <w:sz w:val="22"/>
          <w:szCs w:val="22"/>
        </w:rPr>
        <w:t xml:space="preserve">provided data on the identity of </w:t>
      </w:r>
      <w:r>
        <w:rPr>
          <w:rFonts w:ascii="Cambria" w:hAnsi="Cambria"/>
          <w:b w:val="0"/>
          <w:bCs/>
          <w:i w:val="0"/>
          <w:iCs/>
          <w:sz w:val="22"/>
          <w:szCs w:val="22"/>
        </w:rPr>
        <w:t>MON87701</w:t>
      </w:r>
      <w:r w:rsidR="00583495" w:rsidRPr="0035740F">
        <w:rPr>
          <w:rFonts w:ascii="Cambria" w:hAnsi="Cambria"/>
          <w:b w:val="0"/>
          <w:bCs/>
          <w:i w:val="0"/>
          <w:iCs/>
          <w:sz w:val="22"/>
          <w:szCs w:val="22"/>
        </w:rPr>
        <w:t>, a detailed description of the transformation method, data and information on the gene insertion sites, copy number and levels of expression in the plant, the role of the inserted genes and regulatory sequences in donor organisms and full nucleotide sequences. The novel protein was identified, characterized and compared to the original bacterial protein, including an evaluation of their potential toxicity to livestock and non-target organisms. Relevant scientific publications were supplied.</w:t>
      </w:r>
    </w:p>
    <w:p w:rsidR="009227F2" w:rsidRPr="00F210A2" w:rsidRDefault="009227F2" w:rsidP="00583495">
      <w:pPr>
        <w:spacing w:after="40"/>
        <w:ind w:left="360"/>
        <w:jc w:val="both"/>
        <w:rPr>
          <w:rFonts w:ascii="Cambria" w:hAnsi="Cambria"/>
          <w:b w:val="0"/>
          <w:bCs/>
          <w:i w:val="0"/>
          <w:iCs/>
          <w:sz w:val="22"/>
          <w:szCs w:val="22"/>
        </w:rPr>
      </w:pPr>
    </w:p>
    <w:p w:rsidR="00583495" w:rsidRDefault="00A020AE" w:rsidP="00583495">
      <w:pPr>
        <w:spacing w:after="40"/>
        <w:ind w:left="360"/>
        <w:jc w:val="both"/>
        <w:rPr>
          <w:rFonts w:ascii="Cambria" w:hAnsi="Cambria"/>
          <w:b w:val="0"/>
          <w:i w:val="0"/>
          <w:sz w:val="22"/>
          <w:szCs w:val="22"/>
        </w:rPr>
      </w:pPr>
      <w:r>
        <w:rPr>
          <w:rFonts w:ascii="Cambria" w:hAnsi="Cambria"/>
          <w:b w:val="0"/>
          <w:i w:val="0"/>
          <w:sz w:val="22"/>
          <w:szCs w:val="22"/>
        </w:rPr>
        <w:lastRenderedPageBreak/>
        <w:t>The DA-Biosafety Committee evaluated the assessment of all agencies including the SEC experts and recommended for the approval of the said application</w:t>
      </w:r>
      <w:r w:rsidR="00583495" w:rsidRPr="0035740F">
        <w:rPr>
          <w:rFonts w:ascii="Cambria" w:hAnsi="Cambria"/>
          <w:b w:val="0"/>
          <w:i w:val="0"/>
          <w:sz w:val="22"/>
          <w:szCs w:val="22"/>
        </w:rPr>
        <w:t>.</w:t>
      </w:r>
      <w:r>
        <w:rPr>
          <w:rFonts w:ascii="Cambria" w:hAnsi="Cambria"/>
          <w:b w:val="0"/>
          <w:i w:val="0"/>
          <w:sz w:val="22"/>
          <w:szCs w:val="22"/>
        </w:rPr>
        <w:t xml:space="preserve"> </w:t>
      </w:r>
    </w:p>
    <w:p w:rsidR="00C92B6E" w:rsidRPr="0035740F" w:rsidRDefault="00C92B6E" w:rsidP="00583495">
      <w:pPr>
        <w:spacing w:after="40"/>
        <w:ind w:left="360"/>
        <w:jc w:val="both"/>
        <w:rPr>
          <w:rFonts w:ascii="Cambria" w:hAnsi="Cambria"/>
          <w:b w:val="0"/>
          <w:i w:val="0"/>
          <w:sz w:val="22"/>
          <w:szCs w:val="22"/>
        </w:rPr>
      </w:pPr>
    </w:p>
    <w:p w:rsidR="00583495" w:rsidRDefault="00264D1D" w:rsidP="00583495">
      <w:pPr>
        <w:spacing w:after="40"/>
        <w:jc w:val="both"/>
        <w:rPr>
          <w:rFonts w:ascii="Cambria" w:hAnsi="Cambria"/>
          <w:i w:val="0"/>
          <w:sz w:val="22"/>
          <w:szCs w:val="22"/>
        </w:rPr>
      </w:pPr>
      <w:r w:rsidRPr="0035740F">
        <w:rPr>
          <w:rFonts w:ascii="Cambria" w:hAnsi="Cambria"/>
          <w:i w:val="0"/>
          <w:sz w:val="22"/>
          <w:szCs w:val="22"/>
        </w:rPr>
        <w:t>Food and Feed Safety</w:t>
      </w:r>
    </w:p>
    <w:p w:rsidR="00193A4F" w:rsidRPr="00193A4F" w:rsidRDefault="00193A4F" w:rsidP="00583495">
      <w:pPr>
        <w:spacing w:after="40"/>
        <w:jc w:val="both"/>
        <w:rPr>
          <w:rFonts w:ascii="Cambria" w:hAnsi="Cambria"/>
          <w:i w:val="0"/>
          <w:sz w:val="22"/>
          <w:szCs w:val="22"/>
        </w:rPr>
      </w:pPr>
    </w:p>
    <w:p w:rsidR="00583495" w:rsidRPr="00193A4F" w:rsidRDefault="00583495" w:rsidP="00193A4F">
      <w:pPr>
        <w:pStyle w:val="Heading2"/>
        <w:numPr>
          <w:ilvl w:val="0"/>
          <w:numId w:val="5"/>
        </w:numPr>
        <w:tabs>
          <w:tab w:val="clear" w:pos="1080"/>
          <w:tab w:val="left" w:pos="540"/>
        </w:tabs>
        <w:spacing w:after="40"/>
        <w:ind w:hanging="1080"/>
        <w:jc w:val="both"/>
        <w:rPr>
          <w:rFonts w:ascii="Cambria" w:hAnsi="Cambria"/>
          <w:sz w:val="22"/>
          <w:szCs w:val="22"/>
          <w:u w:val="single"/>
        </w:rPr>
      </w:pPr>
      <w:r w:rsidRPr="00193A4F">
        <w:rPr>
          <w:rFonts w:ascii="Cambria" w:hAnsi="Cambria"/>
          <w:sz w:val="22"/>
          <w:szCs w:val="22"/>
          <w:u w:val="single"/>
        </w:rPr>
        <w:t xml:space="preserve">Description of Novel (Introduced) Traits </w:t>
      </w:r>
    </w:p>
    <w:p w:rsidR="00583495" w:rsidRPr="0035740F" w:rsidRDefault="00583495" w:rsidP="00583495">
      <w:pPr>
        <w:spacing w:after="40"/>
        <w:ind w:left="543"/>
        <w:jc w:val="both"/>
        <w:rPr>
          <w:rFonts w:ascii="Cambria" w:hAnsi="Cambria"/>
          <w:b w:val="0"/>
          <w:i w:val="0"/>
          <w:sz w:val="22"/>
          <w:szCs w:val="22"/>
        </w:rPr>
      </w:pPr>
    </w:p>
    <w:p w:rsidR="00583495" w:rsidRPr="0035740F" w:rsidRDefault="00B43BA1" w:rsidP="00583495">
      <w:pPr>
        <w:spacing w:after="40"/>
        <w:ind w:left="360"/>
        <w:jc w:val="both"/>
        <w:rPr>
          <w:rFonts w:ascii="Cambria" w:hAnsi="Cambria"/>
          <w:b w:val="0"/>
          <w:i w:val="0"/>
          <w:sz w:val="22"/>
          <w:szCs w:val="22"/>
        </w:rPr>
      </w:pPr>
      <w:r>
        <w:rPr>
          <w:rFonts w:ascii="Cambria" w:hAnsi="Cambria"/>
          <w:b w:val="0"/>
          <w:i w:val="0"/>
          <w:sz w:val="22"/>
          <w:szCs w:val="22"/>
        </w:rPr>
        <w:t>MON87701 soybean</w:t>
      </w:r>
      <w:r w:rsidR="007A6A94">
        <w:rPr>
          <w:rFonts w:ascii="Cambria" w:hAnsi="Cambria"/>
          <w:b w:val="0"/>
          <w:i w:val="0"/>
          <w:sz w:val="22"/>
          <w:szCs w:val="22"/>
        </w:rPr>
        <w:t xml:space="preserve"> contains </w:t>
      </w:r>
      <w:r w:rsidRPr="00B43BA1">
        <w:rPr>
          <w:rFonts w:ascii="Cambria" w:hAnsi="Cambria"/>
          <w:b w:val="0"/>
          <w:sz w:val="22"/>
          <w:szCs w:val="22"/>
        </w:rPr>
        <w:t>cry1Ac</w:t>
      </w:r>
      <w:r>
        <w:rPr>
          <w:rFonts w:ascii="Cambria" w:hAnsi="Cambria"/>
          <w:b w:val="0"/>
          <w:i w:val="0"/>
          <w:sz w:val="22"/>
          <w:szCs w:val="22"/>
        </w:rPr>
        <w:t xml:space="preserve"> gene conferring resistance</w:t>
      </w:r>
      <w:r w:rsidR="00B832F4">
        <w:rPr>
          <w:rFonts w:ascii="Cambria" w:hAnsi="Cambria"/>
          <w:b w:val="0"/>
          <w:i w:val="0"/>
          <w:sz w:val="22"/>
          <w:szCs w:val="22"/>
        </w:rPr>
        <w:t xml:space="preserve"> to lepidopteran insects by selectively damaging their midgut lining.</w:t>
      </w:r>
      <w:bookmarkStart w:id="0" w:name="_GoBack"/>
      <w:bookmarkEnd w:id="0"/>
      <w:r w:rsidR="007A6A94">
        <w:rPr>
          <w:rFonts w:ascii="Cambria" w:hAnsi="Cambria"/>
          <w:b w:val="0"/>
          <w:i w:val="0"/>
          <w:sz w:val="22"/>
          <w:szCs w:val="22"/>
        </w:rPr>
        <w:t xml:space="preserve"> </w:t>
      </w:r>
    </w:p>
    <w:p w:rsidR="00583495" w:rsidRPr="0035740F" w:rsidRDefault="00583495" w:rsidP="00583495">
      <w:pPr>
        <w:spacing w:after="40"/>
        <w:ind w:left="417"/>
        <w:jc w:val="both"/>
        <w:rPr>
          <w:rFonts w:ascii="Cambria" w:hAnsi="Cambria"/>
          <w:b w:val="0"/>
          <w:i w:val="0"/>
          <w:sz w:val="22"/>
          <w:szCs w:val="22"/>
        </w:rPr>
      </w:pPr>
    </w:p>
    <w:p w:rsidR="00583495" w:rsidRPr="0035740F" w:rsidRDefault="00583495" w:rsidP="00583495">
      <w:pPr>
        <w:pStyle w:val="Heading3"/>
        <w:spacing w:after="40"/>
        <w:ind w:left="417" w:firstLine="663"/>
        <w:jc w:val="both"/>
        <w:rPr>
          <w:rFonts w:ascii="Cambria" w:hAnsi="Cambria"/>
          <w:sz w:val="22"/>
          <w:szCs w:val="22"/>
        </w:rPr>
      </w:pPr>
      <w:r w:rsidRPr="0035740F">
        <w:rPr>
          <w:rFonts w:ascii="Cambria" w:hAnsi="Cambria"/>
          <w:sz w:val="22"/>
          <w:szCs w:val="22"/>
        </w:rPr>
        <w:t>Safety of the Expressed Proteins</w:t>
      </w:r>
    </w:p>
    <w:p w:rsidR="00583495" w:rsidRPr="0035740F" w:rsidRDefault="00583495" w:rsidP="00583495">
      <w:pPr>
        <w:spacing w:after="40"/>
        <w:ind w:left="360"/>
        <w:jc w:val="both"/>
        <w:rPr>
          <w:rFonts w:ascii="Cambria" w:hAnsi="Cambria"/>
          <w:b w:val="0"/>
          <w:i w:val="0"/>
          <w:color w:val="000000"/>
          <w:sz w:val="22"/>
          <w:szCs w:val="22"/>
        </w:rPr>
      </w:pPr>
    </w:p>
    <w:p w:rsidR="00A642E2" w:rsidRPr="00A642E2" w:rsidRDefault="00A642E2" w:rsidP="00A642E2">
      <w:pPr>
        <w:spacing w:after="40"/>
        <w:ind w:left="360"/>
        <w:jc w:val="both"/>
        <w:rPr>
          <w:rFonts w:ascii="Cambria" w:hAnsi="Cambria"/>
          <w:b w:val="0"/>
          <w:i w:val="0"/>
          <w:sz w:val="22"/>
          <w:szCs w:val="22"/>
        </w:rPr>
      </w:pPr>
      <w:r w:rsidRPr="00A642E2">
        <w:rPr>
          <w:rFonts w:ascii="Cambria" w:hAnsi="Cambria"/>
          <w:b w:val="0"/>
          <w:i w:val="0"/>
          <w:sz w:val="22"/>
          <w:szCs w:val="22"/>
        </w:rPr>
        <w:t xml:space="preserve">An evaluation on potential </w:t>
      </w:r>
      <w:proofErr w:type="spellStart"/>
      <w:r w:rsidRPr="00A642E2">
        <w:rPr>
          <w:rFonts w:ascii="Cambria" w:hAnsi="Cambria"/>
          <w:b w:val="0"/>
          <w:i w:val="0"/>
          <w:sz w:val="22"/>
          <w:szCs w:val="22"/>
        </w:rPr>
        <w:t>allergenicity</w:t>
      </w:r>
      <w:proofErr w:type="spellEnd"/>
      <w:r w:rsidRPr="00A642E2">
        <w:rPr>
          <w:rFonts w:ascii="Cambria" w:hAnsi="Cambria"/>
          <w:b w:val="0"/>
          <w:i w:val="0"/>
          <w:sz w:val="22"/>
          <w:szCs w:val="22"/>
        </w:rPr>
        <w:t xml:space="preserve"> of the </w:t>
      </w:r>
      <w:proofErr w:type="spellStart"/>
      <w:r w:rsidRPr="00A642E2">
        <w:rPr>
          <w:rFonts w:ascii="Cambria" w:hAnsi="Cambria"/>
          <w:b w:val="0"/>
          <w:i w:val="0"/>
          <w:sz w:val="22"/>
          <w:szCs w:val="22"/>
        </w:rPr>
        <w:t>CryAc</w:t>
      </w:r>
      <w:proofErr w:type="spellEnd"/>
      <w:r w:rsidRPr="00A642E2">
        <w:rPr>
          <w:rFonts w:ascii="Cambria" w:hAnsi="Cambria"/>
          <w:b w:val="0"/>
          <w:i w:val="0"/>
          <w:sz w:val="22"/>
          <w:szCs w:val="22"/>
        </w:rPr>
        <w:t xml:space="preserve"> protein based on safety of donor organism, structural similarity to known allergens, in vitro digestibility in simulated digestive fluids, </w:t>
      </w:r>
      <w:proofErr w:type="spellStart"/>
      <w:r w:rsidRPr="00A642E2">
        <w:rPr>
          <w:rFonts w:ascii="Cambria" w:hAnsi="Cambria"/>
          <w:b w:val="0"/>
          <w:i w:val="0"/>
          <w:sz w:val="22"/>
          <w:szCs w:val="22"/>
        </w:rPr>
        <w:t>CryAc</w:t>
      </w:r>
      <w:proofErr w:type="spellEnd"/>
      <w:r w:rsidRPr="00A642E2">
        <w:rPr>
          <w:rFonts w:ascii="Cambria" w:hAnsi="Cambria"/>
          <w:b w:val="0"/>
          <w:i w:val="0"/>
          <w:sz w:val="22"/>
          <w:szCs w:val="22"/>
        </w:rPr>
        <w:t xml:space="preserve"> protein as a proportion of total protein in MON 87701 were performed. </w:t>
      </w:r>
    </w:p>
    <w:p w:rsidR="00A642E2" w:rsidRPr="00A642E2" w:rsidRDefault="00A642E2" w:rsidP="00A642E2">
      <w:pPr>
        <w:spacing w:after="40"/>
        <w:ind w:left="360"/>
        <w:jc w:val="both"/>
        <w:rPr>
          <w:rFonts w:ascii="Cambria" w:hAnsi="Cambria"/>
          <w:b w:val="0"/>
          <w:i w:val="0"/>
          <w:sz w:val="22"/>
          <w:szCs w:val="22"/>
        </w:rPr>
      </w:pPr>
    </w:p>
    <w:p w:rsidR="00A642E2" w:rsidRDefault="00A642E2" w:rsidP="00A642E2">
      <w:pPr>
        <w:spacing w:after="40"/>
        <w:ind w:left="360"/>
        <w:jc w:val="both"/>
        <w:rPr>
          <w:rFonts w:ascii="Cambria" w:hAnsi="Cambria"/>
          <w:b w:val="0"/>
          <w:i w:val="0"/>
          <w:sz w:val="22"/>
          <w:szCs w:val="22"/>
        </w:rPr>
      </w:pPr>
      <w:r w:rsidRPr="00A642E2">
        <w:rPr>
          <w:rFonts w:ascii="Cambria" w:hAnsi="Cambria"/>
          <w:b w:val="0"/>
          <w:i w:val="0"/>
          <w:sz w:val="22"/>
          <w:szCs w:val="22"/>
        </w:rPr>
        <w:t>The donor organism, Bacillus thuringiensis (</w:t>
      </w:r>
      <w:proofErr w:type="spellStart"/>
      <w:proofErr w:type="gramStart"/>
      <w:r w:rsidRPr="00A642E2">
        <w:rPr>
          <w:rFonts w:ascii="Cambria" w:hAnsi="Cambria"/>
          <w:b w:val="0"/>
          <w:i w:val="0"/>
          <w:sz w:val="22"/>
          <w:szCs w:val="22"/>
        </w:rPr>
        <w:t>Bt</w:t>
      </w:r>
      <w:proofErr w:type="spellEnd"/>
      <w:proofErr w:type="gramEnd"/>
      <w:r w:rsidRPr="00A642E2">
        <w:rPr>
          <w:rFonts w:ascii="Cambria" w:hAnsi="Cambria"/>
          <w:b w:val="0"/>
          <w:i w:val="0"/>
          <w:sz w:val="22"/>
          <w:szCs w:val="22"/>
        </w:rPr>
        <w:t xml:space="preserve">) subsp. </w:t>
      </w:r>
      <w:proofErr w:type="spellStart"/>
      <w:r w:rsidRPr="00A642E2">
        <w:rPr>
          <w:rFonts w:ascii="Cambria" w:hAnsi="Cambria"/>
          <w:b w:val="0"/>
          <w:i w:val="0"/>
          <w:sz w:val="22"/>
          <w:szCs w:val="22"/>
        </w:rPr>
        <w:t>kurstaki</w:t>
      </w:r>
      <w:proofErr w:type="spellEnd"/>
      <w:r w:rsidRPr="00A642E2">
        <w:rPr>
          <w:rFonts w:ascii="Cambria" w:hAnsi="Cambria"/>
          <w:b w:val="0"/>
          <w:i w:val="0"/>
          <w:sz w:val="22"/>
          <w:szCs w:val="22"/>
        </w:rPr>
        <w:t xml:space="preserve">, is a gram-positive bacterium that is commonly found in soil and has been used commercially in agriculture for pest control. Microbial pesticides containing B. thuringiensis </w:t>
      </w:r>
      <w:proofErr w:type="gramStart"/>
      <w:r w:rsidRPr="00A642E2">
        <w:rPr>
          <w:rFonts w:ascii="Cambria" w:hAnsi="Cambria"/>
          <w:b w:val="0"/>
          <w:i w:val="0"/>
          <w:sz w:val="22"/>
          <w:szCs w:val="22"/>
        </w:rPr>
        <w:t>Cry</w:t>
      </w:r>
      <w:proofErr w:type="gramEnd"/>
      <w:r w:rsidRPr="00A642E2">
        <w:rPr>
          <w:rFonts w:ascii="Cambria" w:hAnsi="Cambria"/>
          <w:b w:val="0"/>
          <w:i w:val="0"/>
          <w:sz w:val="22"/>
          <w:szCs w:val="22"/>
        </w:rPr>
        <w:t xml:space="preserve"> proteins have been used for more than 45 years and subjected to extensive toxicity testing showing no adverse effects to human health. There are no known reports of allergies to Bacillus thuringiensis or to the proteins produced by Bacillus thuringiensis. </w:t>
      </w:r>
    </w:p>
    <w:p w:rsidR="00A642E2" w:rsidRDefault="00A642E2" w:rsidP="00A642E2">
      <w:pPr>
        <w:spacing w:after="40"/>
        <w:ind w:left="360"/>
        <w:jc w:val="both"/>
        <w:rPr>
          <w:rFonts w:ascii="Cambria" w:hAnsi="Cambria"/>
          <w:b w:val="0"/>
          <w:i w:val="0"/>
          <w:sz w:val="22"/>
          <w:szCs w:val="22"/>
        </w:rPr>
      </w:pPr>
    </w:p>
    <w:p w:rsidR="00583495" w:rsidRDefault="00A642E2" w:rsidP="00A642E2">
      <w:pPr>
        <w:spacing w:after="40"/>
        <w:ind w:left="360"/>
        <w:jc w:val="both"/>
        <w:rPr>
          <w:rFonts w:ascii="Cambria" w:hAnsi="Cambria"/>
          <w:b w:val="0"/>
          <w:i w:val="0"/>
          <w:sz w:val="22"/>
          <w:szCs w:val="22"/>
        </w:rPr>
      </w:pPr>
      <w:r w:rsidRPr="00A642E2">
        <w:rPr>
          <w:rFonts w:ascii="Cambria" w:hAnsi="Cambria"/>
          <w:b w:val="0"/>
          <w:i w:val="0"/>
          <w:sz w:val="22"/>
          <w:szCs w:val="22"/>
        </w:rPr>
        <w:t xml:space="preserve">The </w:t>
      </w:r>
      <w:proofErr w:type="spellStart"/>
      <w:r w:rsidRPr="00A642E2">
        <w:rPr>
          <w:rFonts w:ascii="Cambria" w:hAnsi="Cambria"/>
          <w:b w:val="0"/>
          <w:i w:val="0"/>
          <w:sz w:val="22"/>
          <w:szCs w:val="22"/>
        </w:rPr>
        <w:t>CryAc</w:t>
      </w:r>
      <w:proofErr w:type="spellEnd"/>
      <w:r w:rsidRPr="00A642E2">
        <w:rPr>
          <w:rFonts w:ascii="Cambria" w:hAnsi="Cambria"/>
          <w:b w:val="0"/>
          <w:i w:val="0"/>
          <w:sz w:val="22"/>
          <w:szCs w:val="22"/>
        </w:rPr>
        <w:t xml:space="preserve"> protein represents no more than 0.0012% of the total protein in the seed of MON 87701.  Therefore, the </w:t>
      </w:r>
      <w:proofErr w:type="spellStart"/>
      <w:r w:rsidRPr="00A642E2">
        <w:rPr>
          <w:rFonts w:ascii="Cambria" w:hAnsi="Cambria"/>
          <w:b w:val="0"/>
          <w:i w:val="0"/>
          <w:sz w:val="22"/>
          <w:szCs w:val="22"/>
        </w:rPr>
        <w:t>CryAc</w:t>
      </w:r>
      <w:proofErr w:type="spellEnd"/>
      <w:r w:rsidRPr="00A642E2">
        <w:rPr>
          <w:rFonts w:ascii="Cambria" w:hAnsi="Cambria"/>
          <w:b w:val="0"/>
          <w:i w:val="0"/>
          <w:sz w:val="22"/>
          <w:szCs w:val="22"/>
        </w:rPr>
        <w:t xml:space="preserve"> protein would constitute a very small portion of the total protein present in feed and food derived from MON 87701.  Bioinformatics analyses demonstrated that the </w:t>
      </w:r>
      <w:proofErr w:type="spellStart"/>
      <w:r w:rsidRPr="00A642E2">
        <w:rPr>
          <w:rFonts w:ascii="Cambria" w:hAnsi="Cambria"/>
          <w:b w:val="0"/>
          <w:i w:val="0"/>
          <w:sz w:val="22"/>
          <w:szCs w:val="22"/>
        </w:rPr>
        <w:t>CryAc</w:t>
      </w:r>
      <w:proofErr w:type="spellEnd"/>
      <w:r w:rsidRPr="00A642E2">
        <w:rPr>
          <w:rFonts w:ascii="Cambria" w:hAnsi="Cambria"/>
          <w:b w:val="0"/>
          <w:i w:val="0"/>
          <w:sz w:val="22"/>
          <w:szCs w:val="22"/>
        </w:rPr>
        <w:t xml:space="preserve"> protein do not share structurally or immunologically relevant amino acid sequence similarities with known allergens.  Thus, it is highly unlikely that the </w:t>
      </w:r>
      <w:proofErr w:type="spellStart"/>
      <w:r w:rsidRPr="00A642E2">
        <w:rPr>
          <w:rFonts w:ascii="Cambria" w:hAnsi="Cambria"/>
          <w:b w:val="0"/>
          <w:i w:val="0"/>
          <w:sz w:val="22"/>
          <w:szCs w:val="22"/>
        </w:rPr>
        <w:t>CryAc</w:t>
      </w:r>
      <w:proofErr w:type="spellEnd"/>
      <w:r w:rsidRPr="00A642E2">
        <w:rPr>
          <w:rFonts w:ascii="Cambria" w:hAnsi="Cambria"/>
          <w:b w:val="0"/>
          <w:i w:val="0"/>
          <w:sz w:val="22"/>
          <w:szCs w:val="22"/>
        </w:rPr>
        <w:t xml:space="preserve"> protein contains immunologically cross-reactive allergenic epitopes.   Digestive fate experiments conducted with E. coli-produced </w:t>
      </w:r>
      <w:proofErr w:type="spellStart"/>
      <w:r w:rsidRPr="00A642E2">
        <w:rPr>
          <w:rFonts w:ascii="Cambria" w:hAnsi="Cambria"/>
          <w:b w:val="0"/>
          <w:i w:val="0"/>
          <w:sz w:val="22"/>
          <w:szCs w:val="22"/>
        </w:rPr>
        <w:t>CryAc</w:t>
      </w:r>
      <w:proofErr w:type="spellEnd"/>
      <w:r w:rsidRPr="00A642E2">
        <w:rPr>
          <w:rFonts w:ascii="Cambria" w:hAnsi="Cambria"/>
          <w:b w:val="0"/>
          <w:i w:val="0"/>
          <w:sz w:val="22"/>
          <w:szCs w:val="22"/>
        </w:rPr>
        <w:t xml:space="preserve"> demonstrated that the protein is rapidly digested in simulated digestive fluids, a characteristic shared among proteins with a history of safe consumption.  Taken together, these data support the conclusion that the </w:t>
      </w:r>
      <w:proofErr w:type="spellStart"/>
      <w:r w:rsidRPr="00A642E2">
        <w:rPr>
          <w:rFonts w:ascii="Cambria" w:hAnsi="Cambria"/>
          <w:b w:val="0"/>
          <w:i w:val="0"/>
          <w:sz w:val="22"/>
          <w:szCs w:val="22"/>
        </w:rPr>
        <w:t>CryAc</w:t>
      </w:r>
      <w:proofErr w:type="spellEnd"/>
      <w:r w:rsidRPr="00A642E2">
        <w:rPr>
          <w:rFonts w:ascii="Cambria" w:hAnsi="Cambria"/>
          <w:b w:val="0"/>
          <w:i w:val="0"/>
          <w:sz w:val="22"/>
          <w:szCs w:val="22"/>
        </w:rPr>
        <w:t xml:space="preserve"> protein presents in MON 87701 is not similar to known allergens and does not pose a significant allergenic risk to humans or animals.</w:t>
      </w:r>
    </w:p>
    <w:p w:rsidR="00A642E2" w:rsidRPr="0035740F" w:rsidRDefault="00A642E2" w:rsidP="00A642E2">
      <w:pPr>
        <w:spacing w:after="40"/>
        <w:ind w:left="360"/>
        <w:jc w:val="both"/>
        <w:rPr>
          <w:rFonts w:ascii="Cambria" w:hAnsi="Cambria"/>
          <w:b w:val="0"/>
          <w:i w:val="0"/>
          <w:sz w:val="22"/>
          <w:szCs w:val="22"/>
        </w:rPr>
      </w:pPr>
    </w:p>
    <w:p w:rsidR="00583495" w:rsidRPr="0035740F" w:rsidRDefault="00583495" w:rsidP="00583495">
      <w:pPr>
        <w:pStyle w:val="Heading2"/>
        <w:tabs>
          <w:tab w:val="clear" w:pos="1080"/>
          <w:tab w:val="num" w:pos="540"/>
        </w:tabs>
        <w:spacing w:after="40"/>
        <w:ind w:hanging="1080"/>
        <w:jc w:val="both"/>
        <w:rPr>
          <w:rFonts w:ascii="Cambria" w:hAnsi="Cambria"/>
          <w:sz w:val="22"/>
          <w:szCs w:val="22"/>
          <w:u w:val="single"/>
        </w:rPr>
      </w:pPr>
      <w:r w:rsidRPr="0035740F">
        <w:rPr>
          <w:rFonts w:ascii="Cambria" w:hAnsi="Cambria"/>
          <w:sz w:val="22"/>
          <w:szCs w:val="22"/>
          <w:u w:val="single"/>
        </w:rPr>
        <w:t>Nutritional Composition (Compositional Analysis)</w:t>
      </w:r>
    </w:p>
    <w:p w:rsidR="00583495" w:rsidRPr="0035740F" w:rsidRDefault="00583495" w:rsidP="00583495">
      <w:pPr>
        <w:spacing w:after="40"/>
        <w:ind w:left="360"/>
        <w:jc w:val="both"/>
        <w:rPr>
          <w:rFonts w:ascii="Cambria" w:hAnsi="Cambria"/>
          <w:b w:val="0"/>
          <w:i w:val="0"/>
          <w:sz w:val="22"/>
          <w:szCs w:val="22"/>
        </w:rPr>
      </w:pPr>
    </w:p>
    <w:p w:rsidR="00A642E2" w:rsidRPr="00A642E2" w:rsidRDefault="00A642E2" w:rsidP="00A642E2">
      <w:pPr>
        <w:ind w:left="360"/>
        <w:jc w:val="both"/>
        <w:rPr>
          <w:rFonts w:ascii="Cambria" w:hAnsi="Cambria" w:cs="Tahoma"/>
          <w:b w:val="0"/>
          <w:i w:val="0"/>
          <w:sz w:val="22"/>
          <w:szCs w:val="22"/>
        </w:rPr>
      </w:pPr>
      <w:r w:rsidRPr="00A642E2">
        <w:rPr>
          <w:rFonts w:ascii="Cambria" w:hAnsi="Cambria" w:cs="Tahoma"/>
          <w:b w:val="0"/>
          <w:i w:val="0"/>
          <w:sz w:val="22"/>
          <w:szCs w:val="22"/>
        </w:rPr>
        <w:t xml:space="preserve">Compositional analyses were conducted on the forage and seed collected from MON 87701, the conventional soybean control (A5547), and twenty unique commercial conventional soybean varieties grown at five replicated trial sites in a 2007 U.S. field production. Seeds were planted in a randomized complete block design with three replicates per block for MON 87701, the control, and reference soybean varieties. Samples from all three replicates of MON 87701 and control plots at each site were analyzed, whereas one replicate of the twenty unique commercial conventional soybean varieties planted across sites was analyzed. Analysis of a single replicate from each unique reference variety was sufficient to establish a 99% tolerance interval for each </w:t>
      </w:r>
      <w:proofErr w:type="spellStart"/>
      <w:r w:rsidRPr="00A642E2">
        <w:rPr>
          <w:rFonts w:ascii="Cambria" w:hAnsi="Cambria" w:cs="Tahoma"/>
          <w:b w:val="0"/>
          <w:i w:val="0"/>
          <w:sz w:val="22"/>
          <w:szCs w:val="22"/>
        </w:rPr>
        <w:t>analyte</w:t>
      </w:r>
      <w:proofErr w:type="spellEnd"/>
      <w:r w:rsidRPr="00A642E2">
        <w:rPr>
          <w:rFonts w:ascii="Cambria" w:hAnsi="Cambria" w:cs="Tahoma"/>
          <w:b w:val="0"/>
          <w:i w:val="0"/>
          <w:sz w:val="22"/>
          <w:szCs w:val="22"/>
        </w:rPr>
        <w:t xml:space="preserve">, as described below. All samples were collected from plants grown under normal agronomic field conditions for their respective geographic regions. A total of 64 compositional </w:t>
      </w:r>
      <w:proofErr w:type="spellStart"/>
      <w:r w:rsidRPr="00A642E2">
        <w:rPr>
          <w:rFonts w:ascii="Cambria" w:hAnsi="Cambria" w:cs="Tahoma"/>
          <w:b w:val="0"/>
          <w:i w:val="0"/>
          <w:sz w:val="22"/>
          <w:szCs w:val="22"/>
        </w:rPr>
        <w:t>analytes</w:t>
      </w:r>
      <w:proofErr w:type="spellEnd"/>
      <w:r w:rsidRPr="00A642E2">
        <w:rPr>
          <w:rFonts w:ascii="Cambria" w:hAnsi="Cambria" w:cs="Tahoma"/>
          <w:b w:val="0"/>
          <w:i w:val="0"/>
          <w:sz w:val="22"/>
          <w:szCs w:val="22"/>
        </w:rPr>
        <w:t xml:space="preserve"> (seven in forage and 57 in seed) were evaluated.</w:t>
      </w:r>
    </w:p>
    <w:p w:rsidR="00A642E2" w:rsidRPr="00A642E2" w:rsidRDefault="00A642E2" w:rsidP="00A642E2">
      <w:pPr>
        <w:ind w:left="360"/>
        <w:jc w:val="both"/>
        <w:rPr>
          <w:rFonts w:ascii="Cambria" w:hAnsi="Cambria" w:cs="Tahoma"/>
          <w:b w:val="0"/>
          <w:i w:val="0"/>
          <w:sz w:val="22"/>
          <w:szCs w:val="22"/>
        </w:rPr>
      </w:pPr>
    </w:p>
    <w:p w:rsidR="00A642E2" w:rsidRPr="00A642E2" w:rsidRDefault="00A642E2" w:rsidP="00A642E2">
      <w:pPr>
        <w:ind w:left="360"/>
        <w:jc w:val="both"/>
        <w:rPr>
          <w:rFonts w:ascii="Cambria" w:hAnsi="Cambria" w:cs="Tahoma"/>
          <w:b w:val="0"/>
          <w:i w:val="0"/>
          <w:sz w:val="22"/>
          <w:szCs w:val="22"/>
        </w:rPr>
      </w:pPr>
      <w:r w:rsidRPr="00A642E2">
        <w:rPr>
          <w:rFonts w:ascii="Cambria" w:hAnsi="Cambria" w:cs="Tahoma"/>
          <w:b w:val="0"/>
          <w:i w:val="0"/>
          <w:sz w:val="22"/>
          <w:szCs w:val="22"/>
        </w:rPr>
        <w:lastRenderedPageBreak/>
        <w:t xml:space="preserve">There were no significant differences in the seven comparisons for forage between MON 87701 and the conventional soybean control in the combined-site analysis. For seed, no significant differences were detected in 27 of 40 nutrient </w:t>
      </w:r>
      <w:proofErr w:type="spellStart"/>
      <w:r w:rsidRPr="00A642E2">
        <w:rPr>
          <w:rFonts w:ascii="Cambria" w:hAnsi="Cambria" w:cs="Tahoma"/>
          <w:b w:val="0"/>
          <w:i w:val="0"/>
          <w:sz w:val="22"/>
          <w:szCs w:val="22"/>
        </w:rPr>
        <w:t>analyte</w:t>
      </w:r>
      <w:proofErr w:type="spellEnd"/>
      <w:r w:rsidRPr="00A642E2">
        <w:rPr>
          <w:rFonts w:ascii="Cambria" w:hAnsi="Cambria" w:cs="Tahoma"/>
          <w:b w:val="0"/>
          <w:i w:val="0"/>
          <w:sz w:val="22"/>
          <w:szCs w:val="22"/>
        </w:rPr>
        <w:t xml:space="preserve"> comparisons made between MON 87701 and the conventional soybean control in the combined-site analysis. Statistically significant differences (p&lt;0.05) were detected for 13 </w:t>
      </w:r>
      <w:proofErr w:type="spellStart"/>
      <w:r w:rsidRPr="00A642E2">
        <w:rPr>
          <w:rFonts w:ascii="Cambria" w:hAnsi="Cambria" w:cs="Tahoma"/>
          <w:b w:val="0"/>
          <w:i w:val="0"/>
          <w:sz w:val="22"/>
          <w:szCs w:val="22"/>
        </w:rPr>
        <w:t>analytes</w:t>
      </w:r>
      <w:proofErr w:type="spellEnd"/>
      <w:r w:rsidRPr="00A642E2">
        <w:rPr>
          <w:rFonts w:ascii="Cambria" w:hAnsi="Cambria" w:cs="Tahoma"/>
          <w:b w:val="0"/>
          <w:i w:val="0"/>
          <w:sz w:val="22"/>
          <w:szCs w:val="22"/>
        </w:rPr>
        <w:t xml:space="preserve"> in seed: protein, nine amino acids (alanine, glycine, histidine, isoleucine, leucine, lysine, serine, threonine, and valine), 22:0 </w:t>
      </w:r>
      <w:proofErr w:type="spellStart"/>
      <w:r w:rsidRPr="00A642E2">
        <w:rPr>
          <w:rFonts w:ascii="Cambria" w:hAnsi="Cambria" w:cs="Tahoma"/>
          <w:b w:val="0"/>
          <w:i w:val="0"/>
          <w:sz w:val="22"/>
          <w:szCs w:val="22"/>
        </w:rPr>
        <w:t>behenic</w:t>
      </w:r>
      <w:proofErr w:type="spellEnd"/>
      <w:r w:rsidRPr="00A642E2">
        <w:rPr>
          <w:rFonts w:ascii="Cambria" w:hAnsi="Cambria" w:cs="Tahoma"/>
          <w:b w:val="0"/>
          <w:i w:val="0"/>
          <w:sz w:val="22"/>
          <w:szCs w:val="22"/>
        </w:rPr>
        <w:t xml:space="preserve"> acid, carbohydrates, and vitamin E. The magnitude of these differences were generally small (most &lt;5%), except in the case of vitamin E. However, these were not observed consistently across all sites (individual-site analyses), and the mean value for MON 87701 were within the calculated 99% tolerance interval for the population of commercial conventional soybean varieties grown concurrently at the same field site. </w:t>
      </w:r>
    </w:p>
    <w:p w:rsidR="00A642E2" w:rsidRPr="00A642E2" w:rsidRDefault="00A642E2" w:rsidP="00A642E2">
      <w:pPr>
        <w:ind w:left="360"/>
        <w:jc w:val="both"/>
        <w:rPr>
          <w:rFonts w:ascii="Cambria" w:hAnsi="Cambria" w:cs="Tahoma"/>
          <w:b w:val="0"/>
          <w:i w:val="0"/>
          <w:sz w:val="22"/>
          <w:szCs w:val="22"/>
        </w:rPr>
      </w:pPr>
    </w:p>
    <w:p w:rsidR="005D7DCE" w:rsidRPr="00D603F1" w:rsidRDefault="00A642E2" w:rsidP="00A642E2">
      <w:pPr>
        <w:ind w:left="360"/>
        <w:jc w:val="both"/>
        <w:rPr>
          <w:rFonts w:ascii="Cambria" w:hAnsi="Cambria" w:cs="Tahoma"/>
          <w:b w:val="0"/>
          <w:i w:val="0"/>
          <w:sz w:val="22"/>
          <w:szCs w:val="22"/>
        </w:rPr>
      </w:pPr>
      <w:r w:rsidRPr="00A642E2">
        <w:rPr>
          <w:rFonts w:ascii="Cambria" w:hAnsi="Cambria" w:cs="Tahoma"/>
          <w:b w:val="0"/>
          <w:i w:val="0"/>
          <w:sz w:val="22"/>
          <w:szCs w:val="22"/>
        </w:rPr>
        <w:t xml:space="preserve">Therefore, it is concluded that these differences were not regarded as biologically relevant. Soybean seed and forage </w:t>
      </w:r>
      <w:proofErr w:type="spellStart"/>
      <w:r w:rsidRPr="00A642E2">
        <w:rPr>
          <w:rFonts w:ascii="Cambria" w:hAnsi="Cambria" w:cs="Tahoma"/>
          <w:b w:val="0"/>
          <w:i w:val="0"/>
          <w:sz w:val="22"/>
          <w:szCs w:val="22"/>
        </w:rPr>
        <w:t>analyte</w:t>
      </w:r>
      <w:proofErr w:type="spellEnd"/>
      <w:r w:rsidRPr="00A642E2">
        <w:rPr>
          <w:rFonts w:ascii="Cambria" w:hAnsi="Cambria" w:cs="Tahoma"/>
          <w:b w:val="0"/>
          <w:i w:val="0"/>
          <w:sz w:val="22"/>
          <w:szCs w:val="22"/>
        </w:rPr>
        <w:t xml:space="preserve"> values were also comparable to values published in the scientific literature and reported in ILSI-CCD. This further supports the conclusion that the soybean seed and forage from MON 87701 are compositionally equivalent to those of conventional soybean.</w:t>
      </w:r>
    </w:p>
    <w:p w:rsidR="00583495" w:rsidRPr="0035740F" w:rsidRDefault="00583495" w:rsidP="00583495">
      <w:pPr>
        <w:spacing w:after="40"/>
        <w:ind w:left="360"/>
        <w:jc w:val="both"/>
        <w:rPr>
          <w:rFonts w:ascii="Cambria" w:hAnsi="Cambria"/>
          <w:b w:val="0"/>
          <w:i w:val="0"/>
          <w:sz w:val="22"/>
          <w:szCs w:val="22"/>
        </w:rPr>
      </w:pPr>
    </w:p>
    <w:p w:rsidR="007756B8" w:rsidRPr="00193A4F" w:rsidRDefault="00583495" w:rsidP="00193A4F">
      <w:pPr>
        <w:pStyle w:val="Heading2"/>
        <w:tabs>
          <w:tab w:val="clear" w:pos="1080"/>
          <w:tab w:val="num" w:pos="900"/>
        </w:tabs>
        <w:ind w:left="630" w:hanging="810"/>
        <w:rPr>
          <w:rFonts w:asciiTheme="majorHAnsi" w:hAnsiTheme="majorHAnsi"/>
          <w:sz w:val="22"/>
          <w:szCs w:val="22"/>
          <w:u w:val="single"/>
        </w:rPr>
      </w:pPr>
      <w:r w:rsidRPr="00193A4F">
        <w:rPr>
          <w:rFonts w:asciiTheme="majorHAnsi" w:hAnsiTheme="majorHAnsi"/>
          <w:sz w:val="22"/>
          <w:szCs w:val="22"/>
          <w:u w:val="single"/>
        </w:rPr>
        <w:t>Anti-Nutritional Factors</w:t>
      </w:r>
    </w:p>
    <w:p w:rsidR="00870BC3" w:rsidRPr="00870BC3" w:rsidRDefault="00870BC3" w:rsidP="00870BC3">
      <w:pPr>
        <w:spacing w:after="40"/>
        <w:jc w:val="both"/>
        <w:rPr>
          <w:rFonts w:ascii="Cambria" w:hAnsi="Cambria"/>
          <w:b w:val="0"/>
          <w:i w:val="0"/>
          <w:sz w:val="22"/>
          <w:szCs w:val="22"/>
        </w:rPr>
      </w:pPr>
    </w:p>
    <w:p w:rsidR="00870BC3" w:rsidRPr="00870BC3" w:rsidRDefault="00870BC3" w:rsidP="00870BC3">
      <w:pPr>
        <w:spacing w:after="40"/>
        <w:ind w:left="360"/>
        <w:jc w:val="both"/>
        <w:rPr>
          <w:rFonts w:ascii="Cambria" w:hAnsi="Cambria"/>
          <w:b w:val="0"/>
          <w:i w:val="0"/>
          <w:sz w:val="22"/>
          <w:szCs w:val="22"/>
        </w:rPr>
      </w:pPr>
      <w:r w:rsidRPr="00870BC3">
        <w:rPr>
          <w:rFonts w:ascii="Cambria" w:hAnsi="Cambria"/>
          <w:b w:val="0"/>
          <w:i w:val="0"/>
          <w:sz w:val="22"/>
          <w:szCs w:val="22"/>
        </w:rPr>
        <w:t xml:space="preserve">The levels of anti-nutrient in MON 87701 are compositionally equivalent to that of the conventional soybean.  In addition, MON 87701 is intended to provide insect protection; therefore, no changes should be anticipated on amount of material consumed, the characteristics of the edible parts of the plant or in the use pattern and processing procedure of MON 87701, compared to conventional soybean.   </w:t>
      </w:r>
    </w:p>
    <w:p w:rsidR="00870BC3" w:rsidRPr="00870BC3" w:rsidRDefault="00870BC3" w:rsidP="00870BC3">
      <w:pPr>
        <w:spacing w:after="40"/>
        <w:jc w:val="both"/>
        <w:rPr>
          <w:rFonts w:ascii="Cambria" w:hAnsi="Cambria"/>
          <w:b w:val="0"/>
          <w:i w:val="0"/>
          <w:sz w:val="22"/>
          <w:szCs w:val="22"/>
        </w:rPr>
      </w:pPr>
    </w:p>
    <w:p w:rsidR="007756B8" w:rsidRDefault="00870BC3" w:rsidP="00870BC3">
      <w:pPr>
        <w:spacing w:after="40"/>
        <w:ind w:left="360"/>
        <w:jc w:val="both"/>
        <w:rPr>
          <w:rFonts w:ascii="Cambria" w:hAnsi="Cambria"/>
          <w:b w:val="0"/>
          <w:i w:val="0"/>
          <w:sz w:val="22"/>
          <w:szCs w:val="22"/>
        </w:rPr>
      </w:pPr>
      <w:r w:rsidRPr="00870BC3">
        <w:rPr>
          <w:rFonts w:ascii="Cambria" w:hAnsi="Cambria"/>
          <w:b w:val="0"/>
          <w:i w:val="0"/>
          <w:sz w:val="22"/>
          <w:szCs w:val="22"/>
        </w:rPr>
        <w:t>In general, soybean processing for food use includes various procedures such as steam cooking, baking, drying and cooling, fermenting, roller milling, grinding and etc. Some degree of heating, mechanical and chemical disruption may accompany those processes, which may or may not affect the level of anti-nutrients. Nevertheless, the level of anti-nutrients in processed products of MON 87701 and the conventional control would be expected to be similar, as there was no difference in the levels of anti-nutrients in MON 87701 compared to control soybean.</w:t>
      </w:r>
    </w:p>
    <w:p w:rsidR="003B2619" w:rsidRDefault="00ED27D2" w:rsidP="003B2619">
      <w:pPr>
        <w:spacing w:after="40"/>
        <w:ind w:left="360"/>
        <w:jc w:val="both"/>
        <w:rPr>
          <w:rFonts w:ascii="Cambria" w:hAnsi="Cambria"/>
          <w:sz w:val="22"/>
          <w:szCs w:val="22"/>
          <w:u w:val="single"/>
        </w:rPr>
      </w:pPr>
      <w:r>
        <w:rPr>
          <w:rFonts w:ascii="Cambria" w:hAnsi="Cambria"/>
          <w:b w:val="0"/>
          <w:i w:val="0"/>
          <w:noProof/>
          <w:sz w:val="22"/>
          <w:szCs w:val="22"/>
          <w:lang w:val="en-PH" w:eastAsia="en-PH"/>
        </w:rPr>
        <mc:AlternateContent>
          <mc:Choice Requires="wps">
            <w:drawing>
              <wp:anchor distT="0" distB="0" distL="114300" distR="114300" simplePos="0" relativeHeight="251658240" behindDoc="0" locked="0" layoutInCell="1" allowOverlap="1">
                <wp:simplePos x="0" y="0"/>
                <wp:positionH relativeFrom="column">
                  <wp:posOffset>-229235</wp:posOffset>
                </wp:positionH>
                <wp:positionV relativeFrom="paragraph">
                  <wp:posOffset>1905</wp:posOffset>
                </wp:positionV>
                <wp:extent cx="6673215" cy="0"/>
                <wp:effectExtent l="8890" t="13335" r="13970"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3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9FDFD0" id="_x0000_t32" coordsize="21600,21600" o:spt="32" o:oned="t" path="m,l21600,21600e" filled="f">
                <v:path arrowok="t" fillok="f" o:connecttype="none"/>
                <o:lock v:ext="edit" shapetype="t"/>
              </v:shapetype>
              <v:shape id="AutoShape 2" o:spid="_x0000_s1026" type="#_x0000_t32" style="position:absolute;margin-left:-18.05pt;margin-top:.15pt;width:525.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W0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9SXZ9A2B6tS7oxPkJ7kq35R9LtFUpUtkQ0Pxm9nDb6J94jeufiL1RBkP3xWDGwI4Ida&#10;nWrTe0ioAjqFlpxvLeEnhyg8zuePD2ky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"/>
            </w:pict>
          </mc:Fallback>
        </mc:AlternateContent>
      </w:r>
    </w:p>
    <w:p w:rsidR="007756B8" w:rsidRPr="003B2619" w:rsidRDefault="007756B8" w:rsidP="008F125F">
      <w:pPr>
        <w:spacing w:after="40"/>
        <w:ind w:left="90"/>
        <w:jc w:val="both"/>
        <w:rPr>
          <w:rFonts w:ascii="Cambria" w:hAnsi="Cambria"/>
          <w:i w:val="0"/>
          <w:sz w:val="22"/>
          <w:szCs w:val="22"/>
        </w:rPr>
      </w:pPr>
      <w:r w:rsidRPr="003B2619">
        <w:rPr>
          <w:rFonts w:ascii="Cambria" w:hAnsi="Cambria"/>
          <w:i w:val="0"/>
          <w:sz w:val="22"/>
          <w:szCs w:val="22"/>
        </w:rPr>
        <w:t>Environmental Risk Assessment</w:t>
      </w:r>
    </w:p>
    <w:p w:rsidR="007756B8" w:rsidRPr="0035740F" w:rsidRDefault="007756B8" w:rsidP="007756B8">
      <w:pPr>
        <w:spacing w:after="40"/>
        <w:rPr>
          <w:rFonts w:ascii="Cambria" w:hAnsi="Cambria"/>
          <w:sz w:val="22"/>
          <w:szCs w:val="22"/>
        </w:rPr>
      </w:pPr>
    </w:p>
    <w:p w:rsidR="003B2619" w:rsidRDefault="00D67BAD" w:rsidP="003B2619">
      <w:pPr>
        <w:spacing w:after="40"/>
        <w:ind w:left="360"/>
        <w:jc w:val="both"/>
        <w:rPr>
          <w:rFonts w:ascii="Cambria" w:hAnsi="Cambria"/>
          <w:b w:val="0"/>
          <w:i w:val="0"/>
          <w:sz w:val="22"/>
          <w:szCs w:val="22"/>
        </w:rPr>
      </w:pPr>
      <w:r w:rsidRPr="00D67BAD">
        <w:rPr>
          <w:rFonts w:ascii="Cambria" w:hAnsi="Cambria"/>
          <w:b w:val="0"/>
          <w:i w:val="0"/>
          <w:sz w:val="22"/>
          <w:szCs w:val="22"/>
        </w:rPr>
        <w:t>After a thorough</w:t>
      </w:r>
      <w:r>
        <w:rPr>
          <w:rFonts w:ascii="Cambria" w:hAnsi="Cambria"/>
          <w:b w:val="0"/>
          <w:i w:val="0"/>
          <w:sz w:val="22"/>
          <w:szCs w:val="22"/>
        </w:rPr>
        <w:t xml:space="preserve"> </w:t>
      </w:r>
      <w:r w:rsidRPr="00D67BAD">
        <w:rPr>
          <w:rFonts w:ascii="Cambria" w:hAnsi="Cambria"/>
          <w:b w:val="0"/>
          <w:i w:val="0"/>
          <w:sz w:val="22"/>
          <w:szCs w:val="22"/>
        </w:rPr>
        <w:t xml:space="preserve">scientific review and evaluation of the documents provided by the Bureau of Plant Industry (BPI) to the DENR Biosafety Committee within the prescribed period pursuant to the Joint Department Circular (JDC) No. 1 S 2016 on the application of </w:t>
      </w:r>
      <w:r w:rsidR="00870BC3">
        <w:rPr>
          <w:rFonts w:ascii="Cambria" w:hAnsi="Cambria"/>
          <w:b w:val="0"/>
          <w:i w:val="0"/>
          <w:sz w:val="22"/>
          <w:szCs w:val="22"/>
        </w:rPr>
        <w:t>Monsanto Philippines Inc.</w:t>
      </w:r>
      <w:r w:rsidRPr="00D67BAD">
        <w:rPr>
          <w:rFonts w:ascii="Cambria" w:hAnsi="Cambria"/>
          <w:b w:val="0"/>
          <w:i w:val="0"/>
          <w:sz w:val="22"/>
          <w:szCs w:val="22"/>
        </w:rPr>
        <w:t xml:space="preserve"> for direct use for feed, food or processing of Genetically Modified Soybean </w:t>
      </w:r>
      <w:r w:rsidR="006F270E">
        <w:rPr>
          <w:rFonts w:ascii="Cambria" w:hAnsi="Cambria"/>
          <w:b w:val="0"/>
          <w:i w:val="0"/>
          <w:sz w:val="22"/>
          <w:szCs w:val="22"/>
        </w:rPr>
        <w:t xml:space="preserve">with lepidopteran insect </w:t>
      </w:r>
      <w:proofErr w:type="spellStart"/>
      <w:r w:rsidR="006F270E">
        <w:rPr>
          <w:rFonts w:ascii="Cambria" w:hAnsi="Cambria"/>
          <w:b w:val="0"/>
          <w:i w:val="0"/>
          <w:sz w:val="22"/>
          <w:szCs w:val="22"/>
        </w:rPr>
        <w:t>resjstant</w:t>
      </w:r>
      <w:proofErr w:type="spellEnd"/>
      <w:r w:rsidR="006F270E">
        <w:rPr>
          <w:rFonts w:ascii="Cambria" w:hAnsi="Cambria"/>
          <w:b w:val="0"/>
          <w:i w:val="0"/>
          <w:sz w:val="22"/>
          <w:szCs w:val="22"/>
        </w:rPr>
        <w:t xml:space="preserve"> trait MON87701</w:t>
      </w:r>
      <w:r w:rsidRPr="00D67BAD">
        <w:rPr>
          <w:rFonts w:ascii="Cambria" w:hAnsi="Cambria"/>
          <w:b w:val="0"/>
          <w:i w:val="0"/>
          <w:sz w:val="22"/>
          <w:szCs w:val="22"/>
        </w:rPr>
        <w:t>, along with the submitted sworn statement and accountability of the proponent, a biosafety permit may be issued to the proponent if the conditions set by DENR are followed.</w:t>
      </w:r>
    </w:p>
    <w:p w:rsidR="003B2619" w:rsidRDefault="003B2619" w:rsidP="003B2619">
      <w:pPr>
        <w:spacing w:after="40"/>
        <w:ind w:left="360"/>
        <w:jc w:val="both"/>
        <w:rPr>
          <w:rFonts w:ascii="Cambria" w:hAnsi="Cambria"/>
          <w:b w:val="0"/>
          <w:i w:val="0"/>
          <w:sz w:val="22"/>
          <w:szCs w:val="22"/>
        </w:rPr>
      </w:pPr>
    </w:p>
    <w:p w:rsidR="00D67BAD" w:rsidRPr="003B2619" w:rsidRDefault="00D67BAD" w:rsidP="008F125F">
      <w:pPr>
        <w:spacing w:after="40"/>
        <w:ind w:left="90"/>
        <w:jc w:val="both"/>
        <w:rPr>
          <w:rFonts w:ascii="Cambria" w:hAnsi="Cambria"/>
          <w:b w:val="0"/>
          <w:i w:val="0"/>
          <w:sz w:val="22"/>
          <w:szCs w:val="22"/>
        </w:rPr>
      </w:pPr>
      <w:r w:rsidRPr="003B2619">
        <w:rPr>
          <w:rFonts w:ascii="Cambria" w:hAnsi="Cambria"/>
          <w:i w:val="0"/>
          <w:sz w:val="22"/>
          <w:szCs w:val="22"/>
        </w:rPr>
        <w:t>Environmental Health Risk Assessment</w:t>
      </w:r>
    </w:p>
    <w:p w:rsidR="00D67BAD" w:rsidRPr="0035740F" w:rsidRDefault="00D67BAD" w:rsidP="00D67BAD">
      <w:pPr>
        <w:spacing w:after="40"/>
        <w:rPr>
          <w:rFonts w:ascii="Cambria" w:hAnsi="Cambria"/>
          <w:sz w:val="22"/>
          <w:szCs w:val="22"/>
        </w:rPr>
      </w:pPr>
    </w:p>
    <w:p w:rsidR="00D67BAD" w:rsidRDefault="00D67BAD" w:rsidP="005312AC">
      <w:pPr>
        <w:spacing w:after="40"/>
        <w:ind w:left="360"/>
        <w:jc w:val="both"/>
        <w:rPr>
          <w:rFonts w:ascii="Cambria" w:hAnsi="Cambria"/>
          <w:b w:val="0"/>
          <w:i w:val="0"/>
          <w:sz w:val="22"/>
          <w:szCs w:val="22"/>
        </w:rPr>
      </w:pPr>
      <w:r w:rsidRPr="00D67BAD">
        <w:rPr>
          <w:rFonts w:ascii="Cambria" w:hAnsi="Cambria"/>
          <w:b w:val="0"/>
          <w:i w:val="0"/>
          <w:sz w:val="22"/>
          <w:szCs w:val="22"/>
        </w:rPr>
        <w:t>After a thorough scientific review and evaluation of the documents, DOH find sufficient evidence that the regulated article applied for direct use will not pose any significant risk to health and environment and that any hazards could be managed by the measures set by DOH.</w:t>
      </w:r>
    </w:p>
    <w:p w:rsidR="003B2619" w:rsidRDefault="00ED27D2" w:rsidP="003B2619">
      <w:pPr>
        <w:spacing w:after="40"/>
        <w:ind w:left="360"/>
        <w:jc w:val="both"/>
        <w:rPr>
          <w:rFonts w:ascii="Cambria" w:hAnsi="Cambria"/>
          <w:sz w:val="22"/>
          <w:szCs w:val="22"/>
          <w:u w:val="single"/>
        </w:rPr>
      </w:pPr>
      <w:r>
        <w:rPr>
          <w:rFonts w:ascii="Cambria" w:hAnsi="Cambria"/>
          <w:b w:val="0"/>
          <w:i w:val="0"/>
          <w:noProof/>
          <w:sz w:val="22"/>
          <w:szCs w:val="22"/>
          <w:lang w:val="en-PH" w:eastAsia="en-PH"/>
        </w:rPr>
        <mc:AlternateContent>
          <mc:Choice Requires="wps">
            <w:drawing>
              <wp:anchor distT="0" distB="0" distL="114300" distR="114300" simplePos="0" relativeHeight="251659264" behindDoc="0" locked="0" layoutInCell="1" allowOverlap="1">
                <wp:simplePos x="0" y="0"/>
                <wp:positionH relativeFrom="column">
                  <wp:posOffset>-338455</wp:posOffset>
                </wp:positionH>
                <wp:positionV relativeFrom="paragraph">
                  <wp:posOffset>84455</wp:posOffset>
                </wp:positionV>
                <wp:extent cx="6673215" cy="0"/>
                <wp:effectExtent l="13970" t="13970" r="8890"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3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49304" id="AutoShape 3" o:spid="_x0000_s1026" type="#_x0000_t32" style="position:absolute;margin-left:-26.65pt;margin-top:6.65pt;width:525.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Xz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J4xmMKyCqUlsbGqRH9WpeNP3ukNJVR1TLY/DbyUBuFjKSdynh4gwU2Q2fNYMYAvhx&#10;VsfG9gESpoCOUZLTTRJ+9IjCx9nscTLO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"/>
            </w:pict>
          </mc:Fallback>
        </mc:AlternateContent>
      </w:r>
    </w:p>
    <w:p w:rsidR="003B2619" w:rsidRDefault="003B2619" w:rsidP="003B2619">
      <w:pPr>
        <w:spacing w:after="40"/>
        <w:ind w:left="360"/>
        <w:jc w:val="both"/>
        <w:rPr>
          <w:rFonts w:ascii="Cambria" w:hAnsi="Cambria"/>
          <w:sz w:val="22"/>
          <w:szCs w:val="22"/>
          <w:u w:val="single"/>
        </w:rPr>
      </w:pPr>
    </w:p>
    <w:p w:rsidR="00D67BAD" w:rsidRPr="003B2619" w:rsidRDefault="00D67BAD" w:rsidP="008F125F">
      <w:pPr>
        <w:spacing w:after="40"/>
        <w:ind w:left="90"/>
        <w:jc w:val="both"/>
        <w:rPr>
          <w:rFonts w:ascii="Cambria" w:hAnsi="Cambria"/>
          <w:i w:val="0"/>
          <w:sz w:val="22"/>
          <w:szCs w:val="22"/>
        </w:rPr>
      </w:pPr>
      <w:r w:rsidRPr="003B2619">
        <w:rPr>
          <w:rFonts w:ascii="Cambria" w:hAnsi="Cambria"/>
          <w:i w:val="0"/>
          <w:sz w:val="22"/>
          <w:szCs w:val="22"/>
        </w:rPr>
        <w:t>Socio-economic. Ethical and Cultural Impact Assessment</w:t>
      </w:r>
    </w:p>
    <w:p w:rsidR="00D67BAD" w:rsidRPr="0035740F" w:rsidRDefault="00D67BAD" w:rsidP="00D67BAD">
      <w:pPr>
        <w:spacing w:after="40"/>
        <w:rPr>
          <w:rFonts w:ascii="Cambria" w:hAnsi="Cambria"/>
          <w:sz w:val="22"/>
          <w:szCs w:val="22"/>
        </w:rPr>
      </w:pPr>
    </w:p>
    <w:p w:rsidR="006F270E" w:rsidRPr="006F270E" w:rsidRDefault="006F270E" w:rsidP="006F270E">
      <w:pPr>
        <w:spacing w:after="40"/>
        <w:ind w:left="360"/>
        <w:jc w:val="both"/>
        <w:rPr>
          <w:rFonts w:ascii="Cambria" w:hAnsi="Cambria"/>
          <w:b w:val="0"/>
          <w:i w:val="0"/>
          <w:sz w:val="22"/>
          <w:szCs w:val="22"/>
        </w:rPr>
      </w:pPr>
      <w:r w:rsidRPr="006F270E">
        <w:rPr>
          <w:rFonts w:ascii="Cambria" w:hAnsi="Cambria"/>
          <w:b w:val="0"/>
          <w:i w:val="0"/>
          <w:sz w:val="22"/>
          <w:szCs w:val="22"/>
        </w:rPr>
        <w:t xml:space="preserve">The impact of GM Soybean MON 87701 to the feed industry and ultimately to the livestock, poultry and the aquaculture sub-sectors would be tremendous.  Importation of soybeans will save millions of dollars for our country through lower prices. </w:t>
      </w:r>
    </w:p>
    <w:p w:rsidR="006F270E" w:rsidRPr="006F270E" w:rsidRDefault="006F270E" w:rsidP="006F270E">
      <w:pPr>
        <w:spacing w:after="40"/>
        <w:ind w:left="360"/>
        <w:jc w:val="both"/>
        <w:rPr>
          <w:rFonts w:ascii="Cambria" w:hAnsi="Cambria"/>
          <w:b w:val="0"/>
          <w:i w:val="0"/>
          <w:sz w:val="22"/>
          <w:szCs w:val="22"/>
        </w:rPr>
      </w:pPr>
    </w:p>
    <w:p w:rsidR="000F1BBD" w:rsidRDefault="006F270E" w:rsidP="006F270E">
      <w:pPr>
        <w:spacing w:after="40"/>
        <w:ind w:left="360"/>
        <w:jc w:val="both"/>
        <w:rPr>
          <w:rFonts w:ascii="Cambria" w:hAnsi="Cambria"/>
          <w:b w:val="0"/>
          <w:i w:val="0"/>
          <w:sz w:val="22"/>
          <w:szCs w:val="22"/>
        </w:rPr>
      </w:pPr>
      <w:r w:rsidRPr="006F270E">
        <w:rPr>
          <w:rFonts w:ascii="Cambria" w:hAnsi="Cambria"/>
          <w:b w:val="0"/>
          <w:i w:val="0"/>
          <w:sz w:val="22"/>
          <w:szCs w:val="22"/>
        </w:rPr>
        <w:t>With the above scenario and observed consequences of MON 87701, the SEC Expert recommends the renewal of permit of the MON 87701.   The renewal of the utilization of GM Soybeans would help the feed industry and may result to lower production cost of poultry, livestock and aquaculture products in our country. However, concern agencies, both government and non-government, should continue monitor and regularly assess the risk of any GM products introduced in the country.</w:t>
      </w:r>
    </w:p>
    <w:p w:rsidR="000F1BBD" w:rsidRDefault="000F1BBD" w:rsidP="000F1BBD">
      <w:pPr>
        <w:spacing w:after="40"/>
        <w:ind w:left="360"/>
        <w:jc w:val="both"/>
        <w:rPr>
          <w:rFonts w:ascii="Cambria" w:hAnsi="Cambria"/>
          <w:b w:val="0"/>
          <w:i w:val="0"/>
          <w:sz w:val="22"/>
          <w:szCs w:val="22"/>
        </w:rPr>
      </w:pPr>
    </w:p>
    <w:p w:rsidR="000F1BBD" w:rsidRDefault="000F1BBD" w:rsidP="000F1BBD">
      <w:pPr>
        <w:spacing w:after="40"/>
        <w:ind w:left="360"/>
        <w:jc w:val="both"/>
        <w:rPr>
          <w:rFonts w:ascii="Cambria" w:hAnsi="Cambria"/>
          <w:b w:val="0"/>
          <w:i w:val="0"/>
          <w:sz w:val="22"/>
          <w:szCs w:val="22"/>
        </w:rPr>
      </w:pPr>
    </w:p>
    <w:p w:rsidR="000F1BBD" w:rsidRDefault="000F1BBD" w:rsidP="000F1BBD">
      <w:pPr>
        <w:spacing w:after="40"/>
        <w:ind w:left="360"/>
        <w:jc w:val="both"/>
        <w:rPr>
          <w:rFonts w:ascii="Cambria" w:hAnsi="Cambria"/>
          <w:b w:val="0"/>
          <w:i w:val="0"/>
          <w:sz w:val="22"/>
          <w:szCs w:val="22"/>
        </w:rPr>
      </w:pPr>
    </w:p>
    <w:p w:rsidR="000F1BBD" w:rsidRDefault="000F1BBD" w:rsidP="000F1BBD">
      <w:pPr>
        <w:spacing w:after="40"/>
        <w:ind w:left="360"/>
        <w:jc w:val="both"/>
        <w:rPr>
          <w:rFonts w:ascii="Cambria" w:hAnsi="Cambria"/>
          <w:b w:val="0"/>
          <w:i w:val="0"/>
          <w:sz w:val="22"/>
          <w:szCs w:val="22"/>
        </w:rPr>
      </w:pPr>
    </w:p>
    <w:p w:rsidR="00583495" w:rsidRPr="000F1BBD" w:rsidRDefault="00583495" w:rsidP="000F1BBD">
      <w:pPr>
        <w:spacing w:after="40"/>
        <w:ind w:left="90"/>
        <w:jc w:val="both"/>
        <w:rPr>
          <w:rFonts w:ascii="Cambria" w:hAnsi="Cambria"/>
          <w:i w:val="0"/>
          <w:sz w:val="22"/>
          <w:szCs w:val="22"/>
        </w:rPr>
      </w:pPr>
      <w:r w:rsidRPr="000F1BBD">
        <w:rPr>
          <w:rFonts w:ascii="Cambria" w:hAnsi="Cambria"/>
          <w:i w:val="0"/>
          <w:sz w:val="22"/>
          <w:szCs w:val="22"/>
        </w:rPr>
        <w:t>Regulatory Decision</w:t>
      </w:r>
    </w:p>
    <w:p w:rsidR="00583495" w:rsidRPr="0035740F" w:rsidRDefault="00583495" w:rsidP="00583495">
      <w:pPr>
        <w:pStyle w:val="BodyTextIndent"/>
        <w:spacing w:after="40"/>
        <w:ind w:left="360"/>
        <w:rPr>
          <w:rFonts w:ascii="Cambria" w:hAnsi="Cambria"/>
          <w:sz w:val="22"/>
          <w:szCs w:val="22"/>
        </w:rPr>
      </w:pPr>
    </w:p>
    <w:p w:rsidR="00583495" w:rsidRPr="005F1448" w:rsidRDefault="00583495" w:rsidP="00583495">
      <w:pPr>
        <w:spacing w:after="40"/>
        <w:ind w:left="360"/>
        <w:jc w:val="both"/>
        <w:rPr>
          <w:sz w:val="22"/>
          <w:szCs w:val="22"/>
        </w:rPr>
      </w:pPr>
      <w:r w:rsidRPr="005F1448">
        <w:rPr>
          <w:rFonts w:ascii="Cambria" w:hAnsi="Cambria"/>
          <w:b w:val="0"/>
          <w:i w:val="0"/>
          <w:sz w:val="22"/>
          <w:szCs w:val="22"/>
        </w:rPr>
        <w:t xml:space="preserve">Based on the </w:t>
      </w:r>
      <w:r w:rsidR="00C92B6E">
        <w:rPr>
          <w:rFonts w:ascii="Cambria" w:hAnsi="Cambria"/>
          <w:b w:val="0"/>
          <w:i w:val="0"/>
          <w:sz w:val="22"/>
          <w:szCs w:val="22"/>
        </w:rPr>
        <w:t xml:space="preserve">results of the risk evaluation of </w:t>
      </w:r>
      <w:r w:rsidRPr="005F1448">
        <w:rPr>
          <w:rFonts w:ascii="Cambria" w:hAnsi="Cambria"/>
          <w:b w:val="0"/>
          <w:i w:val="0"/>
          <w:sz w:val="22"/>
          <w:szCs w:val="22"/>
        </w:rPr>
        <w:t xml:space="preserve">the submitted scientific data and other information relevant to the application of </w:t>
      </w:r>
      <w:r w:rsidR="006F270E">
        <w:rPr>
          <w:rFonts w:ascii="Cambria" w:hAnsi="Cambria"/>
          <w:b w:val="0"/>
          <w:i w:val="0"/>
          <w:sz w:val="22"/>
          <w:szCs w:val="22"/>
        </w:rPr>
        <w:t>Monsanto Philippines</w:t>
      </w:r>
      <w:r w:rsidRPr="005F1448">
        <w:rPr>
          <w:rFonts w:ascii="Cambria" w:hAnsi="Cambria"/>
          <w:b w:val="0"/>
          <w:i w:val="0"/>
          <w:sz w:val="22"/>
          <w:szCs w:val="22"/>
        </w:rPr>
        <w:t xml:space="preserve"> Inc., it is concluded that </w:t>
      </w:r>
      <w:r w:rsidR="00CA59AE" w:rsidRPr="005F1448">
        <w:rPr>
          <w:rFonts w:ascii="Cambria" w:hAnsi="Cambria"/>
          <w:b w:val="0"/>
          <w:i w:val="0"/>
          <w:sz w:val="22"/>
          <w:szCs w:val="22"/>
        </w:rPr>
        <w:t xml:space="preserve">soybean </w:t>
      </w:r>
      <w:r w:rsidR="006F270E">
        <w:rPr>
          <w:rFonts w:ascii="Cambria" w:hAnsi="Cambria"/>
          <w:b w:val="0"/>
          <w:i w:val="0"/>
          <w:sz w:val="22"/>
          <w:szCs w:val="22"/>
        </w:rPr>
        <w:t>MON87701</w:t>
      </w:r>
      <w:r w:rsidRPr="005F1448">
        <w:rPr>
          <w:rFonts w:ascii="Cambria" w:hAnsi="Cambria"/>
          <w:b w:val="0"/>
          <w:i w:val="0"/>
          <w:sz w:val="22"/>
          <w:szCs w:val="22"/>
        </w:rPr>
        <w:t>, and all progenies derived from crosses of the product with any conventionally-bred soybean, and soybean containing approved-biotech events for direct use as food, feed or for processing</w:t>
      </w:r>
      <w:r w:rsidR="005F1448">
        <w:rPr>
          <w:rFonts w:ascii="Cambria" w:hAnsi="Cambria"/>
          <w:b w:val="0"/>
          <w:i w:val="0"/>
          <w:sz w:val="22"/>
          <w:szCs w:val="22"/>
        </w:rPr>
        <w:t xml:space="preserve">, </w:t>
      </w:r>
      <w:r w:rsidRPr="005F1448">
        <w:rPr>
          <w:rFonts w:ascii="Cambria" w:hAnsi="Cambria"/>
          <w:b w:val="0"/>
          <w:i w:val="0"/>
          <w:sz w:val="22"/>
          <w:szCs w:val="22"/>
        </w:rPr>
        <w:t xml:space="preserve"> is as safe and substantially equivalent to its unmodified counterpart, and is therefore approved for direct use as food, feed or for processing. </w:t>
      </w:r>
      <w:r w:rsidR="006F270E">
        <w:rPr>
          <w:rFonts w:ascii="Cambria" w:hAnsi="Cambria"/>
          <w:b w:val="0"/>
          <w:i w:val="0"/>
          <w:sz w:val="22"/>
          <w:szCs w:val="22"/>
        </w:rPr>
        <w:t>Monsanto Philippines</w:t>
      </w:r>
      <w:r w:rsidRPr="005F1448">
        <w:rPr>
          <w:rFonts w:ascii="Cambria" w:hAnsi="Cambria"/>
          <w:b w:val="0"/>
          <w:i w:val="0"/>
          <w:sz w:val="22"/>
          <w:szCs w:val="22"/>
        </w:rPr>
        <w:t xml:space="preserve"> Inc. shall duly inform the public of this approval by way of publishing in any one (1) of the top three (3) leading newspapers in the country that import of this product is covered by conditions for approval as provided in </w:t>
      </w:r>
      <w:r w:rsidR="005F1448" w:rsidRPr="005F1448">
        <w:rPr>
          <w:rFonts w:ascii="Cambria" w:hAnsi="Cambria"/>
          <w:b w:val="0"/>
          <w:i w:val="0"/>
          <w:sz w:val="22"/>
          <w:szCs w:val="22"/>
        </w:rPr>
        <w:t>the Biosafety Permit</w:t>
      </w:r>
      <w:r w:rsidRPr="005F1448">
        <w:rPr>
          <w:rFonts w:ascii="Cambria" w:hAnsi="Cambria"/>
          <w:b w:val="0"/>
          <w:i w:val="0"/>
          <w:sz w:val="22"/>
          <w:szCs w:val="22"/>
        </w:rPr>
        <w:t>.</w:t>
      </w:r>
    </w:p>
    <w:p w:rsidR="00583495" w:rsidRPr="0035740F" w:rsidRDefault="00583495" w:rsidP="00583495">
      <w:pPr>
        <w:spacing w:after="40"/>
        <w:jc w:val="both"/>
        <w:rPr>
          <w:rFonts w:ascii="Cambria" w:hAnsi="Cambria"/>
          <w:sz w:val="22"/>
          <w:szCs w:val="22"/>
        </w:rPr>
      </w:pPr>
    </w:p>
    <w:p w:rsidR="00C166C4" w:rsidRPr="0035740F" w:rsidRDefault="00C166C4">
      <w:pPr>
        <w:rPr>
          <w:sz w:val="22"/>
          <w:szCs w:val="22"/>
        </w:rPr>
      </w:pPr>
    </w:p>
    <w:sectPr w:rsidR="00C166C4" w:rsidRPr="0035740F" w:rsidSect="00E74F20">
      <w:pgSz w:w="12240" w:h="15840" w:code="1"/>
      <w:pgMar w:top="1440" w:right="117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219A3"/>
    <w:multiLevelType w:val="hybridMultilevel"/>
    <w:tmpl w:val="8E8A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36A8D"/>
    <w:multiLevelType w:val="hybridMultilevel"/>
    <w:tmpl w:val="944EDAD6"/>
    <w:lvl w:ilvl="0" w:tplc="B91AC93C">
      <w:start w:val="1"/>
      <w:numFmt w:val="upperRoman"/>
      <w:pStyle w:val="Heading2"/>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5"/>
    </w:lvlOverride>
  </w:num>
  <w:num w:numId="3">
    <w:abstractNumId w:val="0"/>
  </w:num>
  <w:num w:numId="4">
    <w:abstractNumId w:val="1"/>
    <w:lvlOverride w:ilvl="0">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495"/>
    <w:rsid w:val="0001106B"/>
    <w:rsid w:val="00075564"/>
    <w:rsid w:val="000F1BBD"/>
    <w:rsid w:val="0011728C"/>
    <w:rsid w:val="00193A4F"/>
    <w:rsid w:val="001F4DE6"/>
    <w:rsid w:val="00204ACE"/>
    <w:rsid w:val="0022418C"/>
    <w:rsid w:val="00264D1D"/>
    <w:rsid w:val="002B64A0"/>
    <w:rsid w:val="002C2579"/>
    <w:rsid w:val="002D4DC8"/>
    <w:rsid w:val="0034714D"/>
    <w:rsid w:val="0035740F"/>
    <w:rsid w:val="003B2619"/>
    <w:rsid w:val="00401EED"/>
    <w:rsid w:val="00434C6B"/>
    <w:rsid w:val="00444CEE"/>
    <w:rsid w:val="0045020E"/>
    <w:rsid w:val="0047636A"/>
    <w:rsid w:val="00476714"/>
    <w:rsid w:val="00493947"/>
    <w:rsid w:val="005312AC"/>
    <w:rsid w:val="00583495"/>
    <w:rsid w:val="005D7DCE"/>
    <w:rsid w:val="005F1448"/>
    <w:rsid w:val="00611F85"/>
    <w:rsid w:val="00643883"/>
    <w:rsid w:val="006A05C5"/>
    <w:rsid w:val="006F270E"/>
    <w:rsid w:val="00717DF7"/>
    <w:rsid w:val="00735584"/>
    <w:rsid w:val="007756B8"/>
    <w:rsid w:val="007A6A94"/>
    <w:rsid w:val="00826EBA"/>
    <w:rsid w:val="0085424C"/>
    <w:rsid w:val="00870BC3"/>
    <w:rsid w:val="008F125F"/>
    <w:rsid w:val="009227F2"/>
    <w:rsid w:val="00984E75"/>
    <w:rsid w:val="00986C01"/>
    <w:rsid w:val="009F4CF3"/>
    <w:rsid w:val="00A020AE"/>
    <w:rsid w:val="00A50E41"/>
    <w:rsid w:val="00A642E2"/>
    <w:rsid w:val="00A75243"/>
    <w:rsid w:val="00B43BA1"/>
    <w:rsid w:val="00B832F4"/>
    <w:rsid w:val="00BF0CE7"/>
    <w:rsid w:val="00C166C4"/>
    <w:rsid w:val="00C342EE"/>
    <w:rsid w:val="00C6621F"/>
    <w:rsid w:val="00C92B6E"/>
    <w:rsid w:val="00CA59AE"/>
    <w:rsid w:val="00D1069F"/>
    <w:rsid w:val="00D12C59"/>
    <w:rsid w:val="00D603F1"/>
    <w:rsid w:val="00D67BAD"/>
    <w:rsid w:val="00D85F14"/>
    <w:rsid w:val="00D874D7"/>
    <w:rsid w:val="00DE2369"/>
    <w:rsid w:val="00E55E06"/>
    <w:rsid w:val="00ED27D2"/>
    <w:rsid w:val="00F210A2"/>
    <w:rsid w:val="00F87A1A"/>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812013-23A3-4BB3-ABA8-FB2703E5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495"/>
    <w:pPr>
      <w:spacing w:after="0" w:line="240" w:lineRule="auto"/>
    </w:pPr>
    <w:rPr>
      <w:rFonts w:ascii="Monotype Corsiva" w:eastAsia="Times New Roman" w:hAnsi="Monotype Corsiva" w:cs="Times New Roman"/>
      <w:b/>
      <w:i/>
      <w:sz w:val="18"/>
      <w:szCs w:val="24"/>
      <w:lang w:val="en-US"/>
    </w:rPr>
  </w:style>
  <w:style w:type="paragraph" w:styleId="Heading2">
    <w:name w:val="heading 2"/>
    <w:basedOn w:val="Normal"/>
    <w:next w:val="Normal"/>
    <w:link w:val="Heading2Char"/>
    <w:qFormat/>
    <w:rsid w:val="00583495"/>
    <w:pPr>
      <w:keepNext/>
      <w:numPr>
        <w:numId w:val="1"/>
      </w:numPr>
      <w:outlineLvl w:val="1"/>
    </w:pPr>
    <w:rPr>
      <w:rFonts w:ascii="Times New Roman" w:hAnsi="Times New Roman"/>
      <w:i w:val="0"/>
      <w:sz w:val="24"/>
    </w:rPr>
  </w:style>
  <w:style w:type="paragraph" w:styleId="Heading3">
    <w:name w:val="heading 3"/>
    <w:basedOn w:val="Normal"/>
    <w:next w:val="Normal"/>
    <w:link w:val="Heading3Char"/>
    <w:qFormat/>
    <w:rsid w:val="00583495"/>
    <w:pPr>
      <w:keepNext/>
      <w:ind w:left="1080"/>
      <w:outlineLvl w:val="2"/>
    </w:pPr>
    <w:rPr>
      <w:rFonts w:ascii="Times New Roman" w:hAnsi="Times New Roman"/>
      <w:i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3495"/>
    <w:rPr>
      <w:rFonts w:ascii="Times New Roman" w:eastAsia="Times New Roman" w:hAnsi="Times New Roman" w:cs="Times New Roman"/>
      <w:b/>
      <w:sz w:val="24"/>
      <w:szCs w:val="24"/>
      <w:lang w:val="en-US"/>
    </w:rPr>
  </w:style>
  <w:style w:type="character" w:customStyle="1" w:styleId="Heading3Char">
    <w:name w:val="Heading 3 Char"/>
    <w:basedOn w:val="DefaultParagraphFont"/>
    <w:link w:val="Heading3"/>
    <w:rsid w:val="00583495"/>
    <w:rPr>
      <w:rFonts w:ascii="Times New Roman" w:eastAsia="Times New Roman" w:hAnsi="Times New Roman" w:cs="Times New Roman"/>
      <w:b/>
      <w:sz w:val="24"/>
      <w:szCs w:val="24"/>
      <w:lang w:val="en-US"/>
    </w:rPr>
  </w:style>
  <w:style w:type="paragraph" w:styleId="BodyText2">
    <w:name w:val="Body Text 2"/>
    <w:basedOn w:val="Normal"/>
    <w:link w:val="BodyText2Char"/>
    <w:rsid w:val="00583495"/>
    <w:pPr>
      <w:jc w:val="both"/>
    </w:pPr>
    <w:rPr>
      <w:rFonts w:ascii="Times New Roman" w:hAnsi="Times New Roman"/>
      <w:b w:val="0"/>
      <w:i w:val="0"/>
      <w:sz w:val="24"/>
    </w:rPr>
  </w:style>
  <w:style w:type="character" w:customStyle="1" w:styleId="BodyText2Char">
    <w:name w:val="Body Text 2 Char"/>
    <w:basedOn w:val="DefaultParagraphFont"/>
    <w:link w:val="BodyText2"/>
    <w:rsid w:val="00583495"/>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583495"/>
    <w:pPr>
      <w:ind w:left="1080"/>
      <w:jc w:val="both"/>
    </w:pPr>
    <w:rPr>
      <w:rFonts w:ascii="Times New Roman" w:hAnsi="Times New Roman"/>
      <w:b w:val="0"/>
      <w:i w:val="0"/>
      <w:sz w:val="24"/>
    </w:rPr>
  </w:style>
  <w:style w:type="character" w:customStyle="1" w:styleId="BodyTextIndentChar">
    <w:name w:val="Body Text Indent Char"/>
    <w:basedOn w:val="DefaultParagraphFont"/>
    <w:link w:val="BodyTextIndent"/>
    <w:rsid w:val="00583495"/>
    <w:rPr>
      <w:rFonts w:ascii="Times New Roman" w:eastAsia="Times New Roman" w:hAnsi="Times New Roman" w:cs="Times New Roman"/>
      <w:sz w:val="24"/>
      <w:szCs w:val="24"/>
      <w:lang w:val="en-US"/>
    </w:rPr>
  </w:style>
  <w:style w:type="paragraph" w:styleId="NoSpacing">
    <w:name w:val="No Spacing"/>
    <w:qFormat/>
    <w:rsid w:val="00583495"/>
    <w:pPr>
      <w:spacing w:after="0" w:line="240" w:lineRule="auto"/>
    </w:pPr>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58349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5</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DOA</cp:lastModifiedBy>
  <cp:revision>7</cp:revision>
  <dcterms:created xsi:type="dcterms:W3CDTF">2018-09-18T04:55:00Z</dcterms:created>
  <dcterms:modified xsi:type="dcterms:W3CDTF">2018-09-18T08:34:00Z</dcterms:modified>
</cp:coreProperties>
</file>