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FDFC" w14:textId="759E47D6" w:rsidR="00593BC6" w:rsidRDefault="00593BC6" w:rsidP="00593BC6">
      <w:pPr>
        <w:pStyle w:val="Header"/>
        <w:jc w:val="center"/>
        <w:rPr>
          <w:rFonts w:ascii="Times New Roman Bold" w:hAnsi="Times New Roman Bold"/>
          <w:b/>
          <w:caps/>
          <w:sz w:val="22"/>
          <w:szCs w:val="22"/>
        </w:rPr>
      </w:pPr>
      <w:r w:rsidRPr="00C658CD">
        <w:rPr>
          <w:rFonts w:ascii="Times New Roman Bold" w:hAnsi="Times New Roman Bold"/>
          <w:b/>
          <w:caps/>
          <w:sz w:val="22"/>
          <w:szCs w:val="22"/>
        </w:rPr>
        <w:t xml:space="preserve">template for </w:t>
      </w:r>
      <w:r w:rsidR="00054613">
        <w:rPr>
          <w:rFonts w:ascii="Times New Roman Bold" w:hAnsi="Times New Roman Bold"/>
          <w:b/>
          <w:caps/>
          <w:sz w:val="22"/>
          <w:szCs w:val="22"/>
        </w:rPr>
        <w:t xml:space="preserve">Peer Review </w:t>
      </w:r>
      <w:r w:rsidRPr="00C658CD">
        <w:rPr>
          <w:rFonts w:ascii="Times New Roman Bold" w:hAnsi="Times New Roman Bold"/>
          <w:b/>
          <w:caps/>
          <w:sz w:val="22"/>
          <w:szCs w:val="22"/>
        </w:rPr>
        <w:t xml:space="preserve">comments </w:t>
      </w:r>
    </w:p>
    <w:p w14:paraId="26EA7AB3" w14:textId="611CA9D8" w:rsidR="00D97576" w:rsidRPr="00C658CD" w:rsidRDefault="0032155A" w:rsidP="00593BC6">
      <w:pPr>
        <w:pStyle w:val="Header"/>
        <w:jc w:val="center"/>
        <w:rPr>
          <w:rFonts w:ascii="Times New Roman Bold" w:hAnsi="Times New Roman Bold"/>
          <w:b/>
          <w:caps/>
          <w:sz w:val="22"/>
          <w:szCs w:val="22"/>
        </w:rPr>
      </w:pPr>
      <w:r>
        <w:rPr>
          <w:rFonts w:ascii="Times New Roman Bold" w:hAnsi="Times New Roman Bold"/>
          <w:b/>
          <w:caps/>
          <w:sz w:val="22"/>
          <w:szCs w:val="22"/>
        </w:rPr>
        <w:t>Technical series on synthetic biology</w:t>
      </w:r>
    </w:p>
    <w:tbl>
      <w:tblPr>
        <w:tblpPr w:leftFromText="180" w:rightFromText="180" w:vertAnchor="page" w:horzAnchor="margin" w:tblpY="177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125"/>
        <w:gridCol w:w="107"/>
        <w:gridCol w:w="8038"/>
      </w:tblGrid>
      <w:tr w:rsidR="00593BC6" w:rsidRPr="00C658CD" w14:paraId="7DBA9CF5" w14:textId="77777777" w:rsidTr="00EA105F">
        <w:trPr>
          <w:cantSplit/>
          <w:trHeight w:val="233"/>
        </w:trPr>
        <w:tc>
          <w:tcPr>
            <w:tcW w:w="10188" w:type="dxa"/>
            <w:gridSpan w:val="4"/>
            <w:shd w:val="clear" w:color="auto" w:fill="C0C0C0"/>
          </w:tcPr>
          <w:p w14:paraId="0C71E9D1" w14:textId="77777777" w:rsidR="00593BC6" w:rsidRPr="00C658CD" w:rsidRDefault="00593BC6" w:rsidP="00EA105F">
            <w:pPr>
              <w:rPr>
                <w:b/>
                <w:sz w:val="22"/>
                <w:szCs w:val="22"/>
              </w:rPr>
            </w:pPr>
          </w:p>
          <w:p w14:paraId="0923A0AA" w14:textId="77777777" w:rsidR="00593BC6" w:rsidRPr="00C658CD" w:rsidRDefault="00593BC6" w:rsidP="00EA105F">
            <w:pPr>
              <w:rPr>
                <w:b/>
                <w:sz w:val="22"/>
                <w:szCs w:val="22"/>
              </w:rPr>
            </w:pPr>
            <w:r w:rsidRPr="00C658CD">
              <w:rPr>
                <w:b/>
                <w:sz w:val="22"/>
                <w:szCs w:val="22"/>
              </w:rPr>
              <w:t>Contact information</w:t>
            </w:r>
          </w:p>
          <w:p w14:paraId="36D753E7" w14:textId="77777777" w:rsidR="00593BC6" w:rsidRPr="00C658CD" w:rsidRDefault="00593BC6" w:rsidP="00EA105F">
            <w:pPr>
              <w:rPr>
                <w:b/>
                <w:sz w:val="22"/>
                <w:szCs w:val="22"/>
              </w:rPr>
            </w:pPr>
          </w:p>
        </w:tc>
      </w:tr>
      <w:tr w:rsidR="00593BC6" w:rsidRPr="00C658CD" w14:paraId="399E2057" w14:textId="77777777" w:rsidTr="00EA105F">
        <w:trPr>
          <w:cantSplit/>
          <w:trHeight w:val="270"/>
        </w:trPr>
        <w:tc>
          <w:tcPr>
            <w:tcW w:w="2150" w:type="dxa"/>
            <w:gridSpan w:val="3"/>
          </w:tcPr>
          <w:p w14:paraId="7B244D40" w14:textId="77777777" w:rsidR="00593BC6" w:rsidRPr="00C658CD" w:rsidRDefault="00593BC6" w:rsidP="00EA105F">
            <w:pPr>
              <w:rPr>
                <w:b/>
                <w:sz w:val="22"/>
                <w:szCs w:val="22"/>
              </w:rPr>
            </w:pPr>
            <w:r w:rsidRPr="00C658CD">
              <w:rPr>
                <w:b/>
                <w:sz w:val="22"/>
                <w:szCs w:val="22"/>
              </w:rPr>
              <w:t>Surname:</w:t>
            </w:r>
          </w:p>
        </w:tc>
        <w:tc>
          <w:tcPr>
            <w:tcW w:w="8038" w:type="dxa"/>
          </w:tcPr>
          <w:p w14:paraId="3AB47FF8" w14:textId="74721B44" w:rsidR="00593BC6" w:rsidRPr="00C658CD" w:rsidRDefault="00593BC6" w:rsidP="00EA105F">
            <w:pPr>
              <w:rPr>
                <w:sz w:val="22"/>
                <w:szCs w:val="22"/>
              </w:rPr>
            </w:pPr>
          </w:p>
        </w:tc>
      </w:tr>
      <w:tr w:rsidR="00593BC6" w:rsidRPr="00C658CD" w14:paraId="2D70246E" w14:textId="77777777" w:rsidTr="00EA105F">
        <w:trPr>
          <w:cantSplit/>
          <w:trHeight w:val="280"/>
        </w:trPr>
        <w:tc>
          <w:tcPr>
            <w:tcW w:w="2150" w:type="dxa"/>
            <w:gridSpan w:val="3"/>
          </w:tcPr>
          <w:p w14:paraId="024B7BE1" w14:textId="77777777" w:rsidR="00593BC6" w:rsidRPr="00C658CD" w:rsidRDefault="00593BC6" w:rsidP="00EA105F">
            <w:pPr>
              <w:rPr>
                <w:b/>
                <w:sz w:val="22"/>
                <w:szCs w:val="22"/>
              </w:rPr>
            </w:pPr>
          </w:p>
        </w:tc>
        <w:tc>
          <w:tcPr>
            <w:tcW w:w="8038" w:type="dxa"/>
          </w:tcPr>
          <w:p w14:paraId="24DC2B26" w14:textId="77777777" w:rsidR="00593BC6" w:rsidRPr="00C658CD" w:rsidRDefault="00593BC6" w:rsidP="00EA105F">
            <w:pPr>
              <w:rPr>
                <w:sz w:val="22"/>
                <w:szCs w:val="22"/>
              </w:rPr>
            </w:pPr>
          </w:p>
        </w:tc>
      </w:tr>
      <w:tr w:rsidR="00593BC6" w:rsidRPr="00C658CD" w14:paraId="6960F46D" w14:textId="77777777" w:rsidTr="00EA105F">
        <w:trPr>
          <w:cantSplit/>
          <w:trHeight w:val="270"/>
        </w:trPr>
        <w:tc>
          <w:tcPr>
            <w:tcW w:w="2150" w:type="dxa"/>
            <w:gridSpan w:val="3"/>
          </w:tcPr>
          <w:p w14:paraId="42324F5A" w14:textId="77777777" w:rsidR="00593BC6" w:rsidRPr="00C658CD" w:rsidRDefault="00593BC6" w:rsidP="00EA105F">
            <w:pPr>
              <w:rPr>
                <w:b/>
                <w:sz w:val="22"/>
                <w:szCs w:val="22"/>
              </w:rPr>
            </w:pPr>
            <w:r w:rsidRPr="00C658CD">
              <w:rPr>
                <w:b/>
                <w:sz w:val="22"/>
                <w:szCs w:val="22"/>
              </w:rPr>
              <w:t>Given Name:</w:t>
            </w:r>
          </w:p>
        </w:tc>
        <w:tc>
          <w:tcPr>
            <w:tcW w:w="8038" w:type="dxa"/>
          </w:tcPr>
          <w:p w14:paraId="1F1AFCCD" w14:textId="588CE7A1" w:rsidR="00593BC6" w:rsidRPr="00C658CD" w:rsidRDefault="00593BC6" w:rsidP="00EA105F">
            <w:pPr>
              <w:rPr>
                <w:sz w:val="22"/>
                <w:szCs w:val="22"/>
              </w:rPr>
            </w:pPr>
          </w:p>
        </w:tc>
      </w:tr>
      <w:tr w:rsidR="00593BC6" w:rsidRPr="00C658CD" w14:paraId="4D0E31D1" w14:textId="77777777" w:rsidTr="00EA105F">
        <w:trPr>
          <w:cantSplit/>
          <w:trHeight w:val="280"/>
        </w:trPr>
        <w:tc>
          <w:tcPr>
            <w:tcW w:w="2150" w:type="dxa"/>
            <w:gridSpan w:val="3"/>
          </w:tcPr>
          <w:p w14:paraId="478DDD07" w14:textId="77777777" w:rsidR="00593BC6" w:rsidRPr="00C658CD" w:rsidRDefault="00593BC6" w:rsidP="00EA105F">
            <w:pPr>
              <w:rPr>
                <w:b/>
                <w:sz w:val="22"/>
                <w:szCs w:val="22"/>
              </w:rPr>
            </w:pPr>
          </w:p>
        </w:tc>
        <w:tc>
          <w:tcPr>
            <w:tcW w:w="8038" w:type="dxa"/>
          </w:tcPr>
          <w:p w14:paraId="286530CF" w14:textId="77777777" w:rsidR="00593BC6" w:rsidRPr="00C658CD" w:rsidRDefault="00593BC6" w:rsidP="00EA105F">
            <w:pPr>
              <w:rPr>
                <w:sz w:val="22"/>
                <w:szCs w:val="22"/>
              </w:rPr>
            </w:pPr>
          </w:p>
        </w:tc>
      </w:tr>
      <w:tr w:rsidR="00593BC6" w:rsidRPr="00FF1A2A" w14:paraId="1C3067B8" w14:textId="77777777" w:rsidTr="00EA105F">
        <w:trPr>
          <w:cantSplit/>
          <w:trHeight w:val="270"/>
        </w:trPr>
        <w:tc>
          <w:tcPr>
            <w:tcW w:w="2150" w:type="dxa"/>
            <w:gridSpan w:val="3"/>
          </w:tcPr>
          <w:p w14:paraId="3499F6BE" w14:textId="77777777" w:rsidR="00593BC6" w:rsidRPr="00C658CD" w:rsidRDefault="00593BC6" w:rsidP="00EA105F">
            <w:pPr>
              <w:rPr>
                <w:b/>
                <w:sz w:val="22"/>
                <w:szCs w:val="22"/>
              </w:rPr>
            </w:pPr>
            <w:r w:rsidRPr="00C658CD">
              <w:rPr>
                <w:b/>
                <w:sz w:val="22"/>
                <w:szCs w:val="22"/>
              </w:rPr>
              <w:t>Government</w:t>
            </w:r>
          </w:p>
        </w:tc>
        <w:tc>
          <w:tcPr>
            <w:tcW w:w="8038" w:type="dxa"/>
          </w:tcPr>
          <w:p w14:paraId="119BAC5F" w14:textId="59E4BDD7" w:rsidR="00593BC6" w:rsidRPr="00A907C6" w:rsidRDefault="00461AD8" w:rsidP="00EA105F">
            <w:pPr>
              <w:rPr>
                <w:rFonts w:cs="Angsana New"/>
                <w:sz w:val="22"/>
                <w:szCs w:val="28"/>
                <w:lang w:val="en-US" w:bidi="th-TH"/>
              </w:rPr>
            </w:pPr>
            <w:r>
              <w:rPr>
                <w:rFonts w:asciiTheme="majorBidi" w:hAnsiTheme="majorBidi" w:cstheme="majorBidi"/>
                <w:sz w:val="22"/>
                <w:szCs w:val="22"/>
                <w:lang w:val="en-US" w:eastAsia="en-US" w:bidi="th-TH"/>
              </w:rPr>
              <w:t xml:space="preserve">Thailand, </w:t>
            </w:r>
            <w:r w:rsidR="00C6697D" w:rsidRPr="00866615">
              <w:rPr>
                <w:rFonts w:asciiTheme="majorBidi" w:hAnsiTheme="majorBidi" w:cstheme="majorBidi"/>
                <w:sz w:val="22"/>
                <w:szCs w:val="22"/>
                <w:lang w:val="en-US" w:eastAsia="en-US" w:bidi="th-TH"/>
              </w:rPr>
              <w:t>Ministry of Higher Education, Science, Research and Innovation</w:t>
            </w:r>
          </w:p>
        </w:tc>
      </w:tr>
      <w:tr w:rsidR="00593BC6" w:rsidRPr="00C658CD" w14:paraId="590623FC" w14:textId="77777777" w:rsidTr="00EA105F">
        <w:trPr>
          <w:cantSplit/>
          <w:trHeight w:val="280"/>
        </w:trPr>
        <w:tc>
          <w:tcPr>
            <w:tcW w:w="2150" w:type="dxa"/>
            <w:gridSpan w:val="3"/>
          </w:tcPr>
          <w:p w14:paraId="0807C1F5" w14:textId="77777777" w:rsidR="00593BC6" w:rsidRPr="00C658CD" w:rsidRDefault="00593BC6" w:rsidP="00EA105F">
            <w:pPr>
              <w:rPr>
                <w:b/>
                <w:sz w:val="22"/>
                <w:szCs w:val="22"/>
              </w:rPr>
            </w:pPr>
            <w:r w:rsidRPr="00C658CD">
              <w:rPr>
                <w:b/>
                <w:sz w:val="22"/>
                <w:szCs w:val="22"/>
              </w:rPr>
              <w:t>(if applicable):</w:t>
            </w:r>
          </w:p>
        </w:tc>
        <w:tc>
          <w:tcPr>
            <w:tcW w:w="8038" w:type="dxa"/>
          </w:tcPr>
          <w:p w14:paraId="2CA88BC1" w14:textId="77777777" w:rsidR="00593BC6" w:rsidRPr="00C658CD" w:rsidRDefault="00593BC6" w:rsidP="00EA105F">
            <w:pPr>
              <w:rPr>
                <w:sz w:val="22"/>
                <w:szCs w:val="22"/>
              </w:rPr>
            </w:pPr>
          </w:p>
        </w:tc>
      </w:tr>
      <w:tr w:rsidR="00593BC6" w:rsidRPr="00C658CD" w14:paraId="131D5B27" w14:textId="77777777" w:rsidTr="00EA105F">
        <w:trPr>
          <w:cantSplit/>
          <w:trHeight w:val="270"/>
        </w:trPr>
        <w:tc>
          <w:tcPr>
            <w:tcW w:w="2150" w:type="dxa"/>
            <w:gridSpan w:val="3"/>
          </w:tcPr>
          <w:p w14:paraId="5B9F4F37" w14:textId="77777777" w:rsidR="00593BC6" w:rsidRPr="00C658CD" w:rsidRDefault="00593BC6" w:rsidP="00EA105F">
            <w:pPr>
              <w:rPr>
                <w:b/>
                <w:sz w:val="22"/>
                <w:szCs w:val="22"/>
              </w:rPr>
            </w:pPr>
          </w:p>
        </w:tc>
        <w:tc>
          <w:tcPr>
            <w:tcW w:w="8038" w:type="dxa"/>
          </w:tcPr>
          <w:p w14:paraId="09AED490" w14:textId="77777777" w:rsidR="00593BC6" w:rsidRPr="00C658CD" w:rsidRDefault="00593BC6" w:rsidP="00EA105F">
            <w:pPr>
              <w:rPr>
                <w:sz w:val="22"/>
                <w:szCs w:val="22"/>
              </w:rPr>
            </w:pPr>
          </w:p>
        </w:tc>
      </w:tr>
      <w:tr w:rsidR="00593BC6" w:rsidRPr="00C658CD" w14:paraId="2C8FC01D" w14:textId="77777777" w:rsidTr="00EA105F">
        <w:trPr>
          <w:cantSplit/>
          <w:trHeight w:val="270"/>
        </w:trPr>
        <w:tc>
          <w:tcPr>
            <w:tcW w:w="2150" w:type="dxa"/>
            <w:gridSpan w:val="3"/>
          </w:tcPr>
          <w:p w14:paraId="683E9B8A" w14:textId="77777777" w:rsidR="00593BC6" w:rsidRPr="00C658CD" w:rsidRDefault="00593BC6" w:rsidP="00EA105F">
            <w:pPr>
              <w:rPr>
                <w:b/>
                <w:sz w:val="22"/>
                <w:szCs w:val="22"/>
              </w:rPr>
            </w:pPr>
            <w:r w:rsidRPr="00C658CD">
              <w:rPr>
                <w:b/>
                <w:sz w:val="22"/>
                <w:szCs w:val="22"/>
              </w:rPr>
              <w:t>Organization:</w:t>
            </w:r>
          </w:p>
        </w:tc>
        <w:tc>
          <w:tcPr>
            <w:tcW w:w="8038" w:type="dxa"/>
          </w:tcPr>
          <w:p w14:paraId="44E1FC10" w14:textId="4A9435BC" w:rsidR="00593BC6" w:rsidRPr="008C7BDF" w:rsidRDefault="008C7BDF" w:rsidP="00EA105F">
            <w:pPr>
              <w:rPr>
                <w:rFonts w:cs="Cordia New" w:hint="cs"/>
                <w:sz w:val="22"/>
                <w:szCs w:val="28"/>
                <w:cs/>
                <w:lang w:val="en-US" w:bidi="th-TH"/>
              </w:rPr>
            </w:pPr>
            <w:r w:rsidRPr="00866615">
              <w:rPr>
                <w:rFonts w:asciiTheme="majorBidi" w:hAnsiTheme="majorBidi" w:cstheme="majorBidi"/>
                <w:sz w:val="22"/>
                <w:szCs w:val="22"/>
                <w:lang w:val="en-US" w:eastAsia="en-US" w:bidi="th-TH"/>
              </w:rPr>
              <w:t>Ministry of Higher Education, Science, Research and Innovation</w:t>
            </w:r>
          </w:p>
        </w:tc>
      </w:tr>
      <w:tr w:rsidR="00593BC6" w:rsidRPr="00C658CD" w14:paraId="3ED36EA3" w14:textId="77777777" w:rsidTr="00EA105F">
        <w:trPr>
          <w:cantSplit/>
          <w:trHeight w:val="233"/>
        </w:trPr>
        <w:tc>
          <w:tcPr>
            <w:tcW w:w="2150" w:type="dxa"/>
            <w:gridSpan w:val="3"/>
          </w:tcPr>
          <w:p w14:paraId="21C9EB42" w14:textId="77777777" w:rsidR="00593BC6" w:rsidRPr="00C658CD" w:rsidRDefault="00593BC6" w:rsidP="00EA105F">
            <w:pPr>
              <w:rPr>
                <w:b/>
                <w:sz w:val="22"/>
                <w:szCs w:val="22"/>
              </w:rPr>
            </w:pPr>
          </w:p>
        </w:tc>
        <w:tc>
          <w:tcPr>
            <w:tcW w:w="8038" w:type="dxa"/>
          </w:tcPr>
          <w:p w14:paraId="5A530AD5" w14:textId="77777777" w:rsidR="00593BC6" w:rsidRPr="00C658CD" w:rsidRDefault="00593BC6" w:rsidP="00EA105F">
            <w:pPr>
              <w:rPr>
                <w:sz w:val="22"/>
                <w:szCs w:val="22"/>
              </w:rPr>
            </w:pPr>
          </w:p>
        </w:tc>
      </w:tr>
      <w:tr w:rsidR="00593BC6" w:rsidRPr="00C658CD" w14:paraId="329D03C5" w14:textId="77777777" w:rsidTr="00EA105F">
        <w:trPr>
          <w:cantSplit/>
          <w:trHeight w:val="233"/>
        </w:trPr>
        <w:tc>
          <w:tcPr>
            <w:tcW w:w="2150" w:type="dxa"/>
            <w:gridSpan w:val="3"/>
          </w:tcPr>
          <w:p w14:paraId="50483436" w14:textId="77777777" w:rsidR="00593BC6" w:rsidRPr="00C658CD" w:rsidRDefault="00593BC6" w:rsidP="00EA105F">
            <w:pPr>
              <w:rPr>
                <w:b/>
                <w:sz w:val="22"/>
                <w:szCs w:val="22"/>
              </w:rPr>
            </w:pPr>
            <w:r w:rsidRPr="00C658CD">
              <w:rPr>
                <w:b/>
                <w:sz w:val="22"/>
                <w:szCs w:val="22"/>
              </w:rPr>
              <w:t>E-mail:</w:t>
            </w:r>
          </w:p>
        </w:tc>
        <w:tc>
          <w:tcPr>
            <w:tcW w:w="8038" w:type="dxa"/>
          </w:tcPr>
          <w:p w14:paraId="7D07E304" w14:textId="087AA8B0" w:rsidR="00593BC6" w:rsidRPr="00C658CD" w:rsidRDefault="008544A0" w:rsidP="00EA105F">
            <w:pPr>
              <w:rPr>
                <w:sz w:val="22"/>
                <w:szCs w:val="22"/>
              </w:rPr>
            </w:pPr>
            <w:r>
              <w:rPr>
                <w:sz w:val="22"/>
                <w:szCs w:val="22"/>
              </w:rPr>
              <w:t>biosafety@biotec.or.th</w:t>
            </w:r>
          </w:p>
        </w:tc>
      </w:tr>
      <w:tr w:rsidR="00593BC6" w:rsidRPr="00C658CD" w14:paraId="59BA55E5" w14:textId="77777777" w:rsidTr="00EA105F">
        <w:trPr>
          <w:cantSplit/>
          <w:trHeight w:val="233"/>
        </w:trPr>
        <w:tc>
          <w:tcPr>
            <w:tcW w:w="2150" w:type="dxa"/>
            <w:gridSpan w:val="3"/>
          </w:tcPr>
          <w:p w14:paraId="4CA66506" w14:textId="77777777" w:rsidR="00593BC6" w:rsidRPr="00C658CD" w:rsidRDefault="00593BC6" w:rsidP="00EA105F">
            <w:pPr>
              <w:rPr>
                <w:b/>
                <w:sz w:val="22"/>
                <w:szCs w:val="22"/>
              </w:rPr>
            </w:pPr>
          </w:p>
        </w:tc>
        <w:tc>
          <w:tcPr>
            <w:tcW w:w="8038" w:type="dxa"/>
          </w:tcPr>
          <w:p w14:paraId="267E6375" w14:textId="77777777" w:rsidR="00593BC6" w:rsidRPr="00C658CD" w:rsidRDefault="00593BC6" w:rsidP="00EA105F">
            <w:pPr>
              <w:rPr>
                <w:sz w:val="22"/>
                <w:szCs w:val="22"/>
              </w:rPr>
            </w:pPr>
          </w:p>
        </w:tc>
      </w:tr>
      <w:tr w:rsidR="00593BC6" w:rsidRPr="00C658CD" w14:paraId="333DFC97" w14:textId="77777777" w:rsidTr="00EA105F">
        <w:trPr>
          <w:cantSplit/>
          <w:trHeight w:val="233"/>
        </w:trPr>
        <w:tc>
          <w:tcPr>
            <w:tcW w:w="10188" w:type="dxa"/>
            <w:gridSpan w:val="4"/>
            <w:shd w:val="clear" w:color="auto" w:fill="BFBFBF"/>
          </w:tcPr>
          <w:p w14:paraId="21278E85" w14:textId="77777777" w:rsidR="00593BC6" w:rsidRPr="00C658CD" w:rsidRDefault="00593BC6" w:rsidP="00EA105F">
            <w:pPr>
              <w:rPr>
                <w:b/>
                <w:sz w:val="22"/>
                <w:szCs w:val="22"/>
              </w:rPr>
            </w:pPr>
          </w:p>
          <w:p w14:paraId="05933792" w14:textId="14B8E253" w:rsidR="00593BC6" w:rsidRPr="00C658CD" w:rsidRDefault="00593BC6" w:rsidP="00EA105F">
            <w:pPr>
              <w:rPr>
                <w:b/>
                <w:sz w:val="22"/>
                <w:szCs w:val="22"/>
              </w:rPr>
            </w:pPr>
            <w:r w:rsidRPr="00C658CD">
              <w:rPr>
                <w:b/>
                <w:sz w:val="22"/>
                <w:szCs w:val="22"/>
              </w:rPr>
              <w:t>Comments on th</w:t>
            </w:r>
            <w:r w:rsidR="00363EF2">
              <w:rPr>
                <w:b/>
                <w:sz w:val="22"/>
                <w:szCs w:val="22"/>
              </w:rPr>
              <w:t>e Technical Series on Synthetic Biology</w:t>
            </w:r>
          </w:p>
          <w:p w14:paraId="7BC798CD" w14:textId="77777777" w:rsidR="00593BC6" w:rsidRPr="00C658CD" w:rsidRDefault="00593BC6" w:rsidP="00EA105F">
            <w:pPr>
              <w:rPr>
                <w:b/>
                <w:sz w:val="22"/>
                <w:szCs w:val="22"/>
              </w:rPr>
            </w:pPr>
          </w:p>
        </w:tc>
      </w:tr>
      <w:tr w:rsidR="00593BC6" w:rsidRPr="00C658CD" w14:paraId="2A5F8AC1" w14:textId="77777777" w:rsidTr="00135D96">
        <w:trPr>
          <w:cantSplit/>
          <w:trHeight w:val="233"/>
        </w:trPr>
        <w:tc>
          <w:tcPr>
            <w:tcW w:w="918" w:type="dxa"/>
          </w:tcPr>
          <w:p w14:paraId="6C0FFA1B" w14:textId="77777777" w:rsidR="00593BC6" w:rsidRPr="00C658CD" w:rsidRDefault="00593BC6" w:rsidP="00EA105F">
            <w:pPr>
              <w:rPr>
                <w:b/>
                <w:sz w:val="22"/>
                <w:szCs w:val="22"/>
              </w:rPr>
            </w:pPr>
            <w:r w:rsidRPr="00C658CD">
              <w:rPr>
                <w:b/>
                <w:sz w:val="22"/>
                <w:szCs w:val="22"/>
              </w:rPr>
              <w:t>Page</w:t>
            </w:r>
            <w:r w:rsidR="00F94D0C">
              <w:rPr>
                <w:b/>
                <w:sz w:val="22"/>
                <w:szCs w:val="22"/>
              </w:rPr>
              <w:t xml:space="preserve"> #</w:t>
            </w:r>
          </w:p>
        </w:tc>
        <w:tc>
          <w:tcPr>
            <w:tcW w:w="1125" w:type="dxa"/>
          </w:tcPr>
          <w:p w14:paraId="3BFAC210" w14:textId="77777777" w:rsidR="00593BC6" w:rsidRPr="00C658CD" w:rsidRDefault="005411E6" w:rsidP="00135D96">
            <w:pPr>
              <w:rPr>
                <w:b/>
                <w:sz w:val="22"/>
                <w:szCs w:val="22"/>
              </w:rPr>
            </w:pPr>
            <w:r>
              <w:rPr>
                <w:b/>
                <w:sz w:val="22"/>
                <w:szCs w:val="22"/>
              </w:rPr>
              <w:t xml:space="preserve">Line </w:t>
            </w:r>
            <w:r w:rsidR="00135D96">
              <w:rPr>
                <w:b/>
                <w:sz w:val="22"/>
                <w:szCs w:val="22"/>
              </w:rPr>
              <w:t>#</w:t>
            </w:r>
          </w:p>
        </w:tc>
        <w:tc>
          <w:tcPr>
            <w:tcW w:w="8145" w:type="dxa"/>
            <w:gridSpan w:val="2"/>
          </w:tcPr>
          <w:p w14:paraId="1DF3BB27" w14:textId="77777777" w:rsidR="00593BC6" w:rsidRPr="00C658CD" w:rsidRDefault="00593BC6" w:rsidP="00EA105F">
            <w:pPr>
              <w:rPr>
                <w:b/>
                <w:sz w:val="22"/>
                <w:szCs w:val="22"/>
              </w:rPr>
            </w:pPr>
            <w:r w:rsidRPr="00C658CD">
              <w:rPr>
                <w:b/>
                <w:sz w:val="22"/>
                <w:szCs w:val="22"/>
              </w:rPr>
              <w:t>Comment</w:t>
            </w:r>
          </w:p>
        </w:tc>
      </w:tr>
      <w:tr w:rsidR="00593BC6" w:rsidRPr="00C658CD" w14:paraId="52D4B2D0" w14:textId="77777777" w:rsidTr="00135D96">
        <w:trPr>
          <w:cantSplit/>
          <w:trHeight w:val="233"/>
        </w:trPr>
        <w:tc>
          <w:tcPr>
            <w:tcW w:w="918" w:type="dxa"/>
          </w:tcPr>
          <w:p w14:paraId="2E5AE1CF" w14:textId="21EADF5C" w:rsidR="00593BC6" w:rsidRPr="00C658CD" w:rsidRDefault="00C2295F" w:rsidP="00EA105F">
            <w:pPr>
              <w:rPr>
                <w:sz w:val="22"/>
                <w:szCs w:val="22"/>
              </w:rPr>
            </w:pPr>
            <w:r>
              <w:rPr>
                <w:sz w:val="22"/>
                <w:szCs w:val="22"/>
              </w:rPr>
              <w:t>8</w:t>
            </w:r>
          </w:p>
        </w:tc>
        <w:tc>
          <w:tcPr>
            <w:tcW w:w="1125" w:type="dxa"/>
          </w:tcPr>
          <w:p w14:paraId="6F9597EA" w14:textId="51723C52" w:rsidR="00593BC6" w:rsidRPr="00C658CD" w:rsidRDefault="00C2295F" w:rsidP="00EA105F">
            <w:pPr>
              <w:rPr>
                <w:sz w:val="22"/>
                <w:szCs w:val="22"/>
              </w:rPr>
            </w:pPr>
            <w:r>
              <w:rPr>
                <w:sz w:val="22"/>
                <w:szCs w:val="22"/>
              </w:rPr>
              <w:t>2-5</w:t>
            </w:r>
          </w:p>
        </w:tc>
        <w:tc>
          <w:tcPr>
            <w:tcW w:w="8145" w:type="dxa"/>
            <w:gridSpan w:val="2"/>
          </w:tcPr>
          <w:p w14:paraId="58F1E46B" w14:textId="46391CE6" w:rsidR="00593BC6" w:rsidRPr="00C658CD" w:rsidRDefault="00593BC6" w:rsidP="00EA105F">
            <w:pPr>
              <w:rPr>
                <w:sz w:val="22"/>
                <w:szCs w:val="22"/>
              </w:rPr>
            </w:pPr>
            <w:r w:rsidRPr="00C658CD">
              <w:rPr>
                <w:sz w:val="22"/>
                <w:szCs w:val="22"/>
              </w:rPr>
              <w:t>Th</w:t>
            </w:r>
            <w:r w:rsidR="00C2295F">
              <w:rPr>
                <w:sz w:val="22"/>
                <w:szCs w:val="22"/>
              </w:rPr>
              <w:t xml:space="preserve">e provided definition of synthetic biology is pretty broad. While there is still no single definition of this field, it might be useful to </w:t>
            </w:r>
            <w:r w:rsidR="0050656D">
              <w:rPr>
                <w:sz w:val="22"/>
                <w:szCs w:val="22"/>
              </w:rPr>
              <w:t>add</w:t>
            </w:r>
            <w:r w:rsidR="00C2295F">
              <w:rPr>
                <w:sz w:val="22"/>
                <w:szCs w:val="22"/>
              </w:rPr>
              <w:t xml:space="preserve"> some clarification regarding the differences between synthetic biology, genetic engineering and biotechnology (if there is any). </w:t>
            </w:r>
          </w:p>
        </w:tc>
      </w:tr>
      <w:tr w:rsidR="008544A0" w:rsidRPr="00C658CD" w14:paraId="4602C334" w14:textId="77777777" w:rsidTr="00135D96">
        <w:trPr>
          <w:cantSplit/>
          <w:trHeight w:val="233"/>
        </w:trPr>
        <w:tc>
          <w:tcPr>
            <w:tcW w:w="918" w:type="dxa"/>
          </w:tcPr>
          <w:p w14:paraId="79DB7CA8" w14:textId="0AEE9CF0" w:rsidR="008544A0" w:rsidRDefault="008544A0" w:rsidP="008544A0">
            <w:pPr>
              <w:rPr>
                <w:sz w:val="22"/>
                <w:szCs w:val="22"/>
              </w:rPr>
            </w:pPr>
            <w:r>
              <w:rPr>
                <w:sz w:val="22"/>
                <w:szCs w:val="22"/>
              </w:rPr>
              <w:t>9</w:t>
            </w:r>
          </w:p>
        </w:tc>
        <w:tc>
          <w:tcPr>
            <w:tcW w:w="1125" w:type="dxa"/>
          </w:tcPr>
          <w:p w14:paraId="744A4418" w14:textId="7F076485" w:rsidR="008544A0" w:rsidRDefault="008544A0" w:rsidP="008544A0">
            <w:pPr>
              <w:rPr>
                <w:sz w:val="22"/>
                <w:szCs w:val="22"/>
              </w:rPr>
            </w:pPr>
            <w:r>
              <w:rPr>
                <w:sz w:val="22"/>
                <w:szCs w:val="22"/>
              </w:rPr>
              <w:t>40</w:t>
            </w:r>
          </w:p>
        </w:tc>
        <w:tc>
          <w:tcPr>
            <w:tcW w:w="8145" w:type="dxa"/>
            <w:gridSpan w:val="2"/>
          </w:tcPr>
          <w:p w14:paraId="602351B7" w14:textId="59A85181" w:rsidR="008544A0" w:rsidRPr="00C658CD" w:rsidRDefault="008544A0" w:rsidP="008544A0">
            <w:pPr>
              <w:rPr>
                <w:sz w:val="22"/>
                <w:szCs w:val="22"/>
              </w:rPr>
            </w:pPr>
            <w:r>
              <w:rPr>
                <w:sz w:val="22"/>
                <w:szCs w:val="22"/>
              </w:rPr>
              <w:t>… to take pressure “off” of wild populations,…</w:t>
            </w:r>
          </w:p>
        </w:tc>
      </w:tr>
      <w:tr w:rsidR="008544A0" w:rsidRPr="00C658CD" w14:paraId="3E94F419" w14:textId="77777777" w:rsidTr="00135D96">
        <w:trPr>
          <w:cantSplit/>
          <w:trHeight w:val="233"/>
        </w:trPr>
        <w:tc>
          <w:tcPr>
            <w:tcW w:w="918" w:type="dxa"/>
          </w:tcPr>
          <w:p w14:paraId="44DCBC84" w14:textId="32C4AA4B" w:rsidR="008544A0" w:rsidRPr="00C658CD" w:rsidRDefault="008544A0" w:rsidP="008544A0">
            <w:pPr>
              <w:rPr>
                <w:sz w:val="22"/>
                <w:szCs w:val="22"/>
              </w:rPr>
            </w:pPr>
            <w:r>
              <w:rPr>
                <w:sz w:val="22"/>
                <w:szCs w:val="22"/>
              </w:rPr>
              <w:t>10</w:t>
            </w:r>
          </w:p>
        </w:tc>
        <w:tc>
          <w:tcPr>
            <w:tcW w:w="1125" w:type="dxa"/>
          </w:tcPr>
          <w:p w14:paraId="6338DD75" w14:textId="7B05E8EF" w:rsidR="008544A0" w:rsidRPr="00C658CD" w:rsidRDefault="008544A0" w:rsidP="008544A0">
            <w:pPr>
              <w:rPr>
                <w:sz w:val="22"/>
                <w:szCs w:val="22"/>
              </w:rPr>
            </w:pPr>
            <w:r>
              <w:rPr>
                <w:sz w:val="22"/>
                <w:szCs w:val="22"/>
              </w:rPr>
              <w:t>4-5</w:t>
            </w:r>
          </w:p>
        </w:tc>
        <w:tc>
          <w:tcPr>
            <w:tcW w:w="8145" w:type="dxa"/>
            <w:gridSpan w:val="2"/>
          </w:tcPr>
          <w:p w14:paraId="1794B29D" w14:textId="667B8EFC" w:rsidR="008544A0" w:rsidRPr="00C658CD" w:rsidRDefault="008544A0" w:rsidP="008544A0">
            <w:pPr>
              <w:rPr>
                <w:sz w:val="22"/>
                <w:szCs w:val="22"/>
              </w:rPr>
            </w:pPr>
            <w:r>
              <w:rPr>
                <w:sz w:val="22"/>
                <w:szCs w:val="22"/>
              </w:rPr>
              <w:t xml:space="preserve">Given a vague definition of synthetic biology, the ranges of estimated synbio market values and growth rates vary widely depending on reference sources. The authors should provide more detail on where these numbers come from. </w:t>
            </w:r>
          </w:p>
        </w:tc>
      </w:tr>
      <w:tr w:rsidR="008544A0" w:rsidRPr="00C658CD" w14:paraId="4EF3365F" w14:textId="77777777" w:rsidTr="00135D96">
        <w:trPr>
          <w:cantSplit/>
          <w:trHeight w:val="233"/>
        </w:trPr>
        <w:tc>
          <w:tcPr>
            <w:tcW w:w="918" w:type="dxa"/>
          </w:tcPr>
          <w:p w14:paraId="50188617" w14:textId="7AD59892" w:rsidR="008544A0" w:rsidRDefault="008544A0" w:rsidP="008544A0">
            <w:pPr>
              <w:rPr>
                <w:sz w:val="22"/>
                <w:szCs w:val="22"/>
              </w:rPr>
            </w:pPr>
            <w:r>
              <w:rPr>
                <w:sz w:val="22"/>
                <w:szCs w:val="22"/>
              </w:rPr>
              <w:t>12</w:t>
            </w:r>
          </w:p>
        </w:tc>
        <w:tc>
          <w:tcPr>
            <w:tcW w:w="1125" w:type="dxa"/>
          </w:tcPr>
          <w:p w14:paraId="57DD120F" w14:textId="6F4B03E2" w:rsidR="008544A0" w:rsidRDefault="008544A0" w:rsidP="008544A0">
            <w:pPr>
              <w:rPr>
                <w:sz w:val="22"/>
                <w:szCs w:val="22"/>
              </w:rPr>
            </w:pPr>
            <w:r>
              <w:rPr>
                <w:sz w:val="22"/>
                <w:szCs w:val="22"/>
              </w:rPr>
              <w:t>23</w:t>
            </w:r>
          </w:p>
        </w:tc>
        <w:tc>
          <w:tcPr>
            <w:tcW w:w="8145" w:type="dxa"/>
            <w:gridSpan w:val="2"/>
          </w:tcPr>
          <w:p w14:paraId="570AA89B" w14:textId="2BE0F634" w:rsidR="008544A0" w:rsidRDefault="008544A0" w:rsidP="008544A0">
            <w:pPr>
              <w:rPr>
                <w:sz w:val="22"/>
                <w:szCs w:val="22"/>
              </w:rPr>
            </w:pPr>
            <w:r>
              <w:rPr>
                <w:sz w:val="22"/>
                <w:szCs w:val="22"/>
              </w:rPr>
              <w:t>Misplaced sentence</w:t>
            </w:r>
          </w:p>
        </w:tc>
      </w:tr>
      <w:tr w:rsidR="008544A0" w:rsidRPr="00B30682" w14:paraId="1C656F45" w14:textId="77777777" w:rsidTr="00135D96">
        <w:trPr>
          <w:cantSplit/>
          <w:trHeight w:val="233"/>
        </w:trPr>
        <w:tc>
          <w:tcPr>
            <w:tcW w:w="918" w:type="dxa"/>
          </w:tcPr>
          <w:p w14:paraId="73652C5C" w14:textId="4D6F6D59" w:rsidR="008544A0" w:rsidRPr="00C658CD" w:rsidRDefault="008544A0" w:rsidP="008544A0">
            <w:pPr>
              <w:rPr>
                <w:sz w:val="22"/>
                <w:szCs w:val="22"/>
              </w:rPr>
            </w:pPr>
            <w:r>
              <w:rPr>
                <w:sz w:val="22"/>
                <w:szCs w:val="22"/>
              </w:rPr>
              <w:t>19</w:t>
            </w:r>
          </w:p>
        </w:tc>
        <w:tc>
          <w:tcPr>
            <w:tcW w:w="1125" w:type="dxa"/>
          </w:tcPr>
          <w:p w14:paraId="0B63B7FE" w14:textId="3A13EA00" w:rsidR="008544A0" w:rsidRPr="00C658CD" w:rsidRDefault="008544A0" w:rsidP="008544A0">
            <w:pPr>
              <w:rPr>
                <w:sz w:val="22"/>
                <w:szCs w:val="22"/>
              </w:rPr>
            </w:pPr>
            <w:r>
              <w:rPr>
                <w:sz w:val="22"/>
                <w:szCs w:val="22"/>
              </w:rPr>
              <w:t>33</w:t>
            </w:r>
          </w:p>
        </w:tc>
        <w:tc>
          <w:tcPr>
            <w:tcW w:w="8145" w:type="dxa"/>
            <w:gridSpan w:val="2"/>
          </w:tcPr>
          <w:p w14:paraId="0B96346A" w14:textId="24A0278B" w:rsidR="008544A0" w:rsidRPr="00F86F63" w:rsidRDefault="008544A0" w:rsidP="008544A0">
            <w:pPr>
              <w:rPr>
                <w:sz w:val="22"/>
                <w:szCs w:val="22"/>
              </w:rPr>
            </w:pPr>
            <w:r>
              <w:rPr>
                <w:sz w:val="22"/>
                <w:szCs w:val="22"/>
              </w:rPr>
              <w:t xml:space="preserve">As the authors mentioned, “gene drive” is not a single technology but rather a suit of approaches, each of which has different levels of risk and capability. Thus, it is worth getting into a bit more detail on the range of existing approaches and ongoing discussion about how to utilize and regulate each of them. </w:t>
            </w:r>
          </w:p>
        </w:tc>
      </w:tr>
      <w:tr w:rsidR="008544A0" w:rsidRPr="00AD22DE" w14:paraId="4CEEBB68" w14:textId="77777777" w:rsidTr="00135D96">
        <w:trPr>
          <w:cantSplit/>
          <w:trHeight w:val="233"/>
        </w:trPr>
        <w:tc>
          <w:tcPr>
            <w:tcW w:w="918" w:type="dxa"/>
          </w:tcPr>
          <w:p w14:paraId="7A6A7CB6" w14:textId="1647CDEE" w:rsidR="008544A0" w:rsidRPr="00F86F63" w:rsidRDefault="008544A0" w:rsidP="008544A0">
            <w:pPr>
              <w:rPr>
                <w:sz w:val="22"/>
                <w:szCs w:val="22"/>
              </w:rPr>
            </w:pPr>
            <w:r>
              <w:rPr>
                <w:sz w:val="22"/>
                <w:szCs w:val="22"/>
              </w:rPr>
              <w:t>41</w:t>
            </w:r>
          </w:p>
        </w:tc>
        <w:tc>
          <w:tcPr>
            <w:tcW w:w="1125" w:type="dxa"/>
          </w:tcPr>
          <w:p w14:paraId="623F395E" w14:textId="0067A568" w:rsidR="008544A0" w:rsidRPr="00F86F63" w:rsidRDefault="008544A0" w:rsidP="008544A0">
            <w:pPr>
              <w:rPr>
                <w:sz w:val="22"/>
                <w:szCs w:val="22"/>
              </w:rPr>
            </w:pPr>
            <w:r>
              <w:rPr>
                <w:sz w:val="22"/>
                <w:szCs w:val="22"/>
              </w:rPr>
              <w:t>38</w:t>
            </w:r>
          </w:p>
        </w:tc>
        <w:tc>
          <w:tcPr>
            <w:tcW w:w="8145" w:type="dxa"/>
            <w:gridSpan w:val="2"/>
          </w:tcPr>
          <w:p w14:paraId="2E88B0AD" w14:textId="0E2E9B73" w:rsidR="008544A0" w:rsidRPr="00F86F63" w:rsidRDefault="008544A0" w:rsidP="008544A0">
            <w:pPr>
              <w:rPr>
                <w:sz w:val="22"/>
                <w:szCs w:val="22"/>
              </w:rPr>
            </w:pPr>
            <w:r>
              <w:rPr>
                <w:sz w:val="22"/>
                <w:szCs w:val="22"/>
              </w:rPr>
              <w:t xml:space="preserve">Risk &amp; benefit assessment of using gene drives to target invasive alien species (IAS) should be done in the context of other countermeasure approaches (such as the use of chemicals or ecological manipulation approaches) as well as comparing to the risk of benefit of taking no action. There should be more discussion these topics. </w:t>
            </w:r>
          </w:p>
        </w:tc>
      </w:tr>
      <w:tr w:rsidR="008544A0" w:rsidRPr="00AD22DE" w14:paraId="4A4D44A2" w14:textId="77777777" w:rsidTr="00135D96">
        <w:trPr>
          <w:cantSplit/>
          <w:trHeight w:val="233"/>
        </w:trPr>
        <w:tc>
          <w:tcPr>
            <w:tcW w:w="918" w:type="dxa"/>
          </w:tcPr>
          <w:p w14:paraId="7D986775" w14:textId="148B8B67" w:rsidR="008544A0" w:rsidRPr="00F86F63" w:rsidRDefault="008544A0" w:rsidP="008544A0">
            <w:pPr>
              <w:rPr>
                <w:sz w:val="22"/>
                <w:szCs w:val="22"/>
              </w:rPr>
            </w:pPr>
            <w:r>
              <w:rPr>
                <w:sz w:val="22"/>
                <w:szCs w:val="22"/>
              </w:rPr>
              <w:t>47</w:t>
            </w:r>
          </w:p>
        </w:tc>
        <w:tc>
          <w:tcPr>
            <w:tcW w:w="1125" w:type="dxa"/>
          </w:tcPr>
          <w:p w14:paraId="5AC5FC2C" w14:textId="11B4922F" w:rsidR="008544A0" w:rsidRPr="00F86F63" w:rsidRDefault="008544A0" w:rsidP="008544A0">
            <w:pPr>
              <w:rPr>
                <w:sz w:val="22"/>
                <w:szCs w:val="22"/>
              </w:rPr>
            </w:pPr>
            <w:r>
              <w:rPr>
                <w:sz w:val="22"/>
                <w:szCs w:val="22"/>
              </w:rPr>
              <w:t>40-41</w:t>
            </w:r>
          </w:p>
        </w:tc>
        <w:tc>
          <w:tcPr>
            <w:tcW w:w="8145" w:type="dxa"/>
            <w:gridSpan w:val="2"/>
          </w:tcPr>
          <w:p w14:paraId="786809CF" w14:textId="51F95872" w:rsidR="008544A0" w:rsidRPr="00F86F63" w:rsidRDefault="008544A0" w:rsidP="008544A0">
            <w:pPr>
              <w:rPr>
                <w:sz w:val="22"/>
                <w:szCs w:val="22"/>
              </w:rPr>
            </w:pPr>
            <w:r>
              <w:rPr>
                <w:sz w:val="22"/>
                <w:szCs w:val="22"/>
              </w:rPr>
              <w:t xml:space="preserve">It would be nice to elaborate on public opinion / consumer perceptions regarding bio-compounds derived from nature vs synthetic chemistry vs synthetic biology approaches.  </w:t>
            </w:r>
          </w:p>
        </w:tc>
      </w:tr>
      <w:tr w:rsidR="008544A0" w:rsidRPr="00AD22DE" w14:paraId="12F556C9" w14:textId="77777777" w:rsidTr="00135D96">
        <w:trPr>
          <w:cantSplit/>
          <w:trHeight w:val="233"/>
        </w:trPr>
        <w:tc>
          <w:tcPr>
            <w:tcW w:w="918" w:type="dxa"/>
          </w:tcPr>
          <w:p w14:paraId="114ECD33" w14:textId="2C29D659" w:rsidR="008544A0" w:rsidRPr="00F86F63" w:rsidRDefault="008544A0" w:rsidP="008544A0">
            <w:pPr>
              <w:rPr>
                <w:sz w:val="22"/>
                <w:szCs w:val="22"/>
              </w:rPr>
            </w:pPr>
            <w:r>
              <w:rPr>
                <w:sz w:val="22"/>
                <w:szCs w:val="22"/>
              </w:rPr>
              <w:t>48</w:t>
            </w:r>
          </w:p>
        </w:tc>
        <w:tc>
          <w:tcPr>
            <w:tcW w:w="1125" w:type="dxa"/>
          </w:tcPr>
          <w:p w14:paraId="1722E8E8" w14:textId="0DF80673" w:rsidR="008544A0" w:rsidRPr="00F86F63" w:rsidRDefault="008544A0" w:rsidP="008544A0">
            <w:pPr>
              <w:rPr>
                <w:sz w:val="22"/>
                <w:szCs w:val="22"/>
              </w:rPr>
            </w:pPr>
            <w:r>
              <w:rPr>
                <w:sz w:val="22"/>
                <w:szCs w:val="22"/>
              </w:rPr>
              <w:t>37-39</w:t>
            </w:r>
          </w:p>
        </w:tc>
        <w:tc>
          <w:tcPr>
            <w:tcW w:w="8145" w:type="dxa"/>
            <w:gridSpan w:val="2"/>
          </w:tcPr>
          <w:p w14:paraId="314DDBC8" w14:textId="656E7039" w:rsidR="008544A0" w:rsidRPr="00F86F63" w:rsidRDefault="008C7BDF" w:rsidP="008544A0">
            <w:pPr>
              <w:rPr>
                <w:sz w:val="22"/>
                <w:szCs w:val="22"/>
              </w:rPr>
            </w:pPr>
            <w:r>
              <w:rPr>
                <w:sz w:val="22"/>
                <w:szCs w:val="22"/>
                <w:lang w:val="en-US"/>
              </w:rPr>
              <w:t>We</w:t>
            </w:r>
            <w:r w:rsidR="008544A0">
              <w:rPr>
                <w:sz w:val="22"/>
                <w:szCs w:val="22"/>
              </w:rPr>
              <w:t xml:space="preserve"> would love to see more statistics and trends regarding public acceptance of different kinds of synthetic biology technologies and products. </w:t>
            </w:r>
          </w:p>
        </w:tc>
      </w:tr>
      <w:tr w:rsidR="008544A0" w:rsidRPr="00AD22DE" w14:paraId="786AB29D" w14:textId="77777777" w:rsidTr="00135D96">
        <w:trPr>
          <w:cantSplit/>
          <w:trHeight w:val="233"/>
        </w:trPr>
        <w:tc>
          <w:tcPr>
            <w:tcW w:w="918" w:type="dxa"/>
          </w:tcPr>
          <w:p w14:paraId="690F094D" w14:textId="3A7AD534" w:rsidR="008544A0" w:rsidRPr="00F86F63" w:rsidRDefault="008544A0" w:rsidP="008544A0">
            <w:pPr>
              <w:rPr>
                <w:sz w:val="22"/>
                <w:szCs w:val="22"/>
              </w:rPr>
            </w:pPr>
            <w:r>
              <w:rPr>
                <w:sz w:val="22"/>
                <w:szCs w:val="22"/>
              </w:rPr>
              <w:t>55</w:t>
            </w:r>
          </w:p>
        </w:tc>
        <w:tc>
          <w:tcPr>
            <w:tcW w:w="1125" w:type="dxa"/>
          </w:tcPr>
          <w:p w14:paraId="00E4B63A" w14:textId="6C527695" w:rsidR="008544A0" w:rsidRPr="00F86F63" w:rsidRDefault="008544A0" w:rsidP="008544A0">
            <w:pPr>
              <w:rPr>
                <w:sz w:val="22"/>
                <w:szCs w:val="22"/>
              </w:rPr>
            </w:pPr>
            <w:r>
              <w:rPr>
                <w:sz w:val="22"/>
                <w:szCs w:val="22"/>
              </w:rPr>
              <w:t>20-21</w:t>
            </w:r>
          </w:p>
        </w:tc>
        <w:tc>
          <w:tcPr>
            <w:tcW w:w="8145" w:type="dxa"/>
            <w:gridSpan w:val="2"/>
          </w:tcPr>
          <w:p w14:paraId="612F8E15" w14:textId="31F07202" w:rsidR="008544A0" w:rsidRPr="00F86F63" w:rsidRDefault="008544A0" w:rsidP="008544A0">
            <w:pPr>
              <w:rPr>
                <w:sz w:val="22"/>
                <w:szCs w:val="22"/>
              </w:rPr>
            </w:pPr>
            <w:r>
              <w:rPr>
                <w:sz w:val="22"/>
                <w:szCs w:val="22"/>
              </w:rPr>
              <w:t>The real harms inflicted by biohackers might be small (given their limited proficiency/experience/resources). However, these activities could do serious damages on the public perception on the scientific community and the field in general. How have the policymaker, academia and industry planned to prevent/mitigate that?</w:t>
            </w:r>
          </w:p>
        </w:tc>
      </w:tr>
      <w:tr w:rsidR="008544A0" w:rsidRPr="00AD22DE" w14:paraId="077ECF3C" w14:textId="77777777" w:rsidTr="00135D96">
        <w:trPr>
          <w:cantSplit/>
          <w:trHeight w:val="233"/>
        </w:trPr>
        <w:tc>
          <w:tcPr>
            <w:tcW w:w="918" w:type="dxa"/>
          </w:tcPr>
          <w:p w14:paraId="3053276C" w14:textId="1BADCAC1" w:rsidR="008544A0" w:rsidRPr="00F86F63" w:rsidRDefault="008544A0" w:rsidP="008544A0">
            <w:pPr>
              <w:rPr>
                <w:sz w:val="22"/>
                <w:szCs w:val="22"/>
              </w:rPr>
            </w:pPr>
            <w:r>
              <w:rPr>
                <w:sz w:val="22"/>
                <w:szCs w:val="22"/>
              </w:rPr>
              <w:t>64</w:t>
            </w:r>
          </w:p>
        </w:tc>
        <w:tc>
          <w:tcPr>
            <w:tcW w:w="1125" w:type="dxa"/>
          </w:tcPr>
          <w:p w14:paraId="011C33C7" w14:textId="34D8A33B" w:rsidR="008544A0" w:rsidRPr="00F86F63" w:rsidRDefault="008544A0" w:rsidP="008544A0">
            <w:pPr>
              <w:rPr>
                <w:sz w:val="22"/>
                <w:szCs w:val="22"/>
              </w:rPr>
            </w:pPr>
            <w:r>
              <w:rPr>
                <w:sz w:val="22"/>
                <w:szCs w:val="22"/>
              </w:rPr>
              <w:t>28-29</w:t>
            </w:r>
          </w:p>
        </w:tc>
        <w:tc>
          <w:tcPr>
            <w:tcW w:w="8145" w:type="dxa"/>
            <w:gridSpan w:val="2"/>
          </w:tcPr>
          <w:p w14:paraId="31FB0F18" w14:textId="724D95AE" w:rsidR="008544A0" w:rsidRPr="00F86F63" w:rsidRDefault="008544A0" w:rsidP="008544A0">
            <w:pPr>
              <w:rPr>
                <w:sz w:val="22"/>
                <w:szCs w:val="22"/>
              </w:rPr>
            </w:pPr>
            <w:r>
              <w:rPr>
                <w:sz w:val="22"/>
                <w:szCs w:val="22"/>
              </w:rPr>
              <w:t>It is still unclear how we might distinguish between natural mutations that happen spontaneously vs mutation directed by genome editing (especially SDN-1).</w:t>
            </w:r>
          </w:p>
        </w:tc>
      </w:tr>
      <w:tr w:rsidR="008544A0" w:rsidRPr="00AD22DE" w14:paraId="31B1A49C" w14:textId="77777777" w:rsidTr="00135D96">
        <w:trPr>
          <w:cantSplit/>
          <w:trHeight w:val="233"/>
        </w:trPr>
        <w:tc>
          <w:tcPr>
            <w:tcW w:w="918" w:type="dxa"/>
          </w:tcPr>
          <w:p w14:paraId="26E0E2AA" w14:textId="48159946" w:rsidR="008544A0" w:rsidRPr="00F86F63" w:rsidRDefault="008544A0" w:rsidP="008544A0">
            <w:pPr>
              <w:rPr>
                <w:sz w:val="22"/>
                <w:szCs w:val="22"/>
              </w:rPr>
            </w:pPr>
            <w:r>
              <w:rPr>
                <w:sz w:val="22"/>
                <w:szCs w:val="22"/>
              </w:rPr>
              <w:t>94</w:t>
            </w:r>
          </w:p>
        </w:tc>
        <w:tc>
          <w:tcPr>
            <w:tcW w:w="1125" w:type="dxa"/>
          </w:tcPr>
          <w:p w14:paraId="1C6455E2" w14:textId="18E7C174" w:rsidR="008544A0" w:rsidRPr="00F86F63" w:rsidRDefault="008544A0" w:rsidP="008544A0">
            <w:pPr>
              <w:rPr>
                <w:sz w:val="22"/>
                <w:szCs w:val="22"/>
              </w:rPr>
            </w:pPr>
            <w:r>
              <w:rPr>
                <w:sz w:val="22"/>
                <w:szCs w:val="22"/>
              </w:rPr>
              <w:t>30</w:t>
            </w:r>
          </w:p>
        </w:tc>
        <w:tc>
          <w:tcPr>
            <w:tcW w:w="8145" w:type="dxa"/>
            <w:gridSpan w:val="2"/>
          </w:tcPr>
          <w:p w14:paraId="503F912F" w14:textId="705272D2" w:rsidR="008544A0" w:rsidRPr="00F86F63" w:rsidRDefault="008544A0" w:rsidP="008544A0">
            <w:pPr>
              <w:rPr>
                <w:sz w:val="22"/>
                <w:szCs w:val="22"/>
              </w:rPr>
            </w:pPr>
            <w:r>
              <w:rPr>
                <w:sz w:val="22"/>
                <w:szCs w:val="22"/>
              </w:rPr>
              <w:t xml:space="preserve">A number of international rules, regulatory practices, processes and initiatives have emerged recently. It is confusing for general audience (including myself) to what extent these rules and regulations have been enforced and whether they have been in conflict with one another.  </w:t>
            </w:r>
          </w:p>
        </w:tc>
      </w:tr>
      <w:tr w:rsidR="008544A0" w:rsidRPr="00AD22DE" w14:paraId="7DA9A366" w14:textId="77777777" w:rsidTr="00135D96">
        <w:trPr>
          <w:cantSplit/>
          <w:trHeight w:val="233"/>
        </w:trPr>
        <w:tc>
          <w:tcPr>
            <w:tcW w:w="918" w:type="dxa"/>
          </w:tcPr>
          <w:p w14:paraId="0704BF74" w14:textId="588803BC" w:rsidR="008544A0" w:rsidRPr="00F86F63" w:rsidRDefault="008544A0" w:rsidP="008544A0">
            <w:pPr>
              <w:rPr>
                <w:sz w:val="22"/>
                <w:szCs w:val="22"/>
              </w:rPr>
            </w:pPr>
            <w:r>
              <w:rPr>
                <w:sz w:val="22"/>
                <w:szCs w:val="22"/>
              </w:rPr>
              <w:lastRenderedPageBreak/>
              <w:t>129</w:t>
            </w:r>
          </w:p>
        </w:tc>
        <w:tc>
          <w:tcPr>
            <w:tcW w:w="1125" w:type="dxa"/>
          </w:tcPr>
          <w:p w14:paraId="5C318341" w14:textId="16DA8EF1" w:rsidR="008544A0" w:rsidRPr="00F86F63" w:rsidRDefault="008544A0" w:rsidP="008544A0">
            <w:pPr>
              <w:rPr>
                <w:sz w:val="22"/>
                <w:szCs w:val="22"/>
              </w:rPr>
            </w:pPr>
            <w:r>
              <w:rPr>
                <w:sz w:val="22"/>
                <w:szCs w:val="22"/>
              </w:rPr>
              <w:t>24-28</w:t>
            </w:r>
          </w:p>
        </w:tc>
        <w:tc>
          <w:tcPr>
            <w:tcW w:w="8145" w:type="dxa"/>
            <w:gridSpan w:val="2"/>
          </w:tcPr>
          <w:p w14:paraId="728544B4" w14:textId="023CFED3" w:rsidR="008544A0" w:rsidRPr="00F86F63" w:rsidRDefault="008544A0" w:rsidP="008544A0">
            <w:pPr>
              <w:rPr>
                <w:sz w:val="22"/>
                <w:szCs w:val="22"/>
              </w:rPr>
            </w:pPr>
            <w:r>
              <w:rPr>
                <w:sz w:val="22"/>
                <w:szCs w:val="22"/>
              </w:rPr>
              <w:t xml:space="preserve">Some has predicted that synthetic biology will become more and more like information science, i.e., the cost and time required for building &amp; testing biological systems will soon become irrelevant as the actual ‘innovative’ parts of the process are the learning and designing.  Intellectual property frameworks previously used in the field of software engineering might provide insightful lessons on how we shall manage IP in future synthetic biology. </w:t>
            </w:r>
          </w:p>
        </w:tc>
      </w:tr>
    </w:tbl>
    <w:p w14:paraId="6E675E30" w14:textId="77777777" w:rsidR="00593BC6" w:rsidRDefault="00593BC6" w:rsidP="00593BC6">
      <w:pPr>
        <w:tabs>
          <w:tab w:val="left" w:pos="7020"/>
        </w:tabs>
        <w:ind w:right="44"/>
        <w:jc w:val="both"/>
        <w:rPr>
          <w:szCs w:val="22"/>
        </w:rPr>
      </w:pPr>
    </w:p>
    <w:p w14:paraId="68F6973F" w14:textId="77777777" w:rsidR="00E97625" w:rsidRDefault="00E97625" w:rsidP="00E97625">
      <w:pPr>
        <w:tabs>
          <w:tab w:val="left" w:pos="7020"/>
        </w:tabs>
        <w:ind w:right="44"/>
        <w:jc w:val="both"/>
        <w:rPr>
          <w:szCs w:val="22"/>
        </w:rPr>
      </w:pPr>
    </w:p>
    <w:p w14:paraId="571538FB" w14:textId="77777777" w:rsidR="00E97625" w:rsidRDefault="00E97625" w:rsidP="00E97625">
      <w:pPr>
        <w:tabs>
          <w:tab w:val="left" w:pos="7020"/>
        </w:tabs>
        <w:ind w:right="44"/>
        <w:jc w:val="both"/>
        <w:rPr>
          <w:szCs w:val="22"/>
        </w:rPr>
      </w:pPr>
    </w:p>
    <w:p w14:paraId="4EBFCBD0" w14:textId="77777777" w:rsidR="00E97625" w:rsidRDefault="00E97625" w:rsidP="00E97625">
      <w:pPr>
        <w:pStyle w:val="Footer"/>
        <w:jc w:val="center"/>
        <w:rPr>
          <w:lang w:val="en-CA"/>
        </w:rPr>
      </w:pPr>
      <w:r>
        <w:rPr>
          <w:sz w:val="22"/>
          <w:szCs w:val="22"/>
          <w:lang w:val="en-CA"/>
        </w:rPr>
        <w:t xml:space="preserve">Please submit your comments to </w:t>
      </w:r>
      <w:hyperlink r:id="rId6" w:history="1">
        <w:r>
          <w:rPr>
            <w:rStyle w:val="Hyperlink"/>
            <w:sz w:val="22"/>
            <w:szCs w:val="22"/>
            <w:lang w:val="en-CA"/>
          </w:rPr>
          <w:t>secretariat@cbd.int</w:t>
        </w:r>
      </w:hyperlink>
      <w:r>
        <w:rPr>
          <w:sz w:val="22"/>
          <w:szCs w:val="22"/>
          <w:lang w:val="en-CA"/>
        </w:rPr>
        <w:t>.</w:t>
      </w:r>
    </w:p>
    <w:p w14:paraId="0E955578" w14:textId="77777777" w:rsidR="00593BC6" w:rsidRPr="00E97625" w:rsidRDefault="00593BC6" w:rsidP="00593BC6">
      <w:pPr>
        <w:tabs>
          <w:tab w:val="left" w:pos="7020"/>
        </w:tabs>
        <w:ind w:right="44"/>
        <w:jc w:val="both"/>
        <w:rPr>
          <w:szCs w:val="22"/>
          <w:lang w:val="en-CA"/>
        </w:rPr>
      </w:pPr>
    </w:p>
    <w:sectPr w:rsidR="00593BC6" w:rsidRPr="00E97625" w:rsidSect="00EA105F">
      <w:headerReference w:type="first" r:id="rId7"/>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48C7C" w14:textId="77777777" w:rsidR="00A15951" w:rsidRDefault="00A15951" w:rsidP="00593BC6">
      <w:r>
        <w:separator/>
      </w:r>
    </w:p>
  </w:endnote>
  <w:endnote w:type="continuationSeparator" w:id="0">
    <w:p w14:paraId="7AA25BD4" w14:textId="77777777" w:rsidR="00A15951" w:rsidRDefault="00A15951" w:rsidP="005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C4C3" w14:textId="77777777" w:rsidR="00A15951" w:rsidRDefault="00A15951" w:rsidP="00593BC6">
      <w:r>
        <w:separator/>
      </w:r>
    </w:p>
  </w:footnote>
  <w:footnote w:type="continuationSeparator" w:id="0">
    <w:p w14:paraId="2736A8ED" w14:textId="77777777" w:rsidR="00A15951" w:rsidRDefault="00A15951" w:rsidP="0059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1991" w14:textId="77777777" w:rsidR="00EA105F" w:rsidRDefault="00EA105F" w:rsidP="00EA105F">
    <w:pPr>
      <w:pStyle w:val="Header"/>
      <w:tabs>
        <w:tab w:val="clear" w:pos="8640"/>
        <w:tab w:val="right" w:pos="10260"/>
      </w:tabs>
      <w:spacing w:line="480" w:lineRule="auto"/>
      <w:ind w:left="-1260" w:right="-856"/>
      <w:jc w:val="center"/>
      <w:rPr>
        <w:rFonts w:ascii="Arial" w:hAnsi="Arial" w:cs="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BC6"/>
    <w:rsid w:val="00005EC4"/>
    <w:rsid w:val="00054613"/>
    <w:rsid w:val="00091F4D"/>
    <w:rsid w:val="000A54FC"/>
    <w:rsid w:val="000B3615"/>
    <w:rsid w:val="000E2E07"/>
    <w:rsid w:val="00135D96"/>
    <w:rsid w:val="00162E81"/>
    <w:rsid w:val="0024383F"/>
    <w:rsid w:val="00293F84"/>
    <w:rsid w:val="00305222"/>
    <w:rsid w:val="0032155A"/>
    <w:rsid w:val="00363EF2"/>
    <w:rsid w:val="003925B2"/>
    <w:rsid w:val="00393449"/>
    <w:rsid w:val="003C5737"/>
    <w:rsid w:val="00406111"/>
    <w:rsid w:val="00430349"/>
    <w:rsid w:val="00435FDA"/>
    <w:rsid w:val="00461AD8"/>
    <w:rsid w:val="004B6042"/>
    <w:rsid w:val="004D6145"/>
    <w:rsid w:val="004E426F"/>
    <w:rsid w:val="0050656D"/>
    <w:rsid w:val="00510D7F"/>
    <w:rsid w:val="00524BE0"/>
    <w:rsid w:val="005411E6"/>
    <w:rsid w:val="00565AB0"/>
    <w:rsid w:val="00593BC6"/>
    <w:rsid w:val="00594E31"/>
    <w:rsid w:val="005B1B36"/>
    <w:rsid w:val="005C4C24"/>
    <w:rsid w:val="005D504E"/>
    <w:rsid w:val="00652D1D"/>
    <w:rsid w:val="00735FF1"/>
    <w:rsid w:val="00780EC4"/>
    <w:rsid w:val="00781123"/>
    <w:rsid w:val="007958BD"/>
    <w:rsid w:val="008544A0"/>
    <w:rsid w:val="00854B69"/>
    <w:rsid w:val="00872EB7"/>
    <w:rsid w:val="008C05B8"/>
    <w:rsid w:val="008C7BDF"/>
    <w:rsid w:val="00991F51"/>
    <w:rsid w:val="00A05BE6"/>
    <w:rsid w:val="00A15951"/>
    <w:rsid w:val="00A33E05"/>
    <w:rsid w:val="00A545C6"/>
    <w:rsid w:val="00A907C6"/>
    <w:rsid w:val="00AD22DE"/>
    <w:rsid w:val="00AD7B8B"/>
    <w:rsid w:val="00B30682"/>
    <w:rsid w:val="00B373CC"/>
    <w:rsid w:val="00B662B0"/>
    <w:rsid w:val="00BB14D8"/>
    <w:rsid w:val="00BD5D26"/>
    <w:rsid w:val="00C2295F"/>
    <w:rsid w:val="00C33566"/>
    <w:rsid w:val="00C6697D"/>
    <w:rsid w:val="00D5227A"/>
    <w:rsid w:val="00D60758"/>
    <w:rsid w:val="00D97576"/>
    <w:rsid w:val="00DD4F55"/>
    <w:rsid w:val="00E227B2"/>
    <w:rsid w:val="00E97625"/>
    <w:rsid w:val="00EA105F"/>
    <w:rsid w:val="00EE2DA2"/>
    <w:rsid w:val="00F73C17"/>
    <w:rsid w:val="00F754C0"/>
    <w:rsid w:val="00F8658F"/>
    <w:rsid w:val="00F86F63"/>
    <w:rsid w:val="00F94D0C"/>
    <w:rsid w:val="00FB07C1"/>
    <w:rsid w:val="00FB1BA9"/>
    <w:rsid w:val="00FF1A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515135"/>
  <w15:docId w15:val="{2EF4503E-AC8B-4C4E-A148-C22CF593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BC6"/>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3BC6"/>
    <w:pPr>
      <w:tabs>
        <w:tab w:val="center" w:pos="4320"/>
        <w:tab w:val="right" w:pos="8640"/>
      </w:tabs>
    </w:pPr>
  </w:style>
  <w:style w:type="character" w:customStyle="1" w:styleId="HeaderChar">
    <w:name w:val="Header Char"/>
    <w:link w:val="Header"/>
    <w:rsid w:val="00593BC6"/>
    <w:rPr>
      <w:rFonts w:ascii="Times New Roman" w:eastAsia="Times New Roman" w:hAnsi="Times New Roman" w:cs="Times New Roman"/>
      <w:sz w:val="24"/>
      <w:szCs w:val="24"/>
      <w:lang w:val="en-GB" w:eastAsia="en-CA"/>
    </w:rPr>
  </w:style>
  <w:style w:type="paragraph" w:styleId="Footer">
    <w:name w:val="footer"/>
    <w:basedOn w:val="Normal"/>
    <w:link w:val="FooterChar"/>
    <w:rsid w:val="00593BC6"/>
    <w:pPr>
      <w:tabs>
        <w:tab w:val="center" w:pos="4320"/>
        <w:tab w:val="right" w:pos="8640"/>
      </w:tabs>
    </w:pPr>
  </w:style>
  <w:style w:type="character" w:customStyle="1" w:styleId="FooterChar">
    <w:name w:val="Footer Char"/>
    <w:link w:val="Footer"/>
    <w:rsid w:val="00593BC6"/>
    <w:rPr>
      <w:rFonts w:ascii="Times New Roman" w:eastAsia="Times New Roman" w:hAnsi="Times New Roman" w:cs="Times New Roman"/>
      <w:sz w:val="24"/>
      <w:szCs w:val="24"/>
      <w:lang w:val="en-GB" w:eastAsia="en-CA"/>
    </w:rPr>
  </w:style>
  <w:style w:type="character" w:styleId="Hyperlink">
    <w:name w:val="Hyperlink"/>
    <w:rsid w:val="00593BC6"/>
    <w:rPr>
      <w:rFonts w:cs="Times New Roman"/>
      <w:color w:val="0000FF"/>
      <w:u w:val="single"/>
    </w:rPr>
  </w:style>
  <w:style w:type="paragraph" w:styleId="BalloonText">
    <w:name w:val="Balloon Text"/>
    <w:basedOn w:val="Normal"/>
    <w:link w:val="BalloonTextChar"/>
    <w:uiPriority w:val="99"/>
    <w:semiHidden/>
    <w:unhideWhenUsed/>
    <w:rsid w:val="0005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61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765333">
      <w:bodyDiv w:val="1"/>
      <w:marLeft w:val="0"/>
      <w:marRight w:val="0"/>
      <w:marTop w:val="0"/>
      <w:marBottom w:val="0"/>
      <w:divBdr>
        <w:top w:val="none" w:sz="0" w:space="0" w:color="auto"/>
        <w:left w:val="none" w:sz="0" w:space="0" w:color="auto"/>
        <w:bottom w:val="none" w:sz="0" w:space="0" w:color="auto"/>
        <w:right w:val="none" w:sz="0" w:space="0" w:color="auto"/>
      </w:divBdr>
    </w:div>
    <w:div w:id="95375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cbd.i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503</Words>
  <Characters>2870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SCBD</Company>
  <LinksUpToDate>false</LinksUpToDate>
  <CharactersWithSpaces>3367</CharactersWithSpaces>
  <SharedDoc>false</SharedDoc>
  <HLinks>
    <vt:vector size="6" baseType="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cung</dc:creator>
  <cp:lastModifiedBy>Chalinee Kongsawat</cp:lastModifiedBy>
  <cp:revision>4</cp:revision>
  <dcterms:created xsi:type="dcterms:W3CDTF">2021-06-14T04:48:00Z</dcterms:created>
  <dcterms:modified xsi:type="dcterms:W3CDTF">2021-06-14T09:44:00Z</dcterms:modified>
</cp:coreProperties>
</file>